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3C2A" w14:textId="27CDFB27" w:rsidR="00A82082" w:rsidRDefault="00E946F9">
      <w:pPr>
        <w:rPr>
          <w:vanish/>
        </w:rPr>
      </w:pPr>
      <w:r>
        <w:rPr>
          <w:rFonts w:ascii="宋体" w:eastAsia="宋体" w:hAnsi="宋体" w:cs="宋体"/>
        </w:rPr>
        <w:t xml:space="preserve"> </w:t>
      </w:r>
      <w:r>
        <w:rPr>
          <w:rFonts w:ascii="宋体" w:eastAsia="宋体" w:hAnsi="宋体" w:cs="宋体"/>
          <w:vanish/>
        </w:rPr>
        <w:t>00001041691/312021Q3false2,829,285,92600001041692020-02-012020-10-310000104169wmt:CommonStockparvalue0.10pershareMember2020-02-012020-10-310000104169wmt:A1.900NotesDue2022Member2020-02-012020-10-310000104169wmt:A2.550NotesDue2026Member2020-02-012020-10-31x</w:t>
      </w:r>
      <w:r>
        <w:rPr>
          <w:rFonts w:ascii="宋体" w:eastAsia="宋体" w:hAnsi="宋体" w:cs="宋体"/>
          <w:vanish/>
        </w:rPr>
        <w:t>brli:shares00001041692020-11-30iso4217:USD00001041692020-08-012020-10-3100001041692019-08-012019-10-3100001041692019-02-012019-10-31iso4217:USDxbrli:shares00001041692020-10-3100001041692020-01-3100001041692019-10-310000104169us-gaap:CommonStockMember2020-0</w:t>
      </w:r>
      <w:r>
        <w:rPr>
          <w:rFonts w:ascii="宋体" w:eastAsia="宋体" w:hAnsi="宋体" w:cs="宋体"/>
          <w:vanish/>
        </w:rPr>
        <w:t>1-310000104169us-gaap:AdditionalPaidInCapitalMember2020-01-310000104169us-gaap:RetainedEarningsMember2020-01-310000104169us-gaap:AccumulatedOtherComprehensiveIncomeMember2020-01-310000104169us-gaap:ParentMember2020-01-310000104169us-gaap:NoncontrollingInte</w:t>
      </w:r>
      <w:r>
        <w:rPr>
          <w:rFonts w:ascii="宋体" w:eastAsia="宋体" w:hAnsi="宋体" w:cs="宋体"/>
          <w:vanish/>
        </w:rPr>
        <w:t>restMember2020-01-310000104169us-gaap:RetainedEarningsMember2020-02-012020-04-300000104169us-gaap:ParentMember2020-02-012020-04-300000104169us-gaap:NoncontrollingInterestMember2020-02-012020-04-3000001041692020-02-012020-04-300000104169us-gaap:AccumulatedO</w:t>
      </w:r>
      <w:r>
        <w:rPr>
          <w:rFonts w:ascii="宋体" w:eastAsia="宋体" w:hAnsi="宋体" w:cs="宋体"/>
          <w:vanish/>
        </w:rPr>
        <w:t>therComprehensiveIncomeMember2020-02-012020-04-300000104169us-gaap:CommonStockMember2020-02-012020-04-300000104169us-gaap:AdditionalPaidInCapitalMember2020-02-012020-04-300000104169us-gaap:CommonStockMember2020-04-300000104169us-gaap:AdditionalPaidInCapita</w:t>
      </w:r>
      <w:r>
        <w:rPr>
          <w:rFonts w:ascii="宋体" w:eastAsia="宋体" w:hAnsi="宋体" w:cs="宋体"/>
          <w:vanish/>
        </w:rPr>
        <w:t>lMember2020-04-300000104169us-gaap:RetainedEarningsMember2020-04-300000104169us-gaap:AccumulatedOtherComprehensiveIncomeMember2020-04-300000104169us-gaap:ParentMember2020-04-300000104169us-gaap:NoncontrollingInterestMember2020-04-3000001041692020-04-300000</w:t>
      </w:r>
      <w:r>
        <w:rPr>
          <w:rFonts w:ascii="宋体" w:eastAsia="宋体" w:hAnsi="宋体" w:cs="宋体"/>
          <w:vanish/>
        </w:rPr>
        <w:t>104169us-gaap:RetainedEarningsMember2020-05-012020-07-310000104169us-gaap:ParentMember2020-05-012020-07-310000104169us-gaap:NoncontrollingInterestMember2020-05-012020-07-3100001041692020-05-012020-07-310000104169us-gaap:AccumulatedOtherComprehensiveIncomeM</w:t>
      </w:r>
      <w:r>
        <w:rPr>
          <w:rFonts w:ascii="宋体" w:eastAsia="宋体" w:hAnsi="宋体" w:cs="宋体"/>
          <w:vanish/>
        </w:rPr>
        <w:t>ember2020-05-012020-07-310000104169us-gaap:CommonStockMember2020-05-012020-07-310000104169us-gaap:AdditionalPaidInCapitalMember2020-05-012020-07-310000104169us-gaap:CommonStockMember2020-07-310000104169us-gaap:AdditionalPaidInCapitalMember2020-07-310000104</w:t>
      </w:r>
      <w:r>
        <w:rPr>
          <w:rFonts w:ascii="宋体" w:eastAsia="宋体" w:hAnsi="宋体" w:cs="宋体"/>
          <w:vanish/>
        </w:rPr>
        <w:t>169us-gaap:RetainedEarningsMember2020-07-310000104169us-gaap:AccumulatedOtherComprehensiveIncomeMember2020-07-310000104169us-gaap:ParentMember2020-07-310000104169us-gaap:NoncontrollingInterestMember2020-07-3100001041692020-07-310000104169us-gaap:RetainedEa</w:t>
      </w:r>
      <w:r>
        <w:rPr>
          <w:rFonts w:ascii="宋体" w:eastAsia="宋体" w:hAnsi="宋体" w:cs="宋体"/>
          <w:vanish/>
        </w:rPr>
        <w:t>rningsMember2020-08-012020-10-310000104169us-gaap:ParentMember2020-08-012020-10-310000104169us-gaap:NoncontrollingInterestMember2020-08-012020-10-310000104169us-gaap:AccumulatedOtherComprehensiveIncomeMember2020-08-012020-10-310000104169us-gaap:CommonStock</w:t>
      </w:r>
      <w:r>
        <w:rPr>
          <w:rFonts w:ascii="宋体" w:eastAsia="宋体" w:hAnsi="宋体" w:cs="宋体"/>
          <w:vanish/>
        </w:rPr>
        <w:t>Member2020-08-012020-10-310000104169us-gaap:AdditionalPaidInCapitalMember2020-08-012020-10-310000104169us-gaap:CommonStockMember2020-10-310000104169us-gaap:AdditionalPaidInCapitalMember2020-10-310000104169us-gaap:RetainedEarningsMember2020-10-310000104169u</w:t>
      </w:r>
      <w:r>
        <w:rPr>
          <w:rFonts w:ascii="宋体" w:eastAsia="宋体" w:hAnsi="宋体" w:cs="宋体"/>
          <w:vanish/>
        </w:rPr>
        <w:t>s-gaap:AccumulatedOtherComprehensiveIncomeMember2020-10-310000104169us-gaap:ParentMember2020-10-310000104169us-gaap:NoncontrollingInterestMember2020-10-310000104169us-gaap:CommonStockMember2019-01-310000104169us-gaap:AdditionalPaidInCapitalMember2019-01-31</w:t>
      </w:r>
      <w:r>
        <w:rPr>
          <w:rFonts w:ascii="宋体" w:eastAsia="宋体" w:hAnsi="宋体" w:cs="宋体"/>
          <w:vanish/>
        </w:rPr>
        <w:t>0000104169us-gaap:RetainedEarningsMember2019-01-310000104169us-gaap:AccumulatedOtherComprehensiveIncomeMember2019-01-310000104169us-gaap:ParentMember2019-01-310000104169us-gaap:NoncontrollingInterestMember2019-01-3100001041692019-01-310000104169srt:Cumulat</w:t>
      </w:r>
      <w:r>
        <w:rPr>
          <w:rFonts w:ascii="宋体" w:eastAsia="宋体" w:hAnsi="宋体" w:cs="宋体"/>
          <w:vanish/>
        </w:rPr>
        <w:t>iveEffectPeriodOfAdoptionAdjustmentMemberus-gaap:RetainedEarningsMember2019-01-310000104169us-gaap:ParentMembersrt:CumulativeEffectPeriodOfAdoptionAdjustmentMember2019-01-310000104169us-gaap:NoncontrollingInterestMembersrt:CumulativeEffectPeriodOfAdoptionA</w:t>
      </w:r>
      <w:r>
        <w:rPr>
          <w:rFonts w:ascii="宋体" w:eastAsia="宋体" w:hAnsi="宋体" w:cs="宋体"/>
          <w:vanish/>
        </w:rPr>
        <w:t>djustmentMember2019-01-310000104169srt:CumulativeEffectPeriodOfAdoptionAdjustmentMember2019-01-310000104169us-gaap:RetainedEarningsMember2019-02-012019-04-300000104169us-gaap:ParentMember2019-02-012019-04-300000104169us-gaap:NoncontrollingInterestMember201</w:t>
      </w:r>
      <w:r>
        <w:rPr>
          <w:rFonts w:ascii="宋体" w:eastAsia="宋体" w:hAnsi="宋体" w:cs="宋体"/>
          <w:vanish/>
        </w:rPr>
        <w:t>9-02-012019-04-3000001041692019-02-012019-04-300000104169us-gaap:AccumulatedOtherComprehensiveIncomeMember2019-02-012019-04-300000104169us-gaap:CommonStockMember2019-02-012019-04-300000104169us-gaap:AdditionalPaidInCapitalMember2019-02-012019-04-3000001041</w:t>
      </w:r>
      <w:r>
        <w:rPr>
          <w:rFonts w:ascii="宋体" w:eastAsia="宋体" w:hAnsi="宋体" w:cs="宋体"/>
          <w:vanish/>
        </w:rPr>
        <w:t>69us-gaap:CommonStockMember2019-04-300000104169us-gaap:AdditionalPaidInCapitalMember2019-04-300000104169us-gaap:RetainedEarningsMember2019-04-300000104169us-gaap:AccumulatedOtherComprehensiveIncomeMember2019-04-300000104169us-gaap:ParentMember2019-04-30000</w:t>
      </w:r>
      <w:r>
        <w:rPr>
          <w:rFonts w:ascii="宋体" w:eastAsia="宋体" w:hAnsi="宋体" w:cs="宋体"/>
          <w:vanish/>
        </w:rPr>
        <w:t>0104169us-gaap:NoncontrollingInterestMember2019-04-3000001041692019-04-300000104169us-gaap:RetainedEarningsMember2019-05-012019-07-310000104169us-gaap:ParentMember2019-05-012019-07-310000104169us-gaap:NoncontrollingInterestMember2019-05-012019-07-310000104</w:t>
      </w:r>
      <w:r>
        <w:rPr>
          <w:rFonts w:ascii="宋体" w:eastAsia="宋体" w:hAnsi="宋体" w:cs="宋体"/>
          <w:vanish/>
        </w:rPr>
        <w:t>1692019-05-012019-07-310000104169us-gaap:AccumulatedOtherComprehensiveIncomeMember2019-05-012019-07-310000104169us-gaap:CommonStockMember2019-05-012019-07-310000104169us-gaap:AdditionalPaidInCapitalMember2019-05-012019-07-310000104169us-gaap:CommonStockMem</w:t>
      </w:r>
      <w:r>
        <w:rPr>
          <w:rFonts w:ascii="宋体" w:eastAsia="宋体" w:hAnsi="宋体" w:cs="宋体"/>
          <w:vanish/>
        </w:rPr>
        <w:t>ber2019-07-310000104169us-gaap:AdditionalPaidInCapitalMember2019-07-310000104169us-gaap:RetainedEarningsMember2019-07-310000104169us-gaap:AccumulatedOtherComprehensiveIncomeMember2019-07-310000104169us-gaap:ParentMember2019-07-310000104169us-gaap:Noncontro</w:t>
      </w:r>
      <w:r>
        <w:rPr>
          <w:rFonts w:ascii="宋体" w:eastAsia="宋体" w:hAnsi="宋体" w:cs="宋体"/>
          <w:vanish/>
        </w:rPr>
        <w:t>llingInterestMember2019-07-3100001041692019-07-310000104169us-gaap:RetainedEarningsMember2019-08-012019-10-310000104169us-gaap:ParentMember2019-08-012019-10-310000104169us-gaap:NoncontrollingInterestMember2019-08-012019-10-310000104169us-gaap:AccumulatedOt</w:t>
      </w:r>
      <w:r>
        <w:rPr>
          <w:rFonts w:ascii="宋体" w:eastAsia="宋体" w:hAnsi="宋体" w:cs="宋体"/>
          <w:vanish/>
        </w:rPr>
        <w:t>herComprehensiveIncomeMember2019-08-012019-10-310000104169us-gaap:CommonStockMember2019-08-012019-10-310000104169us-gaap:AdditionalPaidInCapitalMember2019-08-012019-10-310000104169us-gaap:CommonStockMember2019-10-310000104169us-gaap:AdditionalPaidInCapital</w:t>
      </w:r>
      <w:r>
        <w:rPr>
          <w:rFonts w:ascii="宋体" w:eastAsia="宋体" w:hAnsi="宋体" w:cs="宋体"/>
          <w:vanish/>
        </w:rPr>
        <w:t>Member2019-10-310000104169us-gaap:RetainedEarningsMember2019-10-310000104169us-gaap:AccumulatedOtherComprehensiveIncomeMember2019-10-310000104169us-gaap:ParentMember2019-10-310000104169us-gaap:NoncontrollingInterestMember2019-10-310000104169wmt:Accumulated</w:t>
      </w:r>
      <w:r>
        <w:rPr>
          <w:rFonts w:ascii="宋体" w:eastAsia="宋体" w:hAnsi="宋体" w:cs="宋体"/>
          <w:vanish/>
        </w:rPr>
        <w:t>CurrencyTranslationAndOtherAdjustmentsAttributableToParentMember2020-01-310000104169wmt:AccumulatedNetInvestmentGainOrLossAttributableToParentMember2020-01-310000104169us-gaap:AccumulatedGainLossNetCashFlowHedgeParentMember2020-01-310000104169us-gaap:Accum</w:t>
      </w:r>
      <w:r>
        <w:rPr>
          <w:rFonts w:ascii="宋体" w:eastAsia="宋体" w:hAnsi="宋体" w:cs="宋体"/>
          <w:vanish/>
        </w:rPr>
        <w:t>ulatedDefinedBenefitPlansAdjustmentMember2020-01-310000104169wmt:AccumulatedCurrencyTranslationAndOtherAdjustmentsAttributableToParentMember2020-02-012020-04-300000104169wmt:AccumulatedNetInvestmentGainOrLossAttributableToParentMember2020-02-012020-04-3000</w:t>
      </w:r>
      <w:r>
        <w:rPr>
          <w:rFonts w:ascii="宋体" w:eastAsia="宋体" w:hAnsi="宋体" w:cs="宋体"/>
          <w:vanish/>
        </w:rPr>
        <w:t>00104169us-gaap:AccumulatedGainLossNetCashFlowHedgeParentMember2020-02-012020-04-300000104169us-gaap:AccumulatedDefinedBenefitPlansAdjustmentMember2020-02-012020-04-300000104169wmt:AccumulatedCurrencyTranslationAndOtherAdjustmentsAttributableToParentMember</w:t>
      </w:r>
      <w:r>
        <w:rPr>
          <w:rFonts w:ascii="宋体" w:eastAsia="宋体" w:hAnsi="宋体" w:cs="宋体"/>
          <w:vanish/>
        </w:rPr>
        <w:t>2020-04-300000104169wmt:AccumulatedNetInvestmentGainOrLossAttributableToParentMember2020-04-300000104169us-gaap:AccumulatedGainLossNetCashFlowHedgeParentMember2020-04-300000104169us-gaap:AccumulatedDefinedBenefitPlansAdjustmentMember2020-04-300000104169wmt</w:t>
      </w:r>
      <w:r>
        <w:rPr>
          <w:rFonts w:ascii="宋体" w:eastAsia="宋体" w:hAnsi="宋体" w:cs="宋体"/>
          <w:vanish/>
        </w:rPr>
        <w:t>:AccumulatedCurrencyTranslationAndOtherAdjustmentsAttributableToParentMember2020-05-012020-07-310000104169wmt:AccumulatedNetInvestmentGainOrLossAttributableToParentMember2020-05-012020-07-310000104169us-gaap:AccumulatedGainLossNetCashFlowHedgeParentMember2</w:t>
      </w:r>
      <w:r>
        <w:rPr>
          <w:rFonts w:ascii="宋体" w:eastAsia="宋体" w:hAnsi="宋体" w:cs="宋体"/>
          <w:vanish/>
        </w:rPr>
        <w:t>020-05-012020-07-310000104169us-gaap:AccumulatedDefinedBenefitPlansAdjustmentMember2020-05-012020-07-310000104169wmt:AccumulatedCurrencyTranslationAndOtherAdjustmentsAttributableToParentMember2020-07-310000104169wmt:AccumulatedNetInvestmentGainOrLossAttrib</w:t>
      </w:r>
      <w:r>
        <w:rPr>
          <w:rFonts w:ascii="宋体" w:eastAsia="宋体" w:hAnsi="宋体" w:cs="宋体"/>
          <w:vanish/>
        </w:rPr>
        <w:t>utableToParentMember2020-07-310000104169us-gaap:AccumulatedGainLossNetCashFlowHedgeParentMember2020-07-310000104169us-gaap:AccumulatedDefinedBenefitPlansAdjustmentMember2020-07-310000104169wmt:AccumulatedCurrencyTranslationAndOtherAdjustmentsAttributableTo</w:t>
      </w:r>
      <w:r>
        <w:rPr>
          <w:rFonts w:ascii="宋体" w:eastAsia="宋体" w:hAnsi="宋体" w:cs="宋体"/>
          <w:vanish/>
        </w:rPr>
        <w:t>ParentMember2020-08-012020-10-310000104169wmt:AccumulatedNetInvestmentGainOrLossAttributableToParentMember2020-08-012020-10-310000104169us-gaap:AccumulatedGainLossNetCashFlowHedgeParentMember2020-08-012020-10-310000104169us-gaap:AccumulatedDefinedBenefitPl</w:t>
      </w:r>
      <w:r>
        <w:rPr>
          <w:rFonts w:ascii="宋体" w:eastAsia="宋体" w:hAnsi="宋体" w:cs="宋体"/>
          <w:vanish/>
        </w:rPr>
        <w:t>ansAdjustmentMember2020-08-012020-10-310000104169wmt:AccumulatedCurrencyTranslationAndOtherAdjustmentsAttributableToParentMember2020-10-310000104169wmt:AccumulatedNetInvestmentGainOrLossAttributableToParentMember2020-10-310000104169us-gaap:AccumulatedGainL</w:t>
      </w:r>
      <w:r>
        <w:rPr>
          <w:rFonts w:ascii="宋体" w:eastAsia="宋体" w:hAnsi="宋体" w:cs="宋体"/>
          <w:vanish/>
        </w:rPr>
        <w:t>ossNetCashFlowHedgeParentMember2020-10-310000104169us-gaap:AccumulatedDefinedBenefitPlansAdjustmentMember2020-10-310000104169wmt:AccumulatedCurrencyTranslationAndOtherAdjustmentsAttributableToParentMember2019-01-310000104169wmt:AccumulatedNetInvestmentGain</w:t>
      </w:r>
      <w:r>
        <w:rPr>
          <w:rFonts w:ascii="宋体" w:eastAsia="宋体" w:hAnsi="宋体" w:cs="宋体"/>
          <w:vanish/>
        </w:rPr>
        <w:t>OrLossAttributableToParentMember2019-01-310000104169us-gaap:AccumulatedGainLossNetCashFlowHedgeParentMember2019-01-310000104169us-gaap:AccumulatedDefinedBenefitPlansAdjustmentMember2019-01-310000104169wmt:AccumulatedCurrencyTranslationAndOtherAdjustmentsAt</w:t>
      </w:r>
      <w:r>
        <w:rPr>
          <w:rFonts w:ascii="宋体" w:eastAsia="宋体" w:hAnsi="宋体" w:cs="宋体"/>
          <w:vanish/>
        </w:rPr>
        <w:t>tributableToParentMember2019-02-012019-04-300000104169wmt:AccumulatedNetInvestmentGainOrLossAttributableToParentMember2019-02-012019-04-300000104169us-gaap:AccumulatedGainLossNetCashFlowHedgeParentMember2019-02-012019-04-300000104169us-gaap:AccumulatedDefi</w:t>
      </w:r>
      <w:r>
        <w:rPr>
          <w:rFonts w:ascii="宋体" w:eastAsia="宋体" w:hAnsi="宋体" w:cs="宋体"/>
          <w:vanish/>
        </w:rPr>
        <w:t>nedBenefitPlansAdjustmentMember2019-02-012019-04-300000104169wmt:AccumulatedCurrencyTranslationAndOtherAdjustmentsAttributableToParentMember2019-04-300000104169wmt:AccumulatedNetInvestmentGainOrLossAttributableToParentMember2019-04-300000104169us-gaap:Accu</w:t>
      </w:r>
      <w:r>
        <w:rPr>
          <w:rFonts w:ascii="宋体" w:eastAsia="宋体" w:hAnsi="宋体" w:cs="宋体"/>
          <w:vanish/>
        </w:rPr>
        <w:t>mulatedGainLossNetCashFlowHedgeParentMember2019-04-300000104169us-gaap:AccumulatedDefinedBenefitPlansAdjustmentMember2019-04-300000104169wmt:AccumulatedCurrencyTranslationAndOtherAdjustmentsAttributableToParentMember2019-05-012019-07-310000104169wmt:Accumu</w:t>
      </w:r>
      <w:r>
        <w:rPr>
          <w:rFonts w:ascii="宋体" w:eastAsia="宋体" w:hAnsi="宋体" w:cs="宋体"/>
          <w:vanish/>
        </w:rPr>
        <w:t>latedNetInvestmentGainOrLossAttributableToParentMember2019-05-012019-07-310000104169us-gaap:AccumulatedGainLossNetCashFlowHedgeParentMember2019-05-012019-07-310000104169us-gaap:AccumulatedDefinedBenefitPlansAdjustmentMember2019-05-012019-07-310000104169wmt</w:t>
      </w:r>
      <w:r>
        <w:rPr>
          <w:rFonts w:ascii="宋体" w:eastAsia="宋体" w:hAnsi="宋体" w:cs="宋体"/>
          <w:vanish/>
        </w:rPr>
        <w:t>:AccumulatedCurrencyTranslationAndOtherAdjustmentsAttributableToParentMember2019-07-310000104169wmt:AccumulatedNetInvestmentGainOrLossAttributableToParentMember2019-07-310000104169us-gaap:AccumulatedGainLossNetCashFlowHedgeParentMember2019-07-310000104169u</w:t>
      </w:r>
      <w:r>
        <w:rPr>
          <w:rFonts w:ascii="宋体" w:eastAsia="宋体" w:hAnsi="宋体" w:cs="宋体"/>
          <w:vanish/>
        </w:rPr>
        <w:t>s-gaap:AccumulatedDefinedBenefitPlansAdjustmentMember2019-07-310000104169wmt:AccumulatedCurrencyTranslationAndOtherAdjustmentsAttributableToParentMember2019-08-012019-10-310000104169wmt:AccumulatedNetInvestmentGainOrLossAttributableToParentMember2019-08-01</w:t>
      </w:r>
      <w:r>
        <w:rPr>
          <w:rFonts w:ascii="宋体" w:eastAsia="宋体" w:hAnsi="宋体" w:cs="宋体"/>
          <w:vanish/>
        </w:rPr>
        <w:t>2019-10-310000104169us-gaap:AccumulatedGainLossNetCashFlowHedgeParentMember2019-08-012019-10-310000104169us-gaap:AccumulatedDefinedBenefitPlansAdjustmentMember2019-08-012019-10-310000104169wmt:AccumulatedCurrencyTranslationAndOtherAdjustmentsAttributableTo</w:t>
      </w:r>
      <w:r>
        <w:rPr>
          <w:rFonts w:ascii="宋体" w:eastAsia="宋体" w:hAnsi="宋体" w:cs="宋体"/>
          <w:vanish/>
        </w:rPr>
        <w:t>ParentMember2019-10-310000104169wmt:AccumulatedNetInvestmentGainOrLossAttributableToParentMember2019-10-310000104169us-gaap:AccumulatedGainLossNetCashFlowHedgeParentMember2019-10-310000104169us-gaap:AccumulatedDefinedBenefitPlansAdjustmentMember2019-10-310</w:t>
      </w:r>
      <w:r>
        <w:rPr>
          <w:rFonts w:ascii="宋体" w:eastAsia="宋体" w:hAnsi="宋体" w:cs="宋体"/>
          <w:vanish/>
        </w:rPr>
        <w:t>000104169us-gaap:DomesticLineOfCreditMemberus-gaap:RevolvingCreditFacilityMember2020-04-012020-04-300000104169us-gaap:DomesticLineOfCreditMemberus-gaap:RevolvingCreditFacilityMember2020-10-310000104169us-gaap:DomesticLineOfCreditMember2020-10-310000104169u</w:t>
      </w:r>
      <w:r>
        <w:rPr>
          <w:rFonts w:ascii="宋体" w:eastAsia="宋体" w:hAnsi="宋体" w:cs="宋体"/>
          <w:vanish/>
        </w:rPr>
        <w:t>s-gaap:DomesticLineOfCreditMember2020-01-310000104169us-gaap:FairValueMeasurementsRecurringMemberus-gaap:FairValueInputsLevel1Member2020-10-310000104169us-gaap:FairValueMeasurementsRecurringMemberus-gaap:FairValueInputsLevel1Member2020-01-310000104169us-ga</w:t>
      </w:r>
      <w:r>
        <w:rPr>
          <w:rFonts w:ascii="宋体" w:eastAsia="宋体" w:hAnsi="宋体" w:cs="宋体"/>
          <w:vanish/>
        </w:rPr>
        <w:t>ap:FairValueMeasurementsRecurringMemberus-gaap:FairValueInputsLevel2Member2020-10-310000104169us-gaap:FairValueMeasurementsRecurringMemberus-gaap:FairValueInputsLevel2Member2020-01-310000104169us-gaap:InterestRateSwapMemberus-gaap:FairValueHedgingMember202</w:t>
      </w:r>
      <w:r>
        <w:rPr>
          <w:rFonts w:ascii="宋体" w:eastAsia="宋体" w:hAnsi="宋体" w:cs="宋体"/>
          <w:vanish/>
        </w:rPr>
        <w:t>0-10-310000104169us-gaap:FairValueMeasurementsRecurringMemberus-gaap:InterestRateSwapMemberus-gaap:FairValueHedgingMemberus-gaap:FairValueInputsLevel2Member2020-10-310000104169us-gaap:InterestRateSwapMemberus-gaap:FairValueHedgingMember2020-01-310000104169</w:t>
      </w:r>
      <w:r>
        <w:rPr>
          <w:rFonts w:ascii="宋体" w:eastAsia="宋体" w:hAnsi="宋体" w:cs="宋体"/>
          <w:vanish/>
        </w:rPr>
        <w:t>us-gaap:FairValueMeasurementsRecurringMemberus-gaap:InterestRateSwapMemberus-gaap:FairValueHedgingMemberus-gaap:FairValueInputsLevel2Member2020-01-310000104169us-gaap:CrossCurrencyInterestRateContractMemberus-gaap:NetInvestmentHedgingMember2020-10-31000010</w:t>
      </w:r>
      <w:r>
        <w:rPr>
          <w:rFonts w:ascii="宋体" w:eastAsia="宋体" w:hAnsi="宋体" w:cs="宋体"/>
          <w:vanish/>
        </w:rPr>
        <w:t>4169us-gaap:FairValueMeasurementsRecurringMemberus-gaap:CrossCurrencyInterestRateContractMemberus-gaap:NetInvestmentHedgingMemberus-gaap:FairValueInputsLevel2Member2020-10-310000104169us-gaap:CrossCurrencyInterestRateContractMemberus-gaap:NetInvestmentHedg</w:t>
      </w:r>
      <w:r>
        <w:rPr>
          <w:rFonts w:ascii="宋体" w:eastAsia="宋体" w:hAnsi="宋体" w:cs="宋体"/>
          <w:vanish/>
        </w:rPr>
        <w:t>ingMember2020-01-310000104169us-gaap:FairValueMeasurementsRecurringMemberus-gaap:CrossCurrencyInterestRateContractMemberus-gaap:NetInvestmentHedgingMemberus-gaap:FairValueInputsLevel2Member2020-01-310000104169us-gaap:CashFlowHedgingMemberus-gaap:CrossCurre</w:t>
      </w:r>
      <w:r>
        <w:rPr>
          <w:rFonts w:ascii="宋体" w:eastAsia="宋体" w:hAnsi="宋体" w:cs="宋体"/>
          <w:vanish/>
        </w:rPr>
        <w:t>ncyInterestRateContractMember2020-10-310000104169us-gaap:FairValueMeasurementsRecurringMemberus-gaap:CashFlowHedgingMemberus-gaap:CrossCurrencyInterestRateContractMemberus-gaap:FairValueInputsLevel2Member2020-10-310000104169us-gaap:CashFlowHedgingMemberus-</w:t>
      </w:r>
      <w:r>
        <w:rPr>
          <w:rFonts w:ascii="宋体" w:eastAsia="宋体" w:hAnsi="宋体" w:cs="宋体"/>
          <w:vanish/>
        </w:rPr>
        <w:t>gaap:CrossCurrencyInterestRateContractMember2020-01-310000104169us-gaap:FairValueMeasurementsRecurringMemberus-gaap:CashFlowHedgingMemberus-gaap:CrossCurrencyInterestRateContractMemberus-gaap:FairValueInputsLevel2Member2020-01-310000104169us-gaap:FairValue</w:t>
      </w:r>
      <w:r>
        <w:rPr>
          <w:rFonts w:ascii="宋体" w:eastAsia="宋体" w:hAnsi="宋体" w:cs="宋体"/>
          <w:vanish/>
        </w:rPr>
        <w:t>InputsLevel2Member2020-10-310000104169us-gaap:FairValueInputsLevel2Member2020-01-31iso4217:GBP0000104169currency:GBPwmt:AsdaMember2020-10-020000104169wmt:AsdaMember2020-10-020000104169wmt:WalmartArgentinaMember2020-02-012020-10-310000104169wmt:WalmartArgen</w:t>
      </w:r>
      <w:r>
        <w:rPr>
          <w:rFonts w:ascii="宋体" w:eastAsia="宋体" w:hAnsi="宋体" w:cs="宋体"/>
          <w:vanish/>
        </w:rPr>
        <w:t>tinaMember2020-08-012020-10-31iso4217:JPY0000104169wmt:SeiyuMembercurrency:JPYus-gaap:SubsequentEventMember2020-11-150000104169wmt:SeiyuMemberus-gaap:SubsequentEventMember2020-11-150000104169wmt:SeiyuMemberus-gaap:SubsequentEventMember2020-11-012021-01-31x</w:t>
      </w:r>
      <w:r>
        <w:rPr>
          <w:rFonts w:ascii="宋体" w:eastAsia="宋体" w:hAnsi="宋体" w:cs="宋体"/>
          <w:vanish/>
        </w:rPr>
        <w:t>brli:pure0000104169wmt:AsdaEqualValueLawsuitMember2020-10-31wmt:segment0000104169wmt:WalmartUSMember2020-08-012020-10-310000104169wmt:WalmartUSMember2019-08-012019-10-310000104169wmt:WalmartUSMember2020-02-012020-10-310000104169wmt:WalmartUSMember2019-02-0</w:t>
      </w:r>
      <w:r>
        <w:rPr>
          <w:rFonts w:ascii="宋体" w:eastAsia="宋体" w:hAnsi="宋体" w:cs="宋体"/>
          <w:vanish/>
        </w:rPr>
        <w:t>12019-10-310000104169wmt:WalmartInternationalMember2020-08-012020-10-310000104169wmt:WalmartInternationalMember2019-08-012019-10-310000104169wmt:WalmartInternationalMember2020-02-012020-10-310000104169wmt:WalmartInternationalMember2019-02-012019-10-3100001</w:t>
      </w:r>
      <w:r>
        <w:rPr>
          <w:rFonts w:ascii="宋体" w:eastAsia="宋体" w:hAnsi="宋体" w:cs="宋体"/>
          <w:vanish/>
        </w:rPr>
        <w:t>04169wmt:SamsClubMember2020-08-012020-10-310000104169wmt:SamsClubMember2019-08-012019-10-310000104169wmt:SamsClubMember2020-02-012020-10-310000104169wmt:SamsClubMember2019-02-012019-10-310000104169wmt:CorporateAndSupportMember2020-08-012020-10-310000104169</w:t>
      </w:r>
      <w:r>
        <w:rPr>
          <w:rFonts w:ascii="宋体" w:eastAsia="宋体" w:hAnsi="宋体" w:cs="宋体"/>
          <w:vanish/>
        </w:rPr>
        <w:t>wmt:CorporateAndSupportMember2019-08-012019-10-310000104169wmt:CorporateAndSupportMember2020-02-012020-10-310000104169wmt:CorporateAndSupportMember2019-02-012019-10-310000104169wmt:WalmartUSMemberwmt:GroceryMember2020-08-012020-10-310000104169wmt:WalmartUS</w:t>
      </w:r>
      <w:r>
        <w:rPr>
          <w:rFonts w:ascii="宋体" w:eastAsia="宋体" w:hAnsi="宋体" w:cs="宋体"/>
          <w:vanish/>
        </w:rPr>
        <w:t>Memberwmt:GroceryMember2019-08-012019-10-310000104169wmt:WalmartUSMemberwmt:GroceryMember2020-02-012020-10-310000104169wmt:WalmartUSMemberwmt:GroceryMember2019-02-012019-10-310000104169wmt:WalmartUSMemberwmt:GeneralMerchandiseMember2020-08-012020-10-310000</w:t>
      </w:r>
      <w:r>
        <w:rPr>
          <w:rFonts w:ascii="宋体" w:eastAsia="宋体" w:hAnsi="宋体" w:cs="宋体"/>
          <w:vanish/>
        </w:rPr>
        <w:t>104169wmt:WalmartUSMemberwmt:GeneralMerchandiseMember2019-08-012019-10-310000104169wmt:WalmartUSMemberwmt:GeneralMerchandiseMember2020-02-012020-10-310000104169wmt:WalmartUSMemberwmt:GeneralMerchandiseMember2019-02-012019-10-310000104169wmt:HealthandWellne</w:t>
      </w:r>
      <w:r>
        <w:rPr>
          <w:rFonts w:ascii="宋体" w:eastAsia="宋体" w:hAnsi="宋体" w:cs="宋体"/>
          <w:vanish/>
        </w:rPr>
        <w:t>ssMemberwmt:WalmartUSMember2020-08-012020-10-310000104169wmt:HealthandWellnessMemberwmt:WalmartUSMember2019-08-012019-10-310000104169wmt:HealthandWellnessMemberwmt:WalmartUSMember2020-02-012020-10-310000104169wmt:HealthandWellnessMemberwmt:WalmartUSMember2</w:t>
      </w:r>
      <w:r>
        <w:rPr>
          <w:rFonts w:ascii="宋体" w:eastAsia="宋体" w:hAnsi="宋体" w:cs="宋体"/>
          <w:vanish/>
        </w:rPr>
        <w:t>019-02-012019-10-310000104169wmt:OtherCategoriesMemberwmt:WalmartUSMember2020-08-012020-10-310000104169wmt:OtherCategoriesMemberwmt:WalmartUSMember2019-08-012019-10-310000104169wmt:OtherCategoriesMemberwmt:WalmartUSMember2020-02-012020-10-310000104169wmt:O</w:t>
      </w:r>
      <w:r>
        <w:rPr>
          <w:rFonts w:ascii="宋体" w:eastAsia="宋体" w:hAnsi="宋体" w:cs="宋体"/>
          <w:vanish/>
        </w:rPr>
        <w:t>therCategoriesMemberwmt:WalmartUSMember2019-02-012019-10-310000104169wmt:WalmartUSMemberwmt:ECommerceMember2020-08-012020-10-310000104169wmt:WalmartUSMemberwmt:ECommerceMember2019-08-012019-10-310000104169wmt:WalmartUSMemberwmt:ECommerceMember2020-02-01202</w:t>
      </w:r>
      <w:r>
        <w:rPr>
          <w:rFonts w:ascii="宋体" w:eastAsia="宋体" w:hAnsi="宋体" w:cs="宋体"/>
          <w:vanish/>
        </w:rPr>
        <w:t>0-10-310000104169wmt:WalmartUSMemberwmt:ECommerceMember2019-02-012019-10-310000104169wmt:WalmartInternationalMemberwmt:MexicoandCentralAmericaMember2020-08-012020-10-310000104169wmt:WalmartInternationalMemberwmt:MexicoandCentralAmericaMember2019-08-012019-</w:t>
      </w:r>
      <w:r>
        <w:rPr>
          <w:rFonts w:ascii="宋体" w:eastAsia="宋体" w:hAnsi="宋体" w:cs="宋体"/>
          <w:vanish/>
        </w:rPr>
        <w:t>10-310000104169wmt:WalmartInternationalMemberwmt:MexicoandCentralAmericaMember2020-02-012020-10-310000104169wmt:WalmartInternationalMemberwmt:MexicoandCentralAmericaMember2019-02-012019-10-310000104169wmt:WalmartInternationalMembercountry:GB2020-08-012020-</w:t>
      </w:r>
      <w:r>
        <w:rPr>
          <w:rFonts w:ascii="宋体" w:eastAsia="宋体" w:hAnsi="宋体" w:cs="宋体"/>
          <w:vanish/>
        </w:rPr>
        <w:t>10-310000104169wmt:WalmartInternationalMembercountry:GB2019-08-012019-10-310000104169wmt:WalmartInternationalMembercountry:GB2020-02-012020-10-310000104169wmt:WalmartInternationalMembercountry:GB2019-02-012019-10-310000104169country:CAwmt:WalmartInternatio</w:t>
      </w:r>
      <w:r>
        <w:rPr>
          <w:rFonts w:ascii="宋体" w:eastAsia="宋体" w:hAnsi="宋体" w:cs="宋体"/>
          <w:vanish/>
        </w:rPr>
        <w:t>nalMember2020-08-012020-10-310000104169country:CAwmt:WalmartInternationalMember2019-08-012019-10-310000104169country:CAwmt:WalmartInternationalMember2020-02-012020-10-310000104169country:CAwmt:WalmartInternationalMember2019-02-012019-10-310000104169wmt:Wal</w:t>
      </w:r>
      <w:r>
        <w:rPr>
          <w:rFonts w:ascii="宋体" w:eastAsia="宋体" w:hAnsi="宋体" w:cs="宋体"/>
          <w:vanish/>
        </w:rPr>
        <w:t>martInternationalMembercountry:CN2020-08-012020-10-310000104169wmt:WalmartInternationalMembercountry:CN2019-08-012019-10-310000104169wmt:WalmartInternationalMembercountry:CN2020-02-012020-10-310000104169wmt:WalmartInternationalMembercountry:CN2019-02-01201</w:t>
      </w:r>
      <w:r>
        <w:rPr>
          <w:rFonts w:ascii="宋体" w:eastAsia="宋体" w:hAnsi="宋体" w:cs="宋体"/>
          <w:vanish/>
        </w:rPr>
        <w:t>9-10-310000104169wmt:WalmartInternationalMemberwmt:OtherMember2020-08-012020-10-310000104169wmt:WalmartInternationalMemberwmt:OtherMember2019-08-012019-10-310000104169wmt:WalmartInternationalMemberwmt:OtherMember2020-02-012020-10-310000104169wmt:WalmartInt</w:t>
      </w:r>
      <w:r>
        <w:rPr>
          <w:rFonts w:ascii="宋体" w:eastAsia="宋体" w:hAnsi="宋体" w:cs="宋体"/>
          <w:vanish/>
        </w:rPr>
        <w:t>ernationalMemberwmt:OtherMember2019-02-012019-10-310000104169wmt:WalmartInternationalMemberwmt:ECommerceMember2020-08-012020-10-310000104169wmt:WalmartInternationalMemberwmt:ECommerceMember2019-08-012019-10-310000104169wmt:WalmartInternationalMemberwmt:ECo</w:t>
      </w:r>
      <w:r>
        <w:rPr>
          <w:rFonts w:ascii="宋体" w:eastAsia="宋体" w:hAnsi="宋体" w:cs="宋体"/>
          <w:vanish/>
        </w:rPr>
        <w:t>mmerceMember2020-02-012020-10-310000104169wmt:WalmartInternationalMemberwmt:ECommerceMember2019-02-012019-10-310000104169wmt:SamsClubMemberwmt:GroceryandconsumablesMember2020-08-012020-10-310000104169wmt:SamsClubMemberwmt:GroceryandconsumablesMember2019-08</w:t>
      </w:r>
      <w:r>
        <w:rPr>
          <w:rFonts w:ascii="宋体" w:eastAsia="宋体" w:hAnsi="宋体" w:cs="宋体"/>
          <w:vanish/>
        </w:rPr>
        <w:t>-012019-10-310000104169wmt:SamsClubMemberwmt:GroceryandconsumablesMember2020-02-012020-10-310000104169wmt:SamsClubMemberwmt:GroceryandconsumablesMember2019-02-012019-10-310000104169wmt:SamsClubMemberwmt:FueltobaccoandothercategoriesMember2020-08-012020-10-</w:t>
      </w:r>
      <w:r>
        <w:rPr>
          <w:rFonts w:ascii="宋体" w:eastAsia="宋体" w:hAnsi="宋体" w:cs="宋体"/>
          <w:vanish/>
        </w:rPr>
        <w:t>310000104169wmt:SamsClubMemberwmt:FueltobaccoandothercategoriesMember2019-08-012019-10-310000104169wmt:SamsClubMemberwmt:FueltobaccoandothercategoriesMember2020-02-012020-10-310000104169wmt:SamsClubMemberwmt:FueltobaccoandothercategoriesMember2019-02-01201</w:t>
      </w:r>
      <w:r>
        <w:rPr>
          <w:rFonts w:ascii="宋体" w:eastAsia="宋体" w:hAnsi="宋体" w:cs="宋体"/>
          <w:vanish/>
        </w:rPr>
        <w:t>9-10-310000104169wmt:SamsClubMemberwmt:HomeandapparelMember2020-08-012020-10-310000104169wmt:SamsClubMemberwmt:HomeandapparelMember2019-08-012019-10-310000104169wmt:SamsClubMemberwmt:HomeandapparelMember2020-02-012020-10-310000104169wmt:SamsClubMemberwmt:H</w:t>
      </w:r>
      <w:r>
        <w:rPr>
          <w:rFonts w:ascii="宋体" w:eastAsia="宋体" w:hAnsi="宋体" w:cs="宋体"/>
          <w:vanish/>
        </w:rPr>
        <w:t>omeandapparelMember2019-02-012019-10-310000104169wmt:SamsClubMemberwmt:HealthandWellnessMember2020-08-012020-10-310000104169wmt:SamsClubMemberwmt:HealthandWellnessMember2019-08-012019-10-310000104169wmt:SamsClubMemberwmt:HealthandWellnessMember2020-02-0120</w:t>
      </w:r>
      <w:r>
        <w:rPr>
          <w:rFonts w:ascii="宋体" w:eastAsia="宋体" w:hAnsi="宋体" w:cs="宋体"/>
          <w:vanish/>
        </w:rPr>
        <w:t>20-10-310000104169wmt:SamsClubMemberwmt:HealthandWellnessMember2019-02-012019-10-310000104169wmt:SamsClubMemberwmt:TechnologyofficesandentertainmentMember2020-08-012020-10-310000104169wmt:SamsClubMemberwmt:TechnologyofficesandentertainmentMember2019-08-012</w:t>
      </w:r>
      <w:r>
        <w:rPr>
          <w:rFonts w:ascii="宋体" w:eastAsia="宋体" w:hAnsi="宋体" w:cs="宋体"/>
          <w:vanish/>
        </w:rPr>
        <w:t>019-10-310000104169wmt:SamsClubMemberwmt:TechnologyofficesandentertainmentMember2020-02-012020-10-310000104169wmt:SamsClubMemberwmt:TechnologyofficesandentertainmentMember2019-02-012019-10-310000104169wmt:SamsClubMemberwmt:ECommerceMember2020-08-012020-10-</w:t>
      </w:r>
      <w:r>
        <w:rPr>
          <w:rFonts w:ascii="宋体" w:eastAsia="宋体" w:hAnsi="宋体" w:cs="宋体"/>
          <w:vanish/>
        </w:rPr>
        <w:t>310000104169wmt:SamsClubMemberwmt:ECommerceMember2019-08-012019-10-310000104169wmt:SamsClubMemberwmt:ECommerceMember2020-02-012020-10-310000104169wmt:SamsClubMemberwmt:ECommerceMember2019-02-012019-10-31</w:t>
      </w:r>
    </w:p>
    <w:p w14:paraId="7E783C2B" w14:textId="77777777" w:rsidR="00A82082" w:rsidRDefault="00A82082"/>
    <w:p w14:paraId="7E783C2C" w14:textId="77777777" w:rsidR="00A82082" w:rsidRDefault="00E946F9">
      <w:pPr>
        <w:jc w:val="center"/>
      </w:pPr>
      <w:r>
        <w:rPr>
          <w:rFonts w:ascii="Times New Roman" w:eastAsia="宋体" w:hAnsi="Times New Roman"/>
          <w:b/>
          <w:bCs/>
          <w:color w:val="000000"/>
          <w:sz w:val="32"/>
          <w:szCs w:val="32"/>
        </w:rPr>
        <w:t>UNITED STATES</w:t>
      </w:r>
    </w:p>
    <w:p w14:paraId="7E783C2D" w14:textId="77777777" w:rsidR="00A82082" w:rsidRDefault="00E946F9">
      <w:pPr>
        <w:jc w:val="center"/>
      </w:pPr>
      <w:r>
        <w:rPr>
          <w:rFonts w:ascii="Times New Roman" w:eastAsia="宋体" w:hAnsi="Times New Roman"/>
          <w:b/>
          <w:bCs/>
          <w:color w:val="000000"/>
          <w:sz w:val="32"/>
          <w:szCs w:val="32"/>
        </w:rPr>
        <w:t>SECURITIES AND EXCHANGE COMMISSION</w:t>
      </w:r>
    </w:p>
    <w:p w14:paraId="7E783C2E" w14:textId="77777777" w:rsidR="00A82082" w:rsidRDefault="00E946F9">
      <w:pPr>
        <w:jc w:val="center"/>
      </w:pPr>
      <w:r>
        <w:rPr>
          <w:rFonts w:ascii="Times New Roman" w:eastAsia="宋体" w:hAnsi="Times New Roman"/>
          <w:b/>
          <w:bCs/>
          <w:color w:val="000000"/>
          <w:sz w:val="22"/>
          <w:szCs w:val="22"/>
        </w:rPr>
        <w:t>Wa</w:t>
      </w:r>
      <w:r>
        <w:rPr>
          <w:rFonts w:ascii="Times New Roman" w:eastAsia="宋体" w:hAnsi="Times New Roman"/>
          <w:b/>
          <w:bCs/>
          <w:color w:val="000000"/>
          <w:sz w:val="22"/>
          <w:szCs w:val="22"/>
        </w:rPr>
        <w:t>shington, D.C. 20549</w:t>
      </w:r>
    </w:p>
    <w:p w14:paraId="7E783C2F" w14:textId="77777777" w:rsidR="00A82082" w:rsidRDefault="00E946F9">
      <w:pPr>
        <w:jc w:val="center"/>
      </w:pPr>
      <w:r>
        <w:rPr>
          <w:rFonts w:ascii="Times New Roman" w:eastAsia="宋体" w:hAnsi="Times New Roman"/>
          <w:b/>
          <w:bCs/>
          <w:color w:val="000000"/>
          <w:sz w:val="28"/>
          <w:szCs w:val="28"/>
        </w:rPr>
        <w:t xml:space="preserve">FORM 10-Q </w:t>
      </w:r>
    </w:p>
    <w:p w14:paraId="7E783C30" w14:textId="77777777" w:rsidR="00A82082" w:rsidRDefault="00E946F9">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A82082" w14:paraId="7E783C37" w14:textId="77777777">
        <w:tc>
          <w:tcPr>
            <w:tcW w:w="50" w:type="pct"/>
            <w:shd w:val="clear" w:color="auto" w:fill="auto"/>
          </w:tcPr>
          <w:p w14:paraId="7E783C31" w14:textId="77777777" w:rsidR="00A82082" w:rsidRDefault="00A82082">
            <w:pPr>
              <w:rPr>
                <w:rFonts w:ascii="宋体"/>
              </w:rPr>
            </w:pPr>
          </w:p>
        </w:tc>
        <w:tc>
          <w:tcPr>
            <w:tcW w:w="250" w:type="pct"/>
            <w:shd w:val="clear" w:color="auto" w:fill="auto"/>
          </w:tcPr>
          <w:p w14:paraId="7E783C32" w14:textId="77777777" w:rsidR="00A82082" w:rsidRDefault="00A82082">
            <w:pPr>
              <w:rPr>
                <w:rFonts w:ascii="宋体"/>
              </w:rPr>
            </w:pPr>
          </w:p>
        </w:tc>
        <w:tc>
          <w:tcPr>
            <w:tcW w:w="5" w:type="pct"/>
            <w:shd w:val="clear" w:color="auto" w:fill="auto"/>
          </w:tcPr>
          <w:p w14:paraId="7E783C33" w14:textId="77777777" w:rsidR="00A82082" w:rsidRDefault="00A82082">
            <w:pPr>
              <w:rPr>
                <w:rFonts w:ascii="宋体"/>
              </w:rPr>
            </w:pPr>
          </w:p>
        </w:tc>
        <w:tc>
          <w:tcPr>
            <w:tcW w:w="50" w:type="pct"/>
            <w:shd w:val="clear" w:color="auto" w:fill="auto"/>
          </w:tcPr>
          <w:p w14:paraId="7E783C34" w14:textId="77777777" w:rsidR="00A82082" w:rsidRDefault="00A82082">
            <w:pPr>
              <w:rPr>
                <w:rFonts w:ascii="宋体"/>
              </w:rPr>
            </w:pPr>
          </w:p>
        </w:tc>
        <w:tc>
          <w:tcPr>
            <w:tcW w:w="4639" w:type="pct"/>
            <w:shd w:val="clear" w:color="auto" w:fill="auto"/>
          </w:tcPr>
          <w:p w14:paraId="7E783C35" w14:textId="77777777" w:rsidR="00A82082" w:rsidRDefault="00A82082">
            <w:pPr>
              <w:rPr>
                <w:rFonts w:ascii="宋体"/>
              </w:rPr>
            </w:pPr>
          </w:p>
        </w:tc>
        <w:tc>
          <w:tcPr>
            <w:tcW w:w="5" w:type="pct"/>
            <w:shd w:val="clear" w:color="auto" w:fill="auto"/>
          </w:tcPr>
          <w:p w14:paraId="7E783C36" w14:textId="77777777" w:rsidR="00A82082" w:rsidRDefault="00A82082">
            <w:pPr>
              <w:rPr>
                <w:rFonts w:ascii="宋体"/>
              </w:rPr>
            </w:pPr>
          </w:p>
        </w:tc>
      </w:tr>
      <w:tr w:rsidR="00A82082" w14:paraId="7E783C3A" w14:textId="77777777">
        <w:tc>
          <w:tcPr>
            <w:tcW w:w="0" w:type="auto"/>
            <w:gridSpan w:val="3"/>
            <w:shd w:val="clear" w:color="auto" w:fill="auto"/>
            <w:tcMar>
              <w:top w:w="40" w:type="dxa"/>
              <w:left w:w="20" w:type="dxa"/>
              <w:bottom w:w="40" w:type="dxa"/>
              <w:right w:w="20" w:type="dxa"/>
            </w:tcMar>
          </w:tcPr>
          <w:p w14:paraId="7E783C38" w14:textId="77777777" w:rsidR="00A82082" w:rsidRDefault="00E946F9">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7E783C39" w14:textId="77777777" w:rsidR="00A82082" w:rsidRDefault="00E946F9">
            <w:pPr>
              <w:textAlignment w:val="top"/>
            </w:pPr>
            <w:r>
              <w:rPr>
                <w:rFonts w:ascii="Times New Roman" w:eastAsia="宋体" w:hAnsi="Times New Roman"/>
                <w:b/>
                <w:bCs/>
                <w:color w:val="000000"/>
                <w:sz w:val="18"/>
                <w:szCs w:val="18"/>
              </w:rPr>
              <w:t>Quarterly Report Pursuant to Section 13 or 15(d) of the Securities Exchange Act of 1934.</w:t>
            </w:r>
          </w:p>
        </w:tc>
      </w:tr>
    </w:tbl>
    <w:p w14:paraId="7E783C3B" w14:textId="77777777" w:rsidR="00A82082" w:rsidRDefault="00E946F9">
      <w:pPr>
        <w:spacing w:before="60"/>
        <w:jc w:val="center"/>
      </w:pPr>
      <w:r>
        <w:rPr>
          <w:rFonts w:ascii="Times New Roman" w:eastAsia="宋体" w:hAnsi="Times New Roman"/>
          <w:b/>
          <w:bCs/>
          <w:color w:val="000000"/>
          <w:sz w:val="18"/>
          <w:szCs w:val="18"/>
        </w:rPr>
        <w:t>For the quarterly period ended October 31, 2020.</w:t>
      </w:r>
    </w:p>
    <w:p w14:paraId="7E783C3C" w14:textId="77777777" w:rsidR="00A82082" w:rsidRDefault="00E946F9">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A82082" w14:paraId="7E783C43" w14:textId="77777777">
        <w:tc>
          <w:tcPr>
            <w:tcW w:w="50" w:type="pct"/>
            <w:shd w:val="clear" w:color="auto" w:fill="auto"/>
          </w:tcPr>
          <w:p w14:paraId="7E783C3D" w14:textId="77777777" w:rsidR="00A82082" w:rsidRDefault="00A82082">
            <w:pPr>
              <w:rPr>
                <w:rFonts w:ascii="宋体"/>
              </w:rPr>
            </w:pPr>
          </w:p>
        </w:tc>
        <w:tc>
          <w:tcPr>
            <w:tcW w:w="249" w:type="pct"/>
            <w:shd w:val="clear" w:color="auto" w:fill="auto"/>
          </w:tcPr>
          <w:p w14:paraId="7E783C3E" w14:textId="77777777" w:rsidR="00A82082" w:rsidRDefault="00A82082">
            <w:pPr>
              <w:rPr>
                <w:rFonts w:ascii="宋体"/>
              </w:rPr>
            </w:pPr>
          </w:p>
        </w:tc>
        <w:tc>
          <w:tcPr>
            <w:tcW w:w="5" w:type="pct"/>
            <w:shd w:val="clear" w:color="auto" w:fill="auto"/>
          </w:tcPr>
          <w:p w14:paraId="7E783C3F" w14:textId="77777777" w:rsidR="00A82082" w:rsidRDefault="00A82082">
            <w:pPr>
              <w:rPr>
                <w:rFonts w:ascii="宋体"/>
              </w:rPr>
            </w:pPr>
          </w:p>
        </w:tc>
        <w:tc>
          <w:tcPr>
            <w:tcW w:w="50" w:type="pct"/>
            <w:shd w:val="clear" w:color="auto" w:fill="auto"/>
          </w:tcPr>
          <w:p w14:paraId="7E783C40" w14:textId="77777777" w:rsidR="00A82082" w:rsidRDefault="00A82082">
            <w:pPr>
              <w:rPr>
                <w:rFonts w:ascii="宋体"/>
              </w:rPr>
            </w:pPr>
          </w:p>
        </w:tc>
        <w:tc>
          <w:tcPr>
            <w:tcW w:w="4640" w:type="pct"/>
            <w:shd w:val="clear" w:color="auto" w:fill="auto"/>
          </w:tcPr>
          <w:p w14:paraId="7E783C41" w14:textId="77777777" w:rsidR="00A82082" w:rsidRDefault="00A82082">
            <w:pPr>
              <w:rPr>
                <w:rFonts w:ascii="宋体"/>
              </w:rPr>
            </w:pPr>
          </w:p>
        </w:tc>
        <w:tc>
          <w:tcPr>
            <w:tcW w:w="5" w:type="pct"/>
            <w:shd w:val="clear" w:color="auto" w:fill="auto"/>
          </w:tcPr>
          <w:p w14:paraId="7E783C42" w14:textId="77777777" w:rsidR="00A82082" w:rsidRDefault="00A82082">
            <w:pPr>
              <w:rPr>
                <w:rFonts w:ascii="宋体"/>
              </w:rPr>
            </w:pPr>
          </w:p>
        </w:tc>
      </w:tr>
      <w:tr w:rsidR="00A82082" w14:paraId="7E783C46" w14:textId="77777777">
        <w:tc>
          <w:tcPr>
            <w:tcW w:w="0" w:type="auto"/>
            <w:gridSpan w:val="3"/>
            <w:shd w:val="clear" w:color="auto" w:fill="auto"/>
            <w:tcMar>
              <w:top w:w="40" w:type="dxa"/>
              <w:left w:w="20" w:type="dxa"/>
              <w:bottom w:w="40" w:type="dxa"/>
              <w:right w:w="20" w:type="dxa"/>
            </w:tcMar>
          </w:tcPr>
          <w:p w14:paraId="7E783C44" w14:textId="77777777" w:rsidR="00A82082" w:rsidRDefault="00E946F9">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7E783C45" w14:textId="77777777" w:rsidR="00A82082" w:rsidRDefault="00E946F9">
            <w:pPr>
              <w:textAlignment w:val="top"/>
            </w:pPr>
            <w:r>
              <w:rPr>
                <w:rFonts w:ascii="Times New Roman" w:eastAsia="宋体" w:hAnsi="Times New Roman"/>
                <w:b/>
                <w:bCs/>
                <w:color w:val="000000"/>
                <w:sz w:val="18"/>
                <w:szCs w:val="18"/>
              </w:rPr>
              <w:t xml:space="preserve">Transition Report Pursuant to Section 13 or </w:t>
            </w:r>
            <w:r>
              <w:rPr>
                <w:rFonts w:ascii="Times New Roman" w:eastAsia="宋体" w:hAnsi="Times New Roman"/>
                <w:b/>
                <w:bCs/>
                <w:color w:val="000000"/>
                <w:sz w:val="18"/>
                <w:szCs w:val="18"/>
              </w:rPr>
              <w:t>15(d) of the Securities Exchange Act of 1934.</w:t>
            </w:r>
          </w:p>
        </w:tc>
      </w:tr>
    </w:tbl>
    <w:p w14:paraId="7E783C47" w14:textId="77777777" w:rsidR="00A82082" w:rsidRDefault="00E946F9">
      <w:pPr>
        <w:spacing w:before="60"/>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7E783C48" w14:textId="77777777" w:rsidR="00A82082" w:rsidRDefault="00E946F9">
      <w:pPr>
        <w:spacing w:before="60"/>
        <w:jc w:val="center"/>
      </w:pPr>
      <w:r>
        <w:rPr>
          <w:rFonts w:ascii="Times New Roman" w:eastAsia="宋体" w:hAnsi="Times New Roman"/>
          <w:b/>
          <w:bCs/>
          <w:color w:val="000000"/>
          <w:sz w:val="18"/>
          <w:szCs w:val="18"/>
        </w:rPr>
        <w:t xml:space="preserve">Commission File Number 001-6991 </w:t>
      </w:r>
    </w:p>
    <w:p w14:paraId="7E783C49" w14:textId="77777777" w:rsidR="00A82082" w:rsidRDefault="00E946F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Viewer8_files/wmt-20201031_g1.jpg"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E786147" wp14:editId="7E786148">
            <wp:extent cx="304800" cy="304800"/>
            <wp:effectExtent l="0" t="0" r="0" b="0"/>
            <wp:docPr id="1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E783C4A" w14:textId="77777777" w:rsidR="00A82082" w:rsidRDefault="00E946F9">
      <w:pPr>
        <w:jc w:val="center"/>
      </w:pPr>
      <w:r>
        <w:rPr>
          <w:rFonts w:ascii="Times New Roman" w:eastAsia="宋体" w:hAnsi="Times New Roman"/>
          <w:b/>
          <w:bCs/>
          <w:color w:val="000000"/>
          <w:sz w:val="40"/>
          <w:szCs w:val="40"/>
        </w:rPr>
        <w:t xml:space="preserve">WALMART INC. </w:t>
      </w:r>
    </w:p>
    <w:p w14:paraId="7E783C4B" w14:textId="77777777" w:rsidR="00A82082" w:rsidRDefault="00E946F9">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A82082" w14:paraId="7E783C58" w14:textId="77777777">
        <w:trPr>
          <w:jc w:val="center"/>
        </w:trPr>
        <w:tc>
          <w:tcPr>
            <w:tcW w:w="50" w:type="pct"/>
            <w:shd w:val="clear" w:color="auto" w:fill="auto"/>
          </w:tcPr>
          <w:p w14:paraId="7E783C4C" w14:textId="77777777" w:rsidR="00A82082" w:rsidRDefault="00A82082">
            <w:pPr>
              <w:rPr>
                <w:rFonts w:ascii="宋体"/>
              </w:rPr>
            </w:pPr>
          </w:p>
        </w:tc>
        <w:tc>
          <w:tcPr>
            <w:tcW w:w="1254" w:type="pct"/>
            <w:shd w:val="clear" w:color="auto" w:fill="auto"/>
          </w:tcPr>
          <w:p w14:paraId="7E783C4D" w14:textId="77777777" w:rsidR="00A82082" w:rsidRDefault="00A82082">
            <w:pPr>
              <w:rPr>
                <w:rFonts w:ascii="宋体"/>
              </w:rPr>
            </w:pPr>
          </w:p>
        </w:tc>
        <w:tc>
          <w:tcPr>
            <w:tcW w:w="5" w:type="pct"/>
            <w:shd w:val="clear" w:color="auto" w:fill="auto"/>
          </w:tcPr>
          <w:p w14:paraId="7E783C4E" w14:textId="77777777" w:rsidR="00A82082" w:rsidRDefault="00A82082">
            <w:pPr>
              <w:rPr>
                <w:rFonts w:ascii="宋体"/>
              </w:rPr>
            </w:pPr>
          </w:p>
        </w:tc>
        <w:tc>
          <w:tcPr>
            <w:tcW w:w="50" w:type="pct"/>
            <w:shd w:val="clear" w:color="auto" w:fill="auto"/>
          </w:tcPr>
          <w:p w14:paraId="7E783C4F" w14:textId="77777777" w:rsidR="00A82082" w:rsidRDefault="00A82082">
            <w:pPr>
              <w:rPr>
                <w:rFonts w:ascii="宋体"/>
              </w:rPr>
            </w:pPr>
          </w:p>
        </w:tc>
        <w:tc>
          <w:tcPr>
            <w:tcW w:w="1254" w:type="pct"/>
            <w:shd w:val="clear" w:color="auto" w:fill="auto"/>
          </w:tcPr>
          <w:p w14:paraId="7E783C50" w14:textId="77777777" w:rsidR="00A82082" w:rsidRDefault="00A82082">
            <w:pPr>
              <w:rPr>
                <w:rFonts w:ascii="宋体"/>
              </w:rPr>
            </w:pPr>
          </w:p>
        </w:tc>
        <w:tc>
          <w:tcPr>
            <w:tcW w:w="5" w:type="pct"/>
            <w:shd w:val="clear" w:color="auto" w:fill="auto"/>
          </w:tcPr>
          <w:p w14:paraId="7E783C51" w14:textId="77777777" w:rsidR="00A82082" w:rsidRDefault="00A82082">
            <w:pPr>
              <w:rPr>
                <w:rFonts w:ascii="宋体"/>
              </w:rPr>
            </w:pPr>
          </w:p>
        </w:tc>
        <w:tc>
          <w:tcPr>
            <w:tcW w:w="5" w:type="pct"/>
            <w:shd w:val="clear" w:color="auto" w:fill="auto"/>
          </w:tcPr>
          <w:p w14:paraId="7E783C52" w14:textId="77777777" w:rsidR="00A82082" w:rsidRDefault="00A82082">
            <w:pPr>
              <w:rPr>
                <w:rFonts w:ascii="宋体"/>
              </w:rPr>
            </w:pPr>
          </w:p>
        </w:tc>
        <w:tc>
          <w:tcPr>
            <w:tcW w:w="27" w:type="pct"/>
            <w:shd w:val="clear" w:color="auto" w:fill="auto"/>
          </w:tcPr>
          <w:p w14:paraId="7E783C53" w14:textId="77777777" w:rsidR="00A82082" w:rsidRDefault="00A82082">
            <w:pPr>
              <w:rPr>
                <w:rFonts w:ascii="宋体"/>
              </w:rPr>
            </w:pPr>
          </w:p>
        </w:tc>
        <w:tc>
          <w:tcPr>
            <w:tcW w:w="5" w:type="pct"/>
            <w:shd w:val="clear" w:color="auto" w:fill="auto"/>
          </w:tcPr>
          <w:p w14:paraId="7E783C54" w14:textId="77777777" w:rsidR="00A82082" w:rsidRDefault="00A82082">
            <w:pPr>
              <w:rPr>
                <w:rFonts w:ascii="宋体"/>
              </w:rPr>
            </w:pPr>
          </w:p>
        </w:tc>
        <w:tc>
          <w:tcPr>
            <w:tcW w:w="50" w:type="pct"/>
            <w:shd w:val="clear" w:color="auto" w:fill="auto"/>
          </w:tcPr>
          <w:p w14:paraId="7E783C55" w14:textId="77777777" w:rsidR="00A82082" w:rsidRDefault="00A82082">
            <w:pPr>
              <w:rPr>
                <w:rFonts w:ascii="宋体"/>
              </w:rPr>
            </w:pPr>
          </w:p>
        </w:tc>
        <w:tc>
          <w:tcPr>
            <w:tcW w:w="2288" w:type="pct"/>
            <w:shd w:val="clear" w:color="auto" w:fill="auto"/>
          </w:tcPr>
          <w:p w14:paraId="7E783C56" w14:textId="77777777" w:rsidR="00A82082" w:rsidRDefault="00A82082">
            <w:pPr>
              <w:rPr>
                <w:rFonts w:ascii="宋体"/>
              </w:rPr>
            </w:pPr>
          </w:p>
        </w:tc>
        <w:tc>
          <w:tcPr>
            <w:tcW w:w="5" w:type="pct"/>
            <w:shd w:val="clear" w:color="auto" w:fill="auto"/>
          </w:tcPr>
          <w:p w14:paraId="7E783C57" w14:textId="77777777" w:rsidR="00A82082" w:rsidRDefault="00A82082">
            <w:pPr>
              <w:rPr>
                <w:rFonts w:ascii="宋体"/>
              </w:rPr>
            </w:pPr>
          </w:p>
        </w:tc>
      </w:tr>
      <w:tr w:rsidR="00A82082" w14:paraId="7E783C5C" w14:textId="77777777">
        <w:trPr>
          <w:jc w:val="center"/>
        </w:trPr>
        <w:tc>
          <w:tcPr>
            <w:tcW w:w="0" w:type="auto"/>
            <w:gridSpan w:val="6"/>
            <w:shd w:val="clear" w:color="auto" w:fill="auto"/>
            <w:tcMar>
              <w:top w:w="40" w:type="dxa"/>
              <w:left w:w="20" w:type="dxa"/>
              <w:bottom w:w="40" w:type="dxa"/>
              <w:right w:w="20" w:type="dxa"/>
            </w:tcMar>
          </w:tcPr>
          <w:p w14:paraId="7E783C59" w14:textId="77777777" w:rsidR="00A82082" w:rsidRDefault="00E946F9">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tcPr>
          <w:p w14:paraId="7E783C5A"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5B" w14:textId="77777777" w:rsidR="00A82082" w:rsidRDefault="00E946F9">
            <w:pPr>
              <w:jc w:val="center"/>
              <w:textAlignment w:val="top"/>
            </w:pPr>
            <w:r>
              <w:rPr>
                <w:rFonts w:ascii="Times New Roman" w:eastAsia="宋体" w:hAnsi="Times New Roman"/>
                <w:b/>
                <w:bCs/>
                <w:color w:val="000000"/>
                <w:sz w:val="20"/>
                <w:szCs w:val="20"/>
              </w:rPr>
              <w:t>71-0415188</w:t>
            </w:r>
          </w:p>
        </w:tc>
      </w:tr>
      <w:tr w:rsidR="00A82082" w14:paraId="7E783C60" w14:textId="77777777">
        <w:trPr>
          <w:jc w:val="center"/>
        </w:trPr>
        <w:tc>
          <w:tcPr>
            <w:tcW w:w="0" w:type="auto"/>
            <w:gridSpan w:val="6"/>
            <w:shd w:val="clear" w:color="auto" w:fill="auto"/>
            <w:tcMar>
              <w:top w:w="40" w:type="dxa"/>
              <w:left w:w="20" w:type="dxa"/>
              <w:bottom w:w="40" w:type="dxa"/>
              <w:right w:w="20" w:type="dxa"/>
            </w:tcMar>
            <w:vAlign w:val="bottom"/>
          </w:tcPr>
          <w:p w14:paraId="7E783C5D" w14:textId="77777777" w:rsidR="00A82082" w:rsidRDefault="00E946F9">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tcPr>
          <w:p w14:paraId="7E783C5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5F" w14:textId="77777777" w:rsidR="00A82082" w:rsidRDefault="00E946F9">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A82082" w14:paraId="7E783C64" w14:textId="77777777">
        <w:trPr>
          <w:trHeight w:val="100"/>
          <w:jc w:val="center"/>
        </w:trPr>
        <w:tc>
          <w:tcPr>
            <w:tcW w:w="0" w:type="auto"/>
            <w:gridSpan w:val="3"/>
            <w:shd w:val="clear" w:color="auto" w:fill="auto"/>
            <w:tcMar>
              <w:top w:w="0" w:type="dxa"/>
              <w:left w:w="20" w:type="dxa"/>
              <w:bottom w:w="0" w:type="dxa"/>
              <w:right w:w="20" w:type="dxa"/>
            </w:tcMar>
          </w:tcPr>
          <w:p w14:paraId="7E783C6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62"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3C63" w14:textId="77777777" w:rsidR="00A82082" w:rsidRDefault="00A82082">
            <w:pPr>
              <w:rPr>
                <w:rFonts w:ascii="宋体"/>
              </w:rPr>
            </w:pPr>
          </w:p>
        </w:tc>
      </w:tr>
      <w:tr w:rsidR="00A82082" w14:paraId="7E783C68" w14:textId="77777777">
        <w:trPr>
          <w:trHeight w:val="280"/>
          <w:jc w:val="center"/>
        </w:trPr>
        <w:tc>
          <w:tcPr>
            <w:tcW w:w="0" w:type="auto"/>
            <w:gridSpan w:val="6"/>
            <w:shd w:val="clear" w:color="auto" w:fill="auto"/>
            <w:tcMar>
              <w:top w:w="40" w:type="dxa"/>
              <w:left w:w="20" w:type="dxa"/>
              <w:bottom w:w="40" w:type="dxa"/>
              <w:right w:w="20" w:type="dxa"/>
            </w:tcMar>
            <w:vAlign w:val="bottom"/>
          </w:tcPr>
          <w:p w14:paraId="7E783C65" w14:textId="77777777" w:rsidR="00A82082" w:rsidRDefault="00E946F9">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tcPr>
          <w:p w14:paraId="7E783C66" w14:textId="77777777" w:rsidR="00A82082" w:rsidRDefault="00A8208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E783C67" w14:textId="77777777" w:rsidR="00A82082" w:rsidRDefault="00E946F9">
            <w:pPr>
              <w:jc w:val="center"/>
              <w:textAlignment w:val="bottom"/>
            </w:pPr>
            <w:r>
              <w:rPr>
                <w:rFonts w:ascii="Times New Roman" w:eastAsia="宋体" w:hAnsi="Times New Roman"/>
                <w:b/>
                <w:bCs/>
                <w:color w:val="000000"/>
                <w:sz w:val="20"/>
                <w:szCs w:val="20"/>
              </w:rPr>
              <w:t>72716</w:t>
            </w:r>
          </w:p>
        </w:tc>
      </w:tr>
      <w:tr w:rsidR="00A82082" w14:paraId="7E783C6D" w14:textId="77777777">
        <w:trPr>
          <w:trHeight w:val="280"/>
          <w:jc w:val="center"/>
        </w:trPr>
        <w:tc>
          <w:tcPr>
            <w:tcW w:w="0" w:type="auto"/>
            <w:gridSpan w:val="3"/>
            <w:shd w:val="clear" w:color="auto" w:fill="auto"/>
            <w:tcMar>
              <w:top w:w="40" w:type="dxa"/>
              <w:left w:w="20" w:type="dxa"/>
              <w:bottom w:w="40" w:type="dxa"/>
              <w:right w:w="20" w:type="dxa"/>
            </w:tcMar>
            <w:vAlign w:val="bottom"/>
          </w:tcPr>
          <w:p w14:paraId="7E783C69" w14:textId="77777777" w:rsidR="00A82082" w:rsidRDefault="00E946F9">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7E783C6A" w14:textId="77777777" w:rsidR="00A82082" w:rsidRDefault="00E946F9">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tcPr>
          <w:p w14:paraId="7E783C6B" w14:textId="77777777" w:rsidR="00A82082" w:rsidRDefault="00A82082">
            <w:pPr>
              <w:rPr>
                <w:rFonts w:ascii="宋体"/>
              </w:rPr>
            </w:pPr>
          </w:p>
        </w:tc>
        <w:tc>
          <w:tcPr>
            <w:tcW w:w="0" w:type="auto"/>
            <w:gridSpan w:val="3"/>
            <w:vMerge/>
            <w:shd w:val="clear" w:color="auto" w:fill="auto"/>
            <w:tcMar>
              <w:top w:w="40" w:type="dxa"/>
              <w:left w:w="20" w:type="dxa"/>
              <w:bottom w:w="40" w:type="dxa"/>
              <w:right w:w="20" w:type="dxa"/>
            </w:tcMar>
            <w:vAlign w:val="bottom"/>
          </w:tcPr>
          <w:p w14:paraId="7E783C6C" w14:textId="77777777" w:rsidR="00A82082" w:rsidRDefault="00A82082">
            <w:pPr>
              <w:jc w:val="center"/>
              <w:rPr>
                <w:rFonts w:ascii="宋体"/>
              </w:rPr>
            </w:pPr>
          </w:p>
        </w:tc>
      </w:tr>
      <w:tr w:rsidR="00A82082" w14:paraId="7E783C71" w14:textId="77777777">
        <w:trPr>
          <w:jc w:val="center"/>
        </w:trPr>
        <w:tc>
          <w:tcPr>
            <w:tcW w:w="0" w:type="auto"/>
            <w:gridSpan w:val="6"/>
            <w:shd w:val="clear" w:color="auto" w:fill="auto"/>
            <w:tcMar>
              <w:top w:w="40" w:type="dxa"/>
              <w:left w:w="20" w:type="dxa"/>
              <w:bottom w:w="40" w:type="dxa"/>
              <w:right w:w="20" w:type="dxa"/>
            </w:tcMar>
          </w:tcPr>
          <w:p w14:paraId="7E783C6E" w14:textId="77777777" w:rsidR="00A82082" w:rsidRDefault="00E946F9">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tcPr>
          <w:p w14:paraId="7E783C6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70" w14:textId="77777777" w:rsidR="00A82082" w:rsidRDefault="00E946F9">
            <w:pPr>
              <w:jc w:val="center"/>
              <w:textAlignment w:val="top"/>
            </w:pPr>
            <w:r>
              <w:rPr>
                <w:rFonts w:ascii="Times New Roman" w:eastAsia="宋体" w:hAnsi="Times New Roman"/>
                <w:b/>
                <w:bCs/>
                <w:color w:val="000000"/>
                <w:sz w:val="16"/>
                <w:szCs w:val="16"/>
              </w:rPr>
              <w:t>(Zip Code)</w:t>
            </w:r>
          </w:p>
        </w:tc>
      </w:tr>
    </w:tbl>
    <w:p w14:paraId="7E783C72" w14:textId="77777777" w:rsidR="00A82082" w:rsidRDefault="00A82082">
      <w:pPr>
        <w:jc w:val="center"/>
      </w:pPr>
    </w:p>
    <w:p w14:paraId="7E783C73" w14:textId="77777777" w:rsidR="00A82082" w:rsidRDefault="00E946F9">
      <w:pPr>
        <w:jc w:val="center"/>
      </w:pPr>
      <w:r>
        <w:rPr>
          <w:rFonts w:ascii="Times New Roman" w:eastAsia="宋体" w:hAnsi="Times New Roman"/>
          <w:b/>
          <w:bCs/>
          <w:color w:val="000000"/>
          <w:sz w:val="16"/>
          <w:szCs w:val="16"/>
        </w:rPr>
        <w:t xml:space="preserve">Registrant's telephone number, including area code: (479) 273-4000 </w:t>
      </w:r>
    </w:p>
    <w:p w14:paraId="7E783C74" w14:textId="77777777" w:rsidR="00A82082" w:rsidRDefault="00E946F9">
      <w:pPr>
        <w:jc w:val="center"/>
      </w:pPr>
      <w:r>
        <w:rPr>
          <w:rFonts w:ascii="Times New Roman" w:eastAsia="宋体" w:hAnsi="Times New Roman"/>
          <w:b/>
          <w:bCs/>
          <w:color w:val="000000"/>
          <w:sz w:val="16"/>
          <w:szCs w:val="16"/>
        </w:rPr>
        <w:t>Former name, former address and former fiscal year, if changed since last report: N/A</w:t>
      </w:r>
    </w:p>
    <w:p w14:paraId="7E783C75" w14:textId="77777777" w:rsidR="00A82082" w:rsidRDefault="00E946F9">
      <w:pPr>
        <w:spacing w:before="120"/>
      </w:pPr>
      <w:r>
        <w:rPr>
          <w:rFonts w:ascii="Times New Roman" w:eastAsia="宋体" w:hAnsi="Times New Roman"/>
          <w:color w:val="000000"/>
          <w:sz w:val="18"/>
          <w:szCs w:val="18"/>
        </w:rPr>
        <w:t>Indicate by check mark whether the registrant (1) has filed all reports required to be filed by Sectio</w:t>
      </w:r>
      <w:r>
        <w:rPr>
          <w:rFonts w:ascii="Times New Roman" w:eastAsia="宋体" w:hAnsi="Times New Roman"/>
          <w:color w:val="000000"/>
          <w:sz w:val="18"/>
          <w:szCs w:val="18"/>
        </w:rPr>
        <w:t>n 13 or 15(d) of the Securities Exchange Act of 1934 during the preceding 12 months (or such shorter periods 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Times New Roman" w:eastAsia="宋体" w:hAnsi="Times New Roman"/>
          <w:color w:val="000000"/>
          <w:sz w:val="18"/>
          <w:szCs w:val="18"/>
        </w:rPr>
        <w:t> </w:t>
      </w:r>
      <w:r>
        <w:rPr>
          <w:rFonts w:ascii="Arial Unicode MS" w:eastAsia="Arial Unicode MS" w:hAnsi="Arial Unicode MS" w:cs="Arial Unicode MS" w:hint="eastAsia"/>
          <w:color w:val="000000"/>
          <w:sz w:val="20"/>
          <w:szCs w:val="20"/>
        </w:rPr>
        <w:t>☐</w:t>
      </w:r>
    </w:p>
    <w:p w14:paraId="7E783C76" w14:textId="77777777" w:rsidR="00A82082" w:rsidRDefault="00E946F9">
      <w:pPr>
        <w:spacing w:before="120"/>
      </w:pPr>
      <w:r>
        <w:rPr>
          <w:rFonts w:ascii="Times New Roman" w:eastAsia="宋体" w:hAnsi="Times New Roman"/>
          <w:color w:val="000000"/>
          <w:sz w:val="18"/>
          <w:szCs w:val="18"/>
        </w:rPr>
        <w:t xml:space="preserve">Indicate by check mark whether the registrant has submitted electronically every Interactive Data File required to be submitted pursuant to Rule 405 of Regulation S-T (§232.405 of this chapter) during the preceding 12 months (or for such shorter period </w:t>
      </w:r>
      <w:r>
        <w:rPr>
          <w:rFonts w:ascii="Times New Roman" w:eastAsia="宋体" w:hAnsi="Times New Roman"/>
          <w:color w:val="000000"/>
          <w:sz w:val="18"/>
          <w:szCs w:val="18"/>
        </w:rPr>
        <w:t>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7E783C77" w14:textId="77777777" w:rsidR="00A82082" w:rsidRDefault="00A82082"/>
    <w:p w14:paraId="7E783C78" w14:textId="77777777" w:rsidR="00A82082" w:rsidRDefault="00E946F9">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A82082" w14:paraId="7E783C88" w14:textId="77777777">
        <w:trPr>
          <w:jc w:val="center"/>
        </w:trPr>
        <w:tc>
          <w:tcPr>
            <w:tcW w:w="50" w:type="pct"/>
            <w:shd w:val="clear" w:color="auto" w:fill="auto"/>
          </w:tcPr>
          <w:p w14:paraId="7E783C79" w14:textId="77777777" w:rsidR="00A82082" w:rsidRDefault="00A82082">
            <w:pPr>
              <w:rPr>
                <w:rFonts w:ascii="宋体"/>
              </w:rPr>
            </w:pPr>
          </w:p>
        </w:tc>
        <w:tc>
          <w:tcPr>
            <w:tcW w:w="1577" w:type="pct"/>
            <w:shd w:val="clear" w:color="auto" w:fill="auto"/>
          </w:tcPr>
          <w:p w14:paraId="7E783C7A" w14:textId="77777777" w:rsidR="00A82082" w:rsidRDefault="00A82082">
            <w:pPr>
              <w:rPr>
                <w:rFonts w:ascii="宋体"/>
              </w:rPr>
            </w:pPr>
          </w:p>
        </w:tc>
        <w:tc>
          <w:tcPr>
            <w:tcW w:w="5" w:type="pct"/>
            <w:shd w:val="clear" w:color="auto" w:fill="auto"/>
          </w:tcPr>
          <w:p w14:paraId="7E783C7B" w14:textId="77777777" w:rsidR="00A82082" w:rsidRDefault="00A82082">
            <w:pPr>
              <w:rPr>
                <w:rFonts w:ascii="宋体"/>
              </w:rPr>
            </w:pPr>
          </w:p>
        </w:tc>
        <w:tc>
          <w:tcPr>
            <w:tcW w:w="5" w:type="pct"/>
            <w:shd w:val="clear" w:color="auto" w:fill="auto"/>
          </w:tcPr>
          <w:p w14:paraId="7E783C7C" w14:textId="77777777" w:rsidR="00A82082" w:rsidRDefault="00A82082">
            <w:pPr>
              <w:rPr>
                <w:rFonts w:ascii="宋体"/>
              </w:rPr>
            </w:pPr>
          </w:p>
        </w:tc>
        <w:tc>
          <w:tcPr>
            <w:tcW w:w="40" w:type="pct"/>
            <w:shd w:val="clear" w:color="auto" w:fill="auto"/>
          </w:tcPr>
          <w:p w14:paraId="7E783C7D" w14:textId="77777777" w:rsidR="00A82082" w:rsidRDefault="00A82082">
            <w:pPr>
              <w:rPr>
                <w:rFonts w:ascii="宋体"/>
              </w:rPr>
            </w:pPr>
          </w:p>
        </w:tc>
        <w:tc>
          <w:tcPr>
            <w:tcW w:w="5" w:type="pct"/>
            <w:shd w:val="clear" w:color="auto" w:fill="auto"/>
          </w:tcPr>
          <w:p w14:paraId="7E783C7E" w14:textId="77777777" w:rsidR="00A82082" w:rsidRDefault="00A82082">
            <w:pPr>
              <w:rPr>
                <w:rFonts w:ascii="宋体"/>
              </w:rPr>
            </w:pPr>
          </w:p>
        </w:tc>
        <w:tc>
          <w:tcPr>
            <w:tcW w:w="50" w:type="pct"/>
            <w:shd w:val="clear" w:color="auto" w:fill="auto"/>
          </w:tcPr>
          <w:p w14:paraId="7E783C7F" w14:textId="77777777" w:rsidR="00A82082" w:rsidRDefault="00A82082">
            <w:pPr>
              <w:rPr>
                <w:rFonts w:ascii="宋体"/>
              </w:rPr>
            </w:pPr>
          </w:p>
        </w:tc>
        <w:tc>
          <w:tcPr>
            <w:tcW w:w="1577" w:type="pct"/>
            <w:shd w:val="clear" w:color="auto" w:fill="auto"/>
          </w:tcPr>
          <w:p w14:paraId="7E783C80" w14:textId="77777777" w:rsidR="00A82082" w:rsidRDefault="00A82082">
            <w:pPr>
              <w:rPr>
                <w:rFonts w:ascii="宋体"/>
              </w:rPr>
            </w:pPr>
          </w:p>
        </w:tc>
        <w:tc>
          <w:tcPr>
            <w:tcW w:w="5" w:type="pct"/>
            <w:shd w:val="clear" w:color="auto" w:fill="auto"/>
          </w:tcPr>
          <w:p w14:paraId="7E783C81" w14:textId="77777777" w:rsidR="00A82082" w:rsidRDefault="00A82082">
            <w:pPr>
              <w:rPr>
                <w:rFonts w:ascii="宋体"/>
              </w:rPr>
            </w:pPr>
          </w:p>
        </w:tc>
        <w:tc>
          <w:tcPr>
            <w:tcW w:w="5" w:type="pct"/>
            <w:shd w:val="clear" w:color="auto" w:fill="auto"/>
          </w:tcPr>
          <w:p w14:paraId="7E783C82" w14:textId="77777777" w:rsidR="00A82082" w:rsidRDefault="00A82082">
            <w:pPr>
              <w:rPr>
                <w:rFonts w:ascii="宋体"/>
              </w:rPr>
            </w:pPr>
          </w:p>
        </w:tc>
        <w:tc>
          <w:tcPr>
            <w:tcW w:w="40" w:type="pct"/>
            <w:shd w:val="clear" w:color="auto" w:fill="auto"/>
          </w:tcPr>
          <w:p w14:paraId="7E783C83" w14:textId="77777777" w:rsidR="00A82082" w:rsidRDefault="00A82082">
            <w:pPr>
              <w:rPr>
                <w:rFonts w:ascii="宋体"/>
              </w:rPr>
            </w:pPr>
          </w:p>
        </w:tc>
        <w:tc>
          <w:tcPr>
            <w:tcW w:w="5" w:type="pct"/>
            <w:shd w:val="clear" w:color="auto" w:fill="auto"/>
          </w:tcPr>
          <w:p w14:paraId="7E783C84" w14:textId="77777777" w:rsidR="00A82082" w:rsidRDefault="00A82082">
            <w:pPr>
              <w:rPr>
                <w:rFonts w:ascii="宋体"/>
              </w:rPr>
            </w:pPr>
          </w:p>
        </w:tc>
        <w:tc>
          <w:tcPr>
            <w:tcW w:w="50" w:type="pct"/>
            <w:shd w:val="clear" w:color="auto" w:fill="auto"/>
          </w:tcPr>
          <w:p w14:paraId="7E783C85" w14:textId="77777777" w:rsidR="00A82082" w:rsidRDefault="00A82082">
            <w:pPr>
              <w:rPr>
                <w:rFonts w:ascii="宋体"/>
              </w:rPr>
            </w:pPr>
          </w:p>
        </w:tc>
        <w:tc>
          <w:tcPr>
            <w:tcW w:w="1577" w:type="pct"/>
            <w:shd w:val="clear" w:color="auto" w:fill="auto"/>
          </w:tcPr>
          <w:p w14:paraId="7E783C86" w14:textId="77777777" w:rsidR="00A82082" w:rsidRDefault="00A82082">
            <w:pPr>
              <w:rPr>
                <w:rFonts w:ascii="宋体"/>
              </w:rPr>
            </w:pPr>
          </w:p>
        </w:tc>
        <w:tc>
          <w:tcPr>
            <w:tcW w:w="5" w:type="pct"/>
            <w:shd w:val="clear" w:color="auto" w:fill="auto"/>
          </w:tcPr>
          <w:p w14:paraId="7E783C87" w14:textId="77777777" w:rsidR="00A82082" w:rsidRDefault="00A82082">
            <w:pPr>
              <w:rPr>
                <w:rFonts w:ascii="宋体"/>
              </w:rPr>
            </w:pPr>
          </w:p>
        </w:tc>
      </w:tr>
      <w:tr w:rsidR="00A82082" w14:paraId="7E783C8E" w14:textId="77777777">
        <w:trPr>
          <w:jc w:val="center"/>
        </w:trPr>
        <w:tc>
          <w:tcPr>
            <w:tcW w:w="0" w:type="auto"/>
            <w:gridSpan w:val="3"/>
            <w:shd w:val="clear" w:color="auto" w:fill="auto"/>
            <w:tcMar>
              <w:top w:w="40" w:type="dxa"/>
              <w:left w:w="20" w:type="dxa"/>
              <w:bottom w:w="40" w:type="dxa"/>
              <w:right w:w="20" w:type="dxa"/>
            </w:tcMar>
          </w:tcPr>
          <w:p w14:paraId="7E783C89" w14:textId="77777777" w:rsidR="00A82082" w:rsidRDefault="00E946F9">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tcPr>
          <w:p w14:paraId="7E783C8A"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8B" w14:textId="77777777" w:rsidR="00A82082" w:rsidRDefault="00E946F9">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tcPr>
          <w:p w14:paraId="7E783C8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8D" w14:textId="77777777" w:rsidR="00A82082" w:rsidRDefault="00E946F9">
            <w:pPr>
              <w:jc w:val="center"/>
              <w:textAlignment w:val="top"/>
            </w:pPr>
            <w:r>
              <w:rPr>
                <w:rFonts w:ascii="Times New Roman" w:eastAsia="宋体" w:hAnsi="Times New Roman"/>
                <w:color w:val="000000"/>
                <w:sz w:val="16"/>
                <w:szCs w:val="16"/>
              </w:rPr>
              <w:t>Name of each exchange on which registered</w:t>
            </w:r>
          </w:p>
        </w:tc>
      </w:tr>
      <w:tr w:rsidR="00A82082" w14:paraId="7E783C94"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E783C8F" w14:textId="77777777" w:rsidR="00A82082" w:rsidRDefault="00E946F9">
            <w:pPr>
              <w:jc w:val="center"/>
              <w:textAlignment w:val="top"/>
            </w:pPr>
            <w:r>
              <w:rPr>
                <w:rFonts w:ascii="Times New Roman" w:eastAsia="宋体" w:hAnsi="Times New Roman"/>
                <w:color w:val="000000"/>
                <w:sz w:val="16"/>
                <w:szCs w:val="16"/>
              </w:rPr>
              <w:t xml:space="preserve">Common Stock, par </w:t>
            </w:r>
            <w:r>
              <w:rPr>
                <w:rFonts w:ascii="Times New Roman" w:eastAsia="宋体" w:hAnsi="Times New Roman"/>
                <w:color w:val="000000"/>
                <w:sz w:val="16"/>
                <w:szCs w:val="16"/>
              </w:rPr>
              <w:t>value $0.10 per share</w:t>
            </w:r>
          </w:p>
        </w:tc>
        <w:tc>
          <w:tcPr>
            <w:tcW w:w="0" w:type="auto"/>
            <w:gridSpan w:val="3"/>
            <w:shd w:val="clear" w:color="auto" w:fill="auto"/>
            <w:tcMar>
              <w:top w:w="0" w:type="dxa"/>
              <w:left w:w="20" w:type="dxa"/>
              <w:bottom w:w="0" w:type="dxa"/>
              <w:right w:w="20" w:type="dxa"/>
            </w:tcMar>
          </w:tcPr>
          <w:p w14:paraId="7E783C9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E783C91" w14:textId="77777777" w:rsidR="00A82082" w:rsidRDefault="00E946F9">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tcPr>
          <w:p w14:paraId="7E783C9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E783C93" w14:textId="77777777" w:rsidR="00A82082" w:rsidRDefault="00E946F9">
            <w:pPr>
              <w:jc w:val="center"/>
              <w:textAlignment w:val="top"/>
            </w:pPr>
            <w:r>
              <w:rPr>
                <w:rFonts w:ascii="Times New Roman" w:eastAsia="宋体" w:hAnsi="Times New Roman"/>
                <w:color w:val="000000"/>
                <w:sz w:val="16"/>
                <w:szCs w:val="16"/>
              </w:rPr>
              <w:t>New York Stock Exchange</w:t>
            </w:r>
          </w:p>
        </w:tc>
      </w:tr>
      <w:tr w:rsidR="00A82082" w14:paraId="7E783C9A" w14:textId="77777777">
        <w:trPr>
          <w:jc w:val="center"/>
        </w:trPr>
        <w:tc>
          <w:tcPr>
            <w:tcW w:w="0" w:type="auto"/>
            <w:gridSpan w:val="3"/>
            <w:shd w:val="clear" w:color="auto" w:fill="auto"/>
            <w:tcMar>
              <w:top w:w="40" w:type="dxa"/>
              <w:left w:w="20" w:type="dxa"/>
              <w:bottom w:w="40" w:type="dxa"/>
              <w:right w:w="20" w:type="dxa"/>
            </w:tcMar>
          </w:tcPr>
          <w:p w14:paraId="7E783C95" w14:textId="77777777" w:rsidR="00A82082" w:rsidRDefault="00E946F9">
            <w:pPr>
              <w:jc w:val="center"/>
              <w:textAlignment w:val="top"/>
            </w:pPr>
            <w:r>
              <w:rPr>
                <w:rFonts w:ascii="Times New Roman" w:eastAsia="宋体" w:hAnsi="Times New Roman"/>
                <w:color w:val="000000"/>
                <w:sz w:val="16"/>
                <w:szCs w:val="16"/>
              </w:rPr>
              <w:t>1.900% Notes Due 2022</w:t>
            </w:r>
          </w:p>
        </w:tc>
        <w:tc>
          <w:tcPr>
            <w:tcW w:w="0" w:type="auto"/>
            <w:gridSpan w:val="3"/>
            <w:shd w:val="clear" w:color="auto" w:fill="auto"/>
            <w:tcMar>
              <w:top w:w="0" w:type="dxa"/>
              <w:left w:w="20" w:type="dxa"/>
              <w:bottom w:w="0" w:type="dxa"/>
              <w:right w:w="20" w:type="dxa"/>
            </w:tcMar>
          </w:tcPr>
          <w:p w14:paraId="7E783C96"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97" w14:textId="77777777" w:rsidR="00A82082" w:rsidRDefault="00E946F9">
            <w:pPr>
              <w:jc w:val="center"/>
              <w:textAlignment w:val="top"/>
            </w:pPr>
            <w:r>
              <w:rPr>
                <w:rFonts w:ascii="Times New Roman" w:eastAsia="宋体" w:hAnsi="Times New Roman"/>
                <w:color w:val="000000"/>
                <w:sz w:val="16"/>
                <w:szCs w:val="16"/>
              </w:rPr>
              <w:t>WMT22</w:t>
            </w:r>
          </w:p>
        </w:tc>
        <w:tc>
          <w:tcPr>
            <w:tcW w:w="0" w:type="auto"/>
            <w:gridSpan w:val="3"/>
            <w:shd w:val="clear" w:color="auto" w:fill="auto"/>
            <w:tcMar>
              <w:top w:w="0" w:type="dxa"/>
              <w:left w:w="20" w:type="dxa"/>
              <w:bottom w:w="0" w:type="dxa"/>
              <w:right w:w="20" w:type="dxa"/>
            </w:tcMar>
          </w:tcPr>
          <w:p w14:paraId="7E783C98"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99" w14:textId="77777777" w:rsidR="00A82082" w:rsidRDefault="00E946F9">
            <w:pPr>
              <w:jc w:val="center"/>
              <w:textAlignment w:val="top"/>
            </w:pPr>
            <w:r>
              <w:rPr>
                <w:rFonts w:ascii="Times New Roman" w:eastAsia="宋体" w:hAnsi="Times New Roman"/>
                <w:color w:val="000000"/>
                <w:sz w:val="16"/>
                <w:szCs w:val="16"/>
              </w:rPr>
              <w:t>New York Stock Exchange</w:t>
            </w:r>
          </w:p>
        </w:tc>
      </w:tr>
      <w:tr w:rsidR="00A82082" w14:paraId="7E783CA0" w14:textId="77777777">
        <w:trPr>
          <w:jc w:val="center"/>
        </w:trPr>
        <w:tc>
          <w:tcPr>
            <w:tcW w:w="0" w:type="auto"/>
            <w:gridSpan w:val="3"/>
            <w:shd w:val="clear" w:color="auto" w:fill="auto"/>
            <w:tcMar>
              <w:top w:w="40" w:type="dxa"/>
              <w:left w:w="20" w:type="dxa"/>
              <w:bottom w:w="40" w:type="dxa"/>
              <w:right w:w="20" w:type="dxa"/>
            </w:tcMar>
          </w:tcPr>
          <w:p w14:paraId="7E783C9B" w14:textId="77777777" w:rsidR="00A82082" w:rsidRDefault="00E946F9">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tcPr>
          <w:p w14:paraId="7E783C9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9D" w14:textId="77777777" w:rsidR="00A82082" w:rsidRDefault="00E946F9">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tcPr>
          <w:p w14:paraId="7E783C9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3C9F" w14:textId="77777777" w:rsidR="00A82082" w:rsidRDefault="00E946F9">
            <w:pPr>
              <w:jc w:val="center"/>
              <w:textAlignment w:val="top"/>
            </w:pPr>
            <w:r>
              <w:rPr>
                <w:rFonts w:ascii="Times New Roman" w:eastAsia="宋体" w:hAnsi="Times New Roman"/>
                <w:color w:val="000000"/>
                <w:sz w:val="16"/>
                <w:szCs w:val="16"/>
              </w:rPr>
              <w:t>New York Stock Exchange</w:t>
            </w:r>
          </w:p>
        </w:tc>
      </w:tr>
    </w:tbl>
    <w:p w14:paraId="7E783CA1" w14:textId="77777777" w:rsidR="00A82082" w:rsidRDefault="00E946F9">
      <w:pPr>
        <w:spacing w:before="120"/>
      </w:pPr>
      <w:r>
        <w:rPr>
          <w:rFonts w:ascii="Times New Roman" w:eastAsia="宋体" w:hAnsi="Times New Roman"/>
          <w:color w:val="000000"/>
          <w:sz w:val="18"/>
          <w:szCs w:val="18"/>
        </w:rPr>
        <w:t xml:space="preserve">Indicate by check mark whether the registrant is a large accelerated filer, an accelerated filer, a non-accelerated filer, smaller reporting company, or an emerging growth company. See definitions of "large accelerated filer," </w:t>
      </w:r>
      <w:r>
        <w:rPr>
          <w:rFonts w:ascii="Times New Roman" w:eastAsia="宋体" w:hAnsi="Times New Roman"/>
          <w:color w:val="000000"/>
          <w:sz w:val="18"/>
          <w:szCs w:val="18"/>
        </w:rPr>
        <w:lastRenderedPageBreak/>
        <w:t>"accelerated filer," "smaller</w:t>
      </w:r>
      <w:r>
        <w:rPr>
          <w:rFonts w:ascii="Times New Roman" w:eastAsia="宋体" w:hAnsi="Times New Roman"/>
          <w:color w:val="000000"/>
          <w:sz w:val="18"/>
          <w:szCs w:val="18"/>
        </w:rPr>
        <w:t xml:space="preserve"> reporting company," and "emerging growth company" in Rule 12b-2 of the Exchange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A82082" w14:paraId="7E783CB7" w14:textId="77777777">
        <w:tc>
          <w:tcPr>
            <w:tcW w:w="50" w:type="pct"/>
            <w:shd w:val="clear" w:color="auto" w:fill="auto"/>
          </w:tcPr>
          <w:p w14:paraId="7E783CA2" w14:textId="77777777" w:rsidR="00A82082" w:rsidRDefault="00A82082">
            <w:pPr>
              <w:rPr>
                <w:rFonts w:ascii="宋体"/>
              </w:rPr>
            </w:pPr>
          </w:p>
        </w:tc>
        <w:tc>
          <w:tcPr>
            <w:tcW w:w="1581" w:type="pct"/>
            <w:shd w:val="clear" w:color="auto" w:fill="auto"/>
          </w:tcPr>
          <w:p w14:paraId="7E783CA3" w14:textId="77777777" w:rsidR="00A82082" w:rsidRDefault="00A82082">
            <w:pPr>
              <w:rPr>
                <w:rFonts w:ascii="宋体"/>
              </w:rPr>
            </w:pPr>
          </w:p>
        </w:tc>
        <w:tc>
          <w:tcPr>
            <w:tcW w:w="5" w:type="pct"/>
            <w:shd w:val="clear" w:color="auto" w:fill="auto"/>
          </w:tcPr>
          <w:p w14:paraId="7E783CA4" w14:textId="77777777" w:rsidR="00A82082" w:rsidRDefault="00A82082">
            <w:pPr>
              <w:rPr>
                <w:rFonts w:ascii="宋体"/>
              </w:rPr>
            </w:pPr>
          </w:p>
        </w:tc>
        <w:tc>
          <w:tcPr>
            <w:tcW w:w="50" w:type="pct"/>
            <w:shd w:val="clear" w:color="auto" w:fill="auto"/>
          </w:tcPr>
          <w:p w14:paraId="7E783CA5" w14:textId="77777777" w:rsidR="00A82082" w:rsidRDefault="00A82082">
            <w:pPr>
              <w:rPr>
                <w:rFonts w:ascii="宋体"/>
              </w:rPr>
            </w:pPr>
          </w:p>
        </w:tc>
        <w:tc>
          <w:tcPr>
            <w:tcW w:w="127" w:type="pct"/>
            <w:shd w:val="clear" w:color="auto" w:fill="auto"/>
          </w:tcPr>
          <w:p w14:paraId="7E783CA6" w14:textId="77777777" w:rsidR="00A82082" w:rsidRDefault="00A82082">
            <w:pPr>
              <w:rPr>
                <w:rFonts w:ascii="宋体"/>
              </w:rPr>
            </w:pPr>
          </w:p>
        </w:tc>
        <w:tc>
          <w:tcPr>
            <w:tcW w:w="5" w:type="pct"/>
            <w:shd w:val="clear" w:color="auto" w:fill="auto"/>
          </w:tcPr>
          <w:p w14:paraId="7E783CA7" w14:textId="77777777" w:rsidR="00A82082" w:rsidRDefault="00A82082">
            <w:pPr>
              <w:rPr>
                <w:rFonts w:ascii="宋体"/>
              </w:rPr>
            </w:pPr>
          </w:p>
        </w:tc>
        <w:tc>
          <w:tcPr>
            <w:tcW w:w="50" w:type="pct"/>
            <w:shd w:val="clear" w:color="auto" w:fill="auto"/>
          </w:tcPr>
          <w:p w14:paraId="7E783CA8" w14:textId="77777777" w:rsidR="00A82082" w:rsidRDefault="00A82082">
            <w:pPr>
              <w:rPr>
                <w:rFonts w:ascii="宋体"/>
              </w:rPr>
            </w:pPr>
          </w:p>
        </w:tc>
        <w:tc>
          <w:tcPr>
            <w:tcW w:w="941" w:type="pct"/>
            <w:shd w:val="clear" w:color="auto" w:fill="auto"/>
          </w:tcPr>
          <w:p w14:paraId="7E783CA9" w14:textId="77777777" w:rsidR="00A82082" w:rsidRDefault="00A82082">
            <w:pPr>
              <w:rPr>
                <w:rFonts w:ascii="宋体"/>
              </w:rPr>
            </w:pPr>
          </w:p>
        </w:tc>
        <w:tc>
          <w:tcPr>
            <w:tcW w:w="5" w:type="pct"/>
            <w:shd w:val="clear" w:color="auto" w:fill="auto"/>
          </w:tcPr>
          <w:p w14:paraId="7E783CAA" w14:textId="77777777" w:rsidR="00A82082" w:rsidRDefault="00A82082">
            <w:pPr>
              <w:rPr>
                <w:rFonts w:ascii="宋体"/>
              </w:rPr>
            </w:pPr>
          </w:p>
        </w:tc>
        <w:tc>
          <w:tcPr>
            <w:tcW w:w="50" w:type="pct"/>
            <w:shd w:val="clear" w:color="auto" w:fill="auto"/>
          </w:tcPr>
          <w:p w14:paraId="7E783CAB" w14:textId="77777777" w:rsidR="00A82082" w:rsidRDefault="00A82082">
            <w:pPr>
              <w:rPr>
                <w:rFonts w:ascii="宋体"/>
              </w:rPr>
            </w:pPr>
          </w:p>
        </w:tc>
        <w:tc>
          <w:tcPr>
            <w:tcW w:w="127" w:type="pct"/>
            <w:shd w:val="clear" w:color="auto" w:fill="auto"/>
          </w:tcPr>
          <w:p w14:paraId="7E783CAC" w14:textId="77777777" w:rsidR="00A82082" w:rsidRDefault="00A82082">
            <w:pPr>
              <w:rPr>
                <w:rFonts w:ascii="宋体"/>
              </w:rPr>
            </w:pPr>
          </w:p>
        </w:tc>
        <w:tc>
          <w:tcPr>
            <w:tcW w:w="5" w:type="pct"/>
            <w:shd w:val="clear" w:color="auto" w:fill="auto"/>
          </w:tcPr>
          <w:p w14:paraId="7E783CAD" w14:textId="77777777" w:rsidR="00A82082" w:rsidRDefault="00A82082">
            <w:pPr>
              <w:rPr>
                <w:rFonts w:ascii="宋体"/>
              </w:rPr>
            </w:pPr>
          </w:p>
        </w:tc>
        <w:tc>
          <w:tcPr>
            <w:tcW w:w="50" w:type="pct"/>
            <w:shd w:val="clear" w:color="auto" w:fill="auto"/>
          </w:tcPr>
          <w:p w14:paraId="7E783CAE" w14:textId="77777777" w:rsidR="00A82082" w:rsidRDefault="00A82082">
            <w:pPr>
              <w:rPr>
                <w:rFonts w:ascii="宋体"/>
              </w:rPr>
            </w:pPr>
          </w:p>
        </w:tc>
        <w:tc>
          <w:tcPr>
            <w:tcW w:w="1581" w:type="pct"/>
            <w:shd w:val="clear" w:color="auto" w:fill="auto"/>
          </w:tcPr>
          <w:p w14:paraId="7E783CAF" w14:textId="77777777" w:rsidR="00A82082" w:rsidRDefault="00A82082">
            <w:pPr>
              <w:rPr>
                <w:rFonts w:ascii="宋体"/>
              </w:rPr>
            </w:pPr>
          </w:p>
        </w:tc>
        <w:tc>
          <w:tcPr>
            <w:tcW w:w="5" w:type="pct"/>
            <w:shd w:val="clear" w:color="auto" w:fill="auto"/>
          </w:tcPr>
          <w:p w14:paraId="7E783CB0" w14:textId="77777777" w:rsidR="00A82082" w:rsidRDefault="00A82082">
            <w:pPr>
              <w:rPr>
                <w:rFonts w:ascii="宋体"/>
              </w:rPr>
            </w:pPr>
          </w:p>
        </w:tc>
        <w:tc>
          <w:tcPr>
            <w:tcW w:w="50" w:type="pct"/>
            <w:shd w:val="clear" w:color="auto" w:fill="auto"/>
          </w:tcPr>
          <w:p w14:paraId="7E783CB1" w14:textId="77777777" w:rsidR="00A82082" w:rsidRDefault="00A82082">
            <w:pPr>
              <w:rPr>
                <w:rFonts w:ascii="宋体"/>
              </w:rPr>
            </w:pPr>
          </w:p>
        </w:tc>
        <w:tc>
          <w:tcPr>
            <w:tcW w:w="127" w:type="pct"/>
            <w:shd w:val="clear" w:color="auto" w:fill="auto"/>
          </w:tcPr>
          <w:p w14:paraId="7E783CB2" w14:textId="77777777" w:rsidR="00A82082" w:rsidRDefault="00A82082">
            <w:pPr>
              <w:rPr>
                <w:rFonts w:ascii="宋体"/>
              </w:rPr>
            </w:pPr>
          </w:p>
        </w:tc>
        <w:tc>
          <w:tcPr>
            <w:tcW w:w="5" w:type="pct"/>
            <w:shd w:val="clear" w:color="auto" w:fill="auto"/>
          </w:tcPr>
          <w:p w14:paraId="7E783CB3" w14:textId="77777777" w:rsidR="00A82082" w:rsidRDefault="00A82082">
            <w:pPr>
              <w:rPr>
                <w:rFonts w:ascii="宋体"/>
              </w:rPr>
            </w:pPr>
          </w:p>
        </w:tc>
        <w:tc>
          <w:tcPr>
            <w:tcW w:w="50" w:type="pct"/>
            <w:shd w:val="clear" w:color="auto" w:fill="auto"/>
          </w:tcPr>
          <w:p w14:paraId="7E783CB4" w14:textId="77777777" w:rsidR="00A82082" w:rsidRDefault="00A82082">
            <w:pPr>
              <w:rPr>
                <w:rFonts w:ascii="宋体"/>
              </w:rPr>
            </w:pPr>
          </w:p>
        </w:tc>
        <w:tc>
          <w:tcPr>
            <w:tcW w:w="128" w:type="pct"/>
            <w:shd w:val="clear" w:color="auto" w:fill="auto"/>
          </w:tcPr>
          <w:p w14:paraId="7E783CB5" w14:textId="77777777" w:rsidR="00A82082" w:rsidRDefault="00A82082">
            <w:pPr>
              <w:rPr>
                <w:rFonts w:ascii="宋体"/>
              </w:rPr>
            </w:pPr>
          </w:p>
        </w:tc>
        <w:tc>
          <w:tcPr>
            <w:tcW w:w="5" w:type="pct"/>
            <w:shd w:val="clear" w:color="auto" w:fill="auto"/>
          </w:tcPr>
          <w:p w14:paraId="7E783CB6" w14:textId="77777777" w:rsidR="00A82082" w:rsidRDefault="00A82082">
            <w:pPr>
              <w:rPr>
                <w:rFonts w:ascii="宋体"/>
              </w:rPr>
            </w:pPr>
          </w:p>
        </w:tc>
      </w:tr>
      <w:tr w:rsidR="00A82082" w14:paraId="7E783CBF" w14:textId="77777777">
        <w:tc>
          <w:tcPr>
            <w:tcW w:w="0" w:type="auto"/>
            <w:gridSpan w:val="3"/>
            <w:shd w:val="clear" w:color="auto" w:fill="auto"/>
            <w:tcMar>
              <w:top w:w="40" w:type="dxa"/>
              <w:left w:w="20" w:type="dxa"/>
              <w:bottom w:w="40" w:type="dxa"/>
              <w:right w:w="20" w:type="dxa"/>
            </w:tcMar>
            <w:vAlign w:val="bottom"/>
          </w:tcPr>
          <w:p w14:paraId="7E783CB8" w14:textId="77777777" w:rsidR="00A82082" w:rsidRDefault="00E946F9">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7E783CB9"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BA" w14:textId="77777777" w:rsidR="00A82082" w:rsidRDefault="00E946F9">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E783CBB"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BC" w14:textId="77777777" w:rsidR="00A82082" w:rsidRDefault="00E946F9">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7E783CBD"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BE" w14:textId="77777777" w:rsidR="00A82082" w:rsidRDefault="00E946F9">
            <w:pPr>
              <w:textAlignment w:val="bottom"/>
            </w:pPr>
            <w:r>
              <w:rPr>
                <w:rFonts w:ascii="Arial Unicode MS" w:eastAsia="Arial Unicode MS" w:hAnsi="Arial Unicode MS" w:cs="Arial Unicode MS" w:hint="eastAsia"/>
                <w:color w:val="000000"/>
                <w:sz w:val="20"/>
                <w:szCs w:val="20"/>
              </w:rPr>
              <w:t>☐</w:t>
            </w:r>
          </w:p>
        </w:tc>
      </w:tr>
      <w:tr w:rsidR="00A82082" w14:paraId="7E783CC7" w14:textId="77777777">
        <w:tc>
          <w:tcPr>
            <w:tcW w:w="0" w:type="auto"/>
            <w:gridSpan w:val="3"/>
            <w:shd w:val="clear" w:color="auto" w:fill="auto"/>
            <w:tcMar>
              <w:top w:w="40" w:type="dxa"/>
              <w:left w:w="20" w:type="dxa"/>
              <w:bottom w:w="40" w:type="dxa"/>
              <w:right w:w="20" w:type="dxa"/>
            </w:tcMar>
            <w:vAlign w:val="bottom"/>
          </w:tcPr>
          <w:p w14:paraId="7E783CC0" w14:textId="77777777" w:rsidR="00A82082" w:rsidRDefault="00E946F9">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7E783CC1"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C2" w14:textId="77777777" w:rsidR="00A82082" w:rsidRDefault="00E946F9">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E783CC3"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C4" w14:textId="77777777" w:rsidR="00A82082" w:rsidRDefault="00E946F9">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7E783CC5" w14:textId="77777777" w:rsidR="00A82082" w:rsidRDefault="00E946F9">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783CC6" w14:textId="77777777" w:rsidR="00A82082" w:rsidRDefault="00E946F9">
            <w:pPr>
              <w:textAlignment w:val="bottom"/>
            </w:pPr>
            <w:r>
              <w:rPr>
                <w:rFonts w:ascii="Arial Unicode MS" w:eastAsia="Arial Unicode MS" w:hAnsi="Arial Unicode MS" w:cs="Arial Unicode MS" w:hint="eastAsia"/>
                <w:color w:val="000000"/>
                <w:sz w:val="20"/>
                <w:szCs w:val="20"/>
              </w:rPr>
              <w:t>☐</w:t>
            </w:r>
          </w:p>
        </w:tc>
      </w:tr>
      <w:tr w:rsidR="00A82082" w14:paraId="7E783CCF" w14:textId="77777777">
        <w:tc>
          <w:tcPr>
            <w:tcW w:w="0" w:type="auto"/>
            <w:gridSpan w:val="3"/>
            <w:shd w:val="clear" w:color="auto" w:fill="auto"/>
            <w:tcMar>
              <w:top w:w="0" w:type="dxa"/>
              <w:left w:w="20" w:type="dxa"/>
              <w:bottom w:w="0" w:type="dxa"/>
              <w:right w:w="20" w:type="dxa"/>
            </w:tcMar>
          </w:tcPr>
          <w:p w14:paraId="7E783CC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C9"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C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C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CC" w14:textId="77777777" w:rsidR="00A82082" w:rsidRDefault="00E946F9">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tcPr>
          <w:p w14:paraId="7E783CC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CE" w14:textId="77777777" w:rsidR="00A82082" w:rsidRDefault="00E946F9">
            <w:pPr>
              <w:textAlignment w:val="bottom"/>
            </w:pPr>
            <w:r>
              <w:rPr>
                <w:rFonts w:ascii="Arial Unicode MS" w:eastAsia="Arial Unicode MS" w:hAnsi="Arial Unicode MS" w:cs="Arial Unicode MS" w:hint="eastAsia"/>
                <w:color w:val="000000"/>
                <w:sz w:val="20"/>
                <w:szCs w:val="20"/>
              </w:rPr>
              <w:t>☐</w:t>
            </w:r>
          </w:p>
        </w:tc>
      </w:tr>
    </w:tbl>
    <w:p w14:paraId="7E783CD0" w14:textId="77777777" w:rsidR="00A82082" w:rsidRDefault="00E946F9">
      <w:pPr>
        <w:spacing w:before="1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7E783CD1" w14:textId="77777777" w:rsidR="00A82082" w:rsidRDefault="00E946F9">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7E783CD2" w14:textId="77777777" w:rsidR="00A82082" w:rsidRDefault="00E946F9">
      <w:pPr>
        <w:spacing w:before="60"/>
      </w:pPr>
      <w:r>
        <w:rPr>
          <w:rFonts w:ascii="Times New Roman" w:eastAsia="宋体" w:hAnsi="Times New Roman"/>
          <w:color w:val="000000"/>
          <w:sz w:val="18"/>
          <w:szCs w:val="18"/>
        </w:rPr>
        <w:t>The registrant had 2,829,285,926</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November 30, 2020.</w:t>
      </w:r>
    </w:p>
    <w:p w14:paraId="7E783CD3" w14:textId="77777777" w:rsidR="00A82082" w:rsidRDefault="00A82082"/>
    <w:p w14:paraId="7E783CD4" w14:textId="77777777" w:rsidR="00A82082" w:rsidRDefault="00E946F9">
      <w:r>
        <w:pict w14:anchorId="7E786149">
          <v:rect id="_x0000_i1025" style="width:415.3pt;height:1.5pt" o:hralign="center" o:hrstd="t" o:hr="t" fillcolor="#a0a0a0" stroked="f"/>
        </w:pict>
      </w:r>
    </w:p>
    <w:p w14:paraId="7E783CD5" w14:textId="77777777" w:rsidR="00A82082" w:rsidRDefault="00E946F9">
      <w:hyperlink r:id="rId7" w:anchor="i5c815528a95c4409b9043de534639b9a_7" w:history="1">
        <w:r>
          <w:rPr>
            <w:rStyle w:val="a5"/>
            <w:rFonts w:ascii="Times New Roman" w:eastAsia="宋体" w:hAnsi="Times New Roman"/>
            <w:sz w:val="20"/>
            <w:szCs w:val="20"/>
          </w:rPr>
          <w:t>Table of Contents</w:t>
        </w:r>
      </w:hyperlink>
    </w:p>
    <w:p w14:paraId="7E783CD6" w14:textId="77777777" w:rsidR="00A82082" w:rsidRDefault="00E946F9">
      <w:pPr>
        <w:jc w:val="center"/>
      </w:pPr>
      <w:r>
        <w:rPr>
          <w:rFonts w:ascii="Times New Roman" w:eastAsia="宋体" w:hAnsi="Times New Roman"/>
          <w:b/>
          <w:bCs/>
          <w:color w:val="000000"/>
          <w:sz w:val="20"/>
          <w:szCs w:val="20"/>
        </w:rPr>
        <w:t>Walmart Inc.</w:t>
      </w:r>
    </w:p>
    <w:p w14:paraId="7E783CD7" w14:textId="77777777" w:rsidR="00A82082" w:rsidRDefault="00E946F9">
      <w:pPr>
        <w:jc w:val="center"/>
      </w:pPr>
      <w:r>
        <w:rPr>
          <w:rFonts w:ascii="Times New Roman" w:eastAsia="宋体" w:hAnsi="Times New Roman"/>
          <w:b/>
          <w:bCs/>
          <w:color w:val="000000"/>
          <w:sz w:val="20"/>
          <w:szCs w:val="20"/>
        </w:rPr>
        <w:t>Form 10-Q</w:t>
      </w:r>
    </w:p>
    <w:p w14:paraId="7E783CD8" w14:textId="77777777" w:rsidR="00A82082" w:rsidRDefault="00E946F9">
      <w:pPr>
        <w:jc w:val="center"/>
      </w:pPr>
      <w:r>
        <w:rPr>
          <w:rFonts w:ascii="Times New Roman" w:eastAsia="宋体" w:hAnsi="Times New Roman"/>
          <w:b/>
          <w:bCs/>
          <w:color w:val="000000"/>
          <w:sz w:val="20"/>
          <w:szCs w:val="20"/>
        </w:rPr>
        <w:t xml:space="preserve">For the Quarterly Period Ended October 31, 2020 </w:t>
      </w:r>
    </w:p>
    <w:p w14:paraId="7E783CD9" w14:textId="77777777" w:rsidR="00A82082" w:rsidRDefault="00A82082">
      <w:pPr>
        <w:jc w:val="center"/>
      </w:pPr>
    </w:p>
    <w:p w14:paraId="7E783CDA" w14:textId="77777777" w:rsidR="00A82082" w:rsidRDefault="00A82082">
      <w:pPr>
        <w:jc w:val="center"/>
      </w:pPr>
    </w:p>
    <w:p w14:paraId="7E783CDB" w14:textId="77777777" w:rsidR="00A82082" w:rsidRDefault="00A82082">
      <w:pPr>
        <w:jc w:val="center"/>
      </w:pPr>
    </w:p>
    <w:p w14:paraId="7E783CDC" w14:textId="77777777" w:rsidR="00A82082" w:rsidRDefault="00E946F9">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A82082" w14:paraId="7E783CE9" w14:textId="77777777">
        <w:trPr>
          <w:jc w:val="center"/>
        </w:trPr>
        <w:tc>
          <w:tcPr>
            <w:tcW w:w="50" w:type="pct"/>
            <w:shd w:val="clear" w:color="auto" w:fill="auto"/>
          </w:tcPr>
          <w:p w14:paraId="7E783CDD" w14:textId="77777777" w:rsidR="00A82082" w:rsidRDefault="00A82082">
            <w:pPr>
              <w:rPr>
                <w:rFonts w:ascii="宋体"/>
              </w:rPr>
            </w:pPr>
          </w:p>
        </w:tc>
        <w:tc>
          <w:tcPr>
            <w:tcW w:w="295" w:type="pct"/>
            <w:shd w:val="clear" w:color="auto" w:fill="auto"/>
          </w:tcPr>
          <w:p w14:paraId="7E783CDE" w14:textId="77777777" w:rsidR="00A82082" w:rsidRDefault="00A82082">
            <w:pPr>
              <w:rPr>
                <w:rFonts w:ascii="宋体"/>
              </w:rPr>
            </w:pPr>
          </w:p>
        </w:tc>
        <w:tc>
          <w:tcPr>
            <w:tcW w:w="5" w:type="pct"/>
            <w:shd w:val="clear" w:color="auto" w:fill="auto"/>
          </w:tcPr>
          <w:p w14:paraId="7E783CDF" w14:textId="77777777" w:rsidR="00A82082" w:rsidRDefault="00A82082">
            <w:pPr>
              <w:rPr>
                <w:rFonts w:ascii="宋体"/>
              </w:rPr>
            </w:pPr>
          </w:p>
        </w:tc>
        <w:tc>
          <w:tcPr>
            <w:tcW w:w="50" w:type="pct"/>
            <w:shd w:val="clear" w:color="auto" w:fill="auto"/>
          </w:tcPr>
          <w:p w14:paraId="7E783CE0" w14:textId="77777777" w:rsidR="00A82082" w:rsidRDefault="00A82082">
            <w:pPr>
              <w:rPr>
                <w:rFonts w:ascii="宋体"/>
              </w:rPr>
            </w:pPr>
          </w:p>
        </w:tc>
        <w:tc>
          <w:tcPr>
            <w:tcW w:w="390" w:type="pct"/>
            <w:shd w:val="clear" w:color="auto" w:fill="auto"/>
          </w:tcPr>
          <w:p w14:paraId="7E783CE1" w14:textId="77777777" w:rsidR="00A82082" w:rsidRDefault="00A82082">
            <w:pPr>
              <w:rPr>
                <w:rFonts w:ascii="宋体"/>
              </w:rPr>
            </w:pPr>
          </w:p>
        </w:tc>
        <w:tc>
          <w:tcPr>
            <w:tcW w:w="5" w:type="pct"/>
            <w:shd w:val="clear" w:color="auto" w:fill="auto"/>
          </w:tcPr>
          <w:p w14:paraId="7E783CE2" w14:textId="77777777" w:rsidR="00A82082" w:rsidRDefault="00A82082">
            <w:pPr>
              <w:rPr>
                <w:rFonts w:ascii="宋体"/>
              </w:rPr>
            </w:pPr>
          </w:p>
        </w:tc>
        <w:tc>
          <w:tcPr>
            <w:tcW w:w="50" w:type="pct"/>
            <w:shd w:val="clear" w:color="auto" w:fill="auto"/>
          </w:tcPr>
          <w:p w14:paraId="7E783CE3" w14:textId="77777777" w:rsidR="00A82082" w:rsidRDefault="00A82082">
            <w:pPr>
              <w:rPr>
                <w:rFonts w:ascii="宋体"/>
              </w:rPr>
            </w:pPr>
          </w:p>
        </w:tc>
        <w:tc>
          <w:tcPr>
            <w:tcW w:w="3768" w:type="pct"/>
            <w:shd w:val="clear" w:color="auto" w:fill="auto"/>
          </w:tcPr>
          <w:p w14:paraId="7E783CE4" w14:textId="77777777" w:rsidR="00A82082" w:rsidRDefault="00A82082">
            <w:pPr>
              <w:rPr>
                <w:rFonts w:ascii="宋体"/>
              </w:rPr>
            </w:pPr>
          </w:p>
        </w:tc>
        <w:tc>
          <w:tcPr>
            <w:tcW w:w="5" w:type="pct"/>
            <w:shd w:val="clear" w:color="auto" w:fill="auto"/>
          </w:tcPr>
          <w:p w14:paraId="7E783CE5" w14:textId="77777777" w:rsidR="00A82082" w:rsidRDefault="00A82082">
            <w:pPr>
              <w:rPr>
                <w:rFonts w:ascii="宋体"/>
              </w:rPr>
            </w:pPr>
          </w:p>
        </w:tc>
        <w:tc>
          <w:tcPr>
            <w:tcW w:w="50" w:type="pct"/>
            <w:shd w:val="clear" w:color="auto" w:fill="auto"/>
          </w:tcPr>
          <w:p w14:paraId="7E783CE6" w14:textId="77777777" w:rsidR="00A82082" w:rsidRDefault="00A82082">
            <w:pPr>
              <w:rPr>
                <w:rFonts w:ascii="宋体"/>
              </w:rPr>
            </w:pPr>
          </w:p>
        </w:tc>
        <w:tc>
          <w:tcPr>
            <w:tcW w:w="325" w:type="pct"/>
            <w:shd w:val="clear" w:color="auto" w:fill="auto"/>
          </w:tcPr>
          <w:p w14:paraId="7E783CE7" w14:textId="77777777" w:rsidR="00A82082" w:rsidRDefault="00A82082">
            <w:pPr>
              <w:rPr>
                <w:rFonts w:ascii="宋体"/>
              </w:rPr>
            </w:pPr>
          </w:p>
        </w:tc>
        <w:tc>
          <w:tcPr>
            <w:tcW w:w="5" w:type="pct"/>
            <w:shd w:val="clear" w:color="auto" w:fill="auto"/>
          </w:tcPr>
          <w:p w14:paraId="7E783CE8" w14:textId="77777777" w:rsidR="00A82082" w:rsidRDefault="00A82082">
            <w:pPr>
              <w:rPr>
                <w:rFonts w:ascii="宋体"/>
              </w:rPr>
            </w:pPr>
          </w:p>
        </w:tc>
      </w:tr>
      <w:tr w:rsidR="00A82082" w14:paraId="7E783CEE" w14:textId="77777777">
        <w:trPr>
          <w:jc w:val="center"/>
        </w:trPr>
        <w:tc>
          <w:tcPr>
            <w:tcW w:w="0" w:type="auto"/>
            <w:gridSpan w:val="3"/>
            <w:shd w:val="clear" w:color="auto" w:fill="auto"/>
            <w:tcMar>
              <w:top w:w="0" w:type="dxa"/>
              <w:left w:w="20" w:type="dxa"/>
              <w:bottom w:w="0" w:type="dxa"/>
              <w:right w:w="20" w:type="dxa"/>
            </w:tcMar>
          </w:tcPr>
          <w:p w14:paraId="7E783CE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E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E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ED" w14:textId="77777777" w:rsidR="00A82082" w:rsidRDefault="00E946F9">
            <w:pPr>
              <w:jc w:val="center"/>
              <w:textAlignment w:val="bottom"/>
            </w:pPr>
            <w:r>
              <w:rPr>
                <w:rFonts w:ascii="Times New Roman" w:eastAsia="宋体" w:hAnsi="Times New Roman"/>
                <w:b/>
                <w:bCs/>
                <w:color w:val="000000"/>
                <w:sz w:val="18"/>
                <w:szCs w:val="18"/>
              </w:rPr>
              <w:t>Page</w:t>
            </w:r>
          </w:p>
        </w:tc>
      </w:tr>
      <w:tr w:rsidR="00A82082" w14:paraId="7E783CF1" w14:textId="77777777">
        <w:trPr>
          <w:jc w:val="center"/>
        </w:trPr>
        <w:tc>
          <w:tcPr>
            <w:tcW w:w="0" w:type="auto"/>
            <w:gridSpan w:val="9"/>
            <w:shd w:val="clear" w:color="auto" w:fill="auto"/>
            <w:tcMar>
              <w:top w:w="40" w:type="dxa"/>
              <w:left w:w="20" w:type="dxa"/>
              <w:bottom w:w="40" w:type="dxa"/>
              <w:right w:w="20" w:type="dxa"/>
            </w:tcMar>
            <w:vAlign w:val="bottom"/>
          </w:tcPr>
          <w:p w14:paraId="7E783CEF" w14:textId="77777777" w:rsidR="00A82082" w:rsidRDefault="00E946F9">
            <w:pPr>
              <w:textAlignment w:val="bottom"/>
            </w:pPr>
            <w:hyperlink r:id="rId8" w:anchor="i5c815528a95c4409b9043de534639b9a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tcPr>
          <w:p w14:paraId="7E783CF0" w14:textId="77777777" w:rsidR="00A82082" w:rsidRDefault="00A82082">
            <w:pPr>
              <w:rPr>
                <w:rFonts w:ascii="宋体"/>
              </w:rPr>
            </w:pPr>
          </w:p>
        </w:tc>
      </w:tr>
      <w:tr w:rsidR="00A82082" w14:paraId="7E783CF5" w14:textId="77777777">
        <w:trPr>
          <w:jc w:val="center"/>
        </w:trPr>
        <w:tc>
          <w:tcPr>
            <w:tcW w:w="0" w:type="auto"/>
            <w:gridSpan w:val="3"/>
            <w:shd w:val="clear" w:color="auto" w:fill="auto"/>
            <w:tcMar>
              <w:top w:w="0" w:type="dxa"/>
              <w:left w:w="20" w:type="dxa"/>
              <w:bottom w:w="0" w:type="dxa"/>
              <w:right w:w="20" w:type="dxa"/>
            </w:tcMar>
          </w:tcPr>
          <w:p w14:paraId="7E783CF2"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CF3" w14:textId="77777777" w:rsidR="00A82082" w:rsidRDefault="00E946F9">
            <w:pPr>
              <w:textAlignment w:val="bottom"/>
            </w:pPr>
            <w:hyperlink r:id="rId9" w:anchor="i5c815528a95c4409b9043de534639b9a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tcPr>
          <w:p w14:paraId="7E783CF4" w14:textId="77777777" w:rsidR="00A82082" w:rsidRDefault="00A82082">
            <w:pPr>
              <w:rPr>
                <w:rFonts w:ascii="宋体"/>
              </w:rPr>
            </w:pPr>
          </w:p>
        </w:tc>
      </w:tr>
      <w:tr w:rsidR="00A82082" w14:paraId="7E783CFA" w14:textId="77777777">
        <w:trPr>
          <w:jc w:val="center"/>
        </w:trPr>
        <w:tc>
          <w:tcPr>
            <w:tcW w:w="0" w:type="auto"/>
            <w:gridSpan w:val="3"/>
            <w:shd w:val="clear" w:color="auto" w:fill="auto"/>
            <w:tcMar>
              <w:top w:w="0" w:type="dxa"/>
              <w:left w:w="20" w:type="dxa"/>
              <w:bottom w:w="0" w:type="dxa"/>
              <w:right w:w="20" w:type="dxa"/>
            </w:tcMar>
          </w:tcPr>
          <w:p w14:paraId="7E783CF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F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F8" w14:textId="77777777" w:rsidR="00A82082" w:rsidRDefault="00E946F9">
            <w:pPr>
              <w:textAlignment w:val="bottom"/>
            </w:pPr>
            <w:hyperlink r:id="rId10" w:anchor="i5c815528a95c4409b9043de534639b9a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7E783CF9" w14:textId="77777777" w:rsidR="00A82082" w:rsidRDefault="00E946F9">
            <w:pPr>
              <w:jc w:val="center"/>
              <w:textAlignment w:val="bottom"/>
            </w:pPr>
            <w:hyperlink r:id="rId11" w:anchor="i5c815528a95c4409b9043de534639b9a_16" w:history="1">
              <w:r>
                <w:rPr>
                  <w:rStyle w:val="a5"/>
                  <w:rFonts w:ascii="Times New Roman" w:eastAsia="宋体" w:hAnsi="Times New Roman"/>
                  <w:sz w:val="18"/>
                  <w:szCs w:val="18"/>
                </w:rPr>
                <w:t>3</w:t>
              </w:r>
            </w:hyperlink>
          </w:p>
        </w:tc>
      </w:tr>
      <w:tr w:rsidR="00A82082" w14:paraId="7E783CFF" w14:textId="77777777">
        <w:trPr>
          <w:jc w:val="center"/>
        </w:trPr>
        <w:tc>
          <w:tcPr>
            <w:tcW w:w="0" w:type="auto"/>
            <w:gridSpan w:val="3"/>
            <w:shd w:val="clear" w:color="auto" w:fill="auto"/>
            <w:tcMar>
              <w:top w:w="0" w:type="dxa"/>
              <w:left w:w="20" w:type="dxa"/>
              <w:bottom w:w="0" w:type="dxa"/>
              <w:right w:w="20" w:type="dxa"/>
            </w:tcMar>
          </w:tcPr>
          <w:p w14:paraId="7E783CF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CF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CFD" w14:textId="77777777" w:rsidR="00A82082" w:rsidRDefault="00E946F9">
            <w:pPr>
              <w:textAlignment w:val="bottom"/>
            </w:pPr>
            <w:hyperlink r:id="rId12" w:anchor="i5c815528a95c4409b9043de534639b9a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7E783CFE" w14:textId="77777777" w:rsidR="00A82082" w:rsidRDefault="00E946F9">
            <w:pPr>
              <w:jc w:val="center"/>
              <w:textAlignment w:val="bottom"/>
            </w:pPr>
            <w:hyperlink r:id="rId13" w:anchor="i5c815528a95c4409b9043de534639b9a_19" w:history="1">
              <w:r>
                <w:rPr>
                  <w:rStyle w:val="a5"/>
                  <w:rFonts w:ascii="Times New Roman" w:eastAsia="宋体" w:hAnsi="Times New Roman"/>
                  <w:sz w:val="18"/>
                  <w:szCs w:val="18"/>
                </w:rPr>
                <w:t>4</w:t>
              </w:r>
            </w:hyperlink>
          </w:p>
        </w:tc>
      </w:tr>
      <w:tr w:rsidR="00A82082" w14:paraId="7E783D04" w14:textId="77777777">
        <w:trPr>
          <w:jc w:val="center"/>
        </w:trPr>
        <w:tc>
          <w:tcPr>
            <w:tcW w:w="0" w:type="auto"/>
            <w:gridSpan w:val="3"/>
            <w:shd w:val="clear" w:color="auto" w:fill="auto"/>
            <w:tcMar>
              <w:top w:w="0" w:type="dxa"/>
              <w:left w:w="20" w:type="dxa"/>
              <w:bottom w:w="0" w:type="dxa"/>
              <w:right w:w="20" w:type="dxa"/>
            </w:tcMar>
          </w:tcPr>
          <w:p w14:paraId="7E783D00"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0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D02" w14:textId="77777777" w:rsidR="00A82082" w:rsidRDefault="00E946F9">
            <w:pPr>
              <w:textAlignment w:val="bottom"/>
            </w:pPr>
            <w:hyperlink r:id="rId14" w:anchor="i5c815528a95c4409b9043de534639b9a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7E783D03" w14:textId="77777777" w:rsidR="00A82082" w:rsidRDefault="00E946F9">
            <w:pPr>
              <w:jc w:val="center"/>
              <w:textAlignment w:val="bottom"/>
            </w:pPr>
            <w:hyperlink r:id="rId15" w:anchor="i5c815528a95c4409b9043de534639b9a_22" w:history="1">
              <w:r>
                <w:rPr>
                  <w:rStyle w:val="a5"/>
                  <w:rFonts w:ascii="Times New Roman" w:eastAsia="宋体" w:hAnsi="Times New Roman"/>
                  <w:sz w:val="18"/>
                  <w:szCs w:val="18"/>
                </w:rPr>
                <w:t>5</w:t>
              </w:r>
            </w:hyperlink>
          </w:p>
        </w:tc>
      </w:tr>
      <w:tr w:rsidR="00A82082" w14:paraId="7E783D09" w14:textId="77777777">
        <w:trPr>
          <w:jc w:val="center"/>
        </w:trPr>
        <w:tc>
          <w:tcPr>
            <w:tcW w:w="0" w:type="auto"/>
            <w:gridSpan w:val="3"/>
            <w:shd w:val="clear" w:color="auto" w:fill="auto"/>
            <w:tcMar>
              <w:top w:w="0" w:type="dxa"/>
              <w:left w:w="20" w:type="dxa"/>
              <w:bottom w:w="0" w:type="dxa"/>
              <w:right w:w="20" w:type="dxa"/>
            </w:tcMar>
          </w:tcPr>
          <w:p w14:paraId="7E783D0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06"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D07" w14:textId="77777777" w:rsidR="00A82082" w:rsidRDefault="00E946F9">
            <w:pPr>
              <w:textAlignment w:val="bottom"/>
            </w:pPr>
            <w:hyperlink r:id="rId16" w:anchor="i5c815528a95c4409b9043de534639b9a_25" w:history="1">
              <w:r>
                <w:rPr>
                  <w:rStyle w:val="a5"/>
                  <w:rFonts w:ascii="Times New Roman" w:eastAsia="宋体" w:hAnsi="Times New Roman"/>
                  <w:sz w:val="18"/>
                  <w:szCs w:val="18"/>
                </w:rPr>
                <w:t>Condensed Consolidated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7E783D08" w14:textId="77777777" w:rsidR="00A82082" w:rsidRDefault="00E946F9">
            <w:pPr>
              <w:jc w:val="center"/>
              <w:textAlignment w:val="bottom"/>
            </w:pPr>
            <w:hyperlink r:id="rId17" w:anchor="i5c815528a95c4409b9043de534639b9a_25" w:history="1">
              <w:r>
                <w:rPr>
                  <w:rStyle w:val="a5"/>
                  <w:rFonts w:ascii="Times New Roman" w:eastAsia="宋体" w:hAnsi="Times New Roman"/>
                  <w:sz w:val="18"/>
                  <w:szCs w:val="18"/>
                </w:rPr>
                <w:t>6</w:t>
              </w:r>
            </w:hyperlink>
          </w:p>
        </w:tc>
      </w:tr>
      <w:tr w:rsidR="00A82082" w14:paraId="7E783D0E" w14:textId="77777777">
        <w:trPr>
          <w:jc w:val="center"/>
        </w:trPr>
        <w:tc>
          <w:tcPr>
            <w:tcW w:w="0" w:type="auto"/>
            <w:gridSpan w:val="3"/>
            <w:shd w:val="clear" w:color="auto" w:fill="auto"/>
            <w:tcMar>
              <w:top w:w="0" w:type="dxa"/>
              <w:left w:w="20" w:type="dxa"/>
              <w:bottom w:w="0" w:type="dxa"/>
              <w:right w:w="20" w:type="dxa"/>
            </w:tcMar>
          </w:tcPr>
          <w:p w14:paraId="7E783D0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0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D0C" w14:textId="77777777" w:rsidR="00A82082" w:rsidRDefault="00E946F9">
            <w:pPr>
              <w:textAlignment w:val="bottom"/>
            </w:pPr>
            <w:hyperlink r:id="rId18" w:anchor="i5c815528a95c4409b9043de534639b9a_34"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7E783D0D" w14:textId="77777777" w:rsidR="00A82082" w:rsidRDefault="00E946F9">
            <w:pPr>
              <w:jc w:val="center"/>
              <w:textAlignment w:val="bottom"/>
            </w:pPr>
            <w:hyperlink r:id="rId19" w:anchor="i5c815528a95c4409b9043de534639b9a_34" w:history="1">
              <w:r>
                <w:rPr>
                  <w:rStyle w:val="a5"/>
                  <w:rFonts w:ascii="Times New Roman" w:eastAsia="宋体" w:hAnsi="Times New Roman"/>
                  <w:sz w:val="18"/>
                  <w:szCs w:val="18"/>
                </w:rPr>
                <w:t>8</w:t>
              </w:r>
            </w:hyperlink>
          </w:p>
        </w:tc>
      </w:tr>
      <w:tr w:rsidR="00A82082" w14:paraId="7E783D13" w14:textId="77777777">
        <w:trPr>
          <w:jc w:val="center"/>
        </w:trPr>
        <w:tc>
          <w:tcPr>
            <w:tcW w:w="0" w:type="auto"/>
            <w:gridSpan w:val="3"/>
            <w:shd w:val="clear" w:color="auto" w:fill="auto"/>
            <w:tcMar>
              <w:top w:w="0" w:type="dxa"/>
              <w:left w:w="20" w:type="dxa"/>
              <w:bottom w:w="0" w:type="dxa"/>
              <w:right w:w="20" w:type="dxa"/>
            </w:tcMar>
          </w:tcPr>
          <w:p w14:paraId="7E783D0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10"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D11" w14:textId="77777777" w:rsidR="00A82082" w:rsidRDefault="00E946F9">
            <w:pPr>
              <w:textAlignment w:val="bottom"/>
            </w:pPr>
            <w:hyperlink r:id="rId20" w:anchor="i5c815528a95c4409b9043de534639b9a_37"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7E783D12" w14:textId="77777777" w:rsidR="00A82082" w:rsidRDefault="00E946F9">
            <w:pPr>
              <w:jc w:val="center"/>
              <w:textAlignment w:val="bottom"/>
            </w:pPr>
            <w:hyperlink r:id="rId21" w:anchor="i5c815528a95c4409b9043de534639b9a_37" w:history="1">
              <w:r>
                <w:rPr>
                  <w:rStyle w:val="a5"/>
                  <w:rFonts w:ascii="Times New Roman" w:eastAsia="宋体" w:hAnsi="Times New Roman"/>
                  <w:sz w:val="18"/>
                  <w:szCs w:val="18"/>
                </w:rPr>
                <w:t>9</w:t>
              </w:r>
            </w:hyperlink>
          </w:p>
        </w:tc>
      </w:tr>
      <w:tr w:rsidR="00A82082" w14:paraId="7E783D17" w14:textId="77777777">
        <w:trPr>
          <w:jc w:val="center"/>
        </w:trPr>
        <w:tc>
          <w:tcPr>
            <w:tcW w:w="0" w:type="auto"/>
            <w:gridSpan w:val="3"/>
            <w:shd w:val="clear" w:color="auto" w:fill="auto"/>
            <w:tcMar>
              <w:top w:w="0" w:type="dxa"/>
              <w:left w:w="20" w:type="dxa"/>
              <w:bottom w:w="0" w:type="dxa"/>
              <w:right w:w="20" w:type="dxa"/>
            </w:tcMar>
          </w:tcPr>
          <w:p w14:paraId="7E783D14"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15" w14:textId="77777777" w:rsidR="00A82082" w:rsidRDefault="00E946F9">
            <w:pPr>
              <w:textAlignment w:val="bottom"/>
            </w:pPr>
            <w:hyperlink r:id="rId22" w:anchor="i5c815528a95c4409b9043de534639b9a_76"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7E783D16" w14:textId="77777777" w:rsidR="00A82082" w:rsidRDefault="00E946F9">
            <w:pPr>
              <w:jc w:val="center"/>
              <w:textAlignment w:val="bottom"/>
            </w:pPr>
            <w:hyperlink r:id="rId23" w:anchor="i5c815528a95c4409b9043de534639b9a_76" w:history="1">
              <w:r>
                <w:rPr>
                  <w:rStyle w:val="a5"/>
                  <w:rFonts w:ascii="Times New Roman" w:eastAsia="宋体" w:hAnsi="Times New Roman"/>
                  <w:sz w:val="18"/>
                  <w:szCs w:val="18"/>
                </w:rPr>
                <w:t>16</w:t>
              </w:r>
            </w:hyperlink>
          </w:p>
        </w:tc>
      </w:tr>
      <w:tr w:rsidR="00A82082" w14:paraId="7E783D1B" w14:textId="77777777">
        <w:trPr>
          <w:jc w:val="center"/>
        </w:trPr>
        <w:tc>
          <w:tcPr>
            <w:tcW w:w="0" w:type="auto"/>
            <w:gridSpan w:val="3"/>
            <w:shd w:val="clear" w:color="auto" w:fill="auto"/>
            <w:tcMar>
              <w:top w:w="0" w:type="dxa"/>
              <w:left w:w="20" w:type="dxa"/>
              <w:bottom w:w="0" w:type="dxa"/>
              <w:right w:w="20" w:type="dxa"/>
            </w:tcMar>
          </w:tcPr>
          <w:p w14:paraId="7E783D18"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19" w14:textId="77777777" w:rsidR="00A82082" w:rsidRDefault="00E946F9">
            <w:pPr>
              <w:textAlignment w:val="bottom"/>
            </w:pPr>
            <w:hyperlink r:id="rId24" w:anchor="i5c815528a95c4409b9043de534639b9a_118"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7E783D1A" w14:textId="77777777" w:rsidR="00A82082" w:rsidRDefault="00E946F9">
            <w:pPr>
              <w:jc w:val="center"/>
              <w:textAlignment w:val="bottom"/>
            </w:pPr>
            <w:hyperlink r:id="rId25" w:anchor="i5c815528a95c4409b9043de534639b9a_118" w:history="1">
              <w:r>
                <w:rPr>
                  <w:rStyle w:val="a5"/>
                  <w:rFonts w:ascii="Times New Roman" w:eastAsia="宋体" w:hAnsi="Times New Roman"/>
                  <w:sz w:val="18"/>
                  <w:szCs w:val="18"/>
                </w:rPr>
                <w:t>27</w:t>
              </w:r>
            </w:hyperlink>
          </w:p>
        </w:tc>
      </w:tr>
      <w:tr w:rsidR="00A82082" w14:paraId="7E783D1F" w14:textId="77777777">
        <w:trPr>
          <w:jc w:val="center"/>
        </w:trPr>
        <w:tc>
          <w:tcPr>
            <w:tcW w:w="0" w:type="auto"/>
            <w:gridSpan w:val="3"/>
            <w:shd w:val="clear" w:color="auto" w:fill="auto"/>
            <w:tcMar>
              <w:top w:w="0" w:type="dxa"/>
              <w:left w:w="20" w:type="dxa"/>
              <w:bottom w:w="0" w:type="dxa"/>
              <w:right w:w="20" w:type="dxa"/>
            </w:tcMar>
          </w:tcPr>
          <w:p w14:paraId="7E783D1C"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1D" w14:textId="77777777" w:rsidR="00A82082" w:rsidRDefault="00E946F9">
            <w:pPr>
              <w:textAlignment w:val="bottom"/>
            </w:pPr>
            <w:hyperlink r:id="rId26" w:anchor="i5c815528a95c4409b9043de534639b9a_121"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7E783D1E" w14:textId="77777777" w:rsidR="00A82082" w:rsidRDefault="00E946F9">
            <w:pPr>
              <w:jc w:val="center"/>
              <w:textAlignment w:val="bottom"/>
            </w:pPr>
            <w:hyperlink r:id="rId27" w:anchor="i5c815528a95c4409b9043de534639b9a_121" w:history="1">
              <w:r>
                <w:rPr>
                  <w:rStyle w:val="a5"/>
                  <w:rFonts w:ascii="Times New Roman" w:eastAsia="宋体" w:hAnsi="Times New Roman"/>
                  <w:sz w:val="18"/>
                  <w:szCs w:val="18"/>
                </w:rPr>
                <w:t>28</w:t>
              </w:r>
            </w:hyperlink>
          </w:p>
        </w:tc>
      </w:tr>
      <w:tr w:rsidR="00A82082" w14:paraId="7E783D24" w14:textId="77777777">
        <w:trPr>
          <w:trHeight w:val="240"/>
          <w:jc w:val="center"/>
        </w:trPr>
        <w:tc>
          <w:tcPr>
            <w:tcW w:w="0" w:type="auto"/>
            <w:gridSpan w:val="3"/>
            <w:shd w:val="clear" w:color="auto" w:fill="auto"/>
            <w:tcMar>
              <w:top w:w="0" w:type="dxa"/>
              <w:left w:w="20" w:type="dxa"/>
              <w:bottom w:w="0" w:type="dxa"/>
              <w:right w:w="20" w:type="dxa"/>
            </w:tcMar>
          </w:tcPr>
          <w:p w14:paraId="7E783D20"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2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22"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23" w14:textId="77777777" w:rsidR="00A82082" w:rsidRDefault="00A82082">
            <w:pPr>
              <w:rPr>
                <w:rFonts w:ascii="宋体"/>
              </w:rPr>
            </w:pPr>
          </w:p>
        </w:tc>
      </w:tr>
      <w:tr w:rsidR="00A82082" w14:paraId="7E783D27" w14:textId="77777777">
        <w:trPr>
          <w:jc w:val="center"/>
        </w:trPr>
        <w:tc>
          <w:tcPr>
            <w:tcW w:w="0" w:type="auto"/>
            <w:gridSpan w:val="9"/>
            <w:shd w:val="clear" w:color="auto" w:fill="auto"/>
            <w:tcMar>
              <w:top w:w="40" w:type="dxa"/>
              <w:left w:w="20" w:type="dxa"/>
              <w:bottom w:w="40" w:type="dxa"/>
              <w:right w:w="20" w:type="dxa"/>
            </w:tcMar>
            <w:vAlign w:val="bottom"/>
          </w:tcPr>
          <w:p w14:paraId="7E783D25" w14:textId="77777777" w:rsidR="00A82082" w:rsidRDefault="00E946F9">
            <w:pPr>
              <w:textAlignment w:val="bottom"/>
            </w:pPr>
            <w:hyperlink r:id="rId28" w:anchor="i5c815528a95c4409b9043de534639b9a_124"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tcPr>
          <w:p w14:paraId="7E783D26" w14:textId="77777777" w:rsidR="00A82082" w:rsidRDefault="00A82082">
            <w:pPr>
              <w:rPr>
                <w:rFonts w:ascii="宋体"/>
              </w:rPr>
            </w:pPr>
          </w:p>
        </w:tc>
      </w:tr>
      <w:tr w:rsidR="00A82082" w14:paraId="7E783D2B" w14:textId="77777777">
        <w:trPr>
          <w:jc w:val="center"/>
        </w:trPr>
        <w:tc>
          <w:tcPr>
            <w:tcW w:w="0" w:type="auto"/>
            <w:gridSpan w:val="3"/>
            <w:shd w:val="clear" w:color="auto" w:fill="auto"/>
            <w:tcMar>
              <w:top w:w="0" w:type="dxa"/>
              <w:left w:w="20" w:type="dxa"/>
              <w:bottom w:w="0" w:type="dxa"/>
              <w:right w:w="20" w:type="dxa"/>
            </w:tcMar>
          </w:tcPr>
          <w:p w14:paraId="7E783D28"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29" w14:textId="77777777" w:rsidR="00A82082" w:rsidRDefault="00E946F9">
            <w:pPr>
              <w:textAlignment w:val="bottom"/>
            </w:pPr>
            <w:hyperlink r:id="rId29" w:anchor="i5c815528a95c4409b9043de534639b9a_127"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7E783D2A" w14:textId="77777777" w:rsidR="00A82082" w:rsidRDefault="00E946F9">
            <w:pPr>
              <w:jc w:val="center"/>
              <w:textAlignment w:val="bottom"/>
            </w:pPr>
            <w:hyperlink r:id="rId30" w:anchor="i5c815528a95c4409b9043de534639b9a_127" w:history="1">
              <w:r>
                <w:rPr>
                  <w:rStyle w:val="a5"/>
                  <w:rFonts w:ascii="Times New Roman" w:eastAsia="宋体" w:hAnsi="Times New Roman"/>
                  <w:sz w:val="18"/>
                  <w:szCs w:val="18"/>
                </w:rPr>
                <w:t>29</w:t>
              </w:r>
            </w:hyperlink>
          </w:p>
        </w:tc>
      </w:tr>
      <w:tr w:rsidR="00A82082" w14:paraId="7E783D2F" w14:textId="77777777">
        <w:trPr>
          <w:jc w:val="center"/>
        </w:trPr>
        <w:tc>
          <w:tcPr>
            <w:tcW w:w="0" w:type="auto"/>
            <w:gridSpan w:val="3"/>
            <w:shd w:val="clear" w:color="auto" w:fill="auto"/>
            <w:tcMar>
              <w:top w:w="0" w:type="dxa"/>
              <w:left w:w="20" w:type="dxa"/>
              <w:bottom w:w="0" w:type="dxa"/>
              <w:right w:w="20" w:type="dxa"/>
            </w:tcMar>
          </w:tcPr>
          <w:p w14:paraId="7E783D2C"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2D" w14:textId="77777777" w:rsidR="00A82082" w:rsidRDefault="00E946F9">
            <w:pPr>
              <w:textAlignment w:val="bottom"/>
            </w:pPr>
            <w:hyperlink r:id="rId31" w:anchor="i5c815528a95c4409b9043de534639b9a_130"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7E783D2E" w14:textId="77777777" w:rsidR="00A82082" w:rsidRDefault="00E946F9">
            <w:pPr>
              <w:jc w:val="center"/>
              <w:textAlignment w:val="bottom"/>
            </w:pPr>
            <w:hyperlink r:id="rId32" w:anchor="i5c815528a95c4409b9043de534639b9a_130" w:history="1">
              <w:r>
                <w:rPr>
                  <w:rStyle w:val="a5"/>
                  <w:rFonts w:ascii="Times New Roman" w:eastAsia="宋体" w:hAnsi="Times New Roman"/>
                  <w:sz w:val="18"/>
                  <w:szCs w:val="18"/>
                </w:rPr>
                <w:t>30</w:t>
              </w:r>
            </w:hyperlink>
          </w:p>
        </w:tc>
      </w:tr>
      <w:tr w:rsidR="00A82082" w14:paraId="7E783D33" w14:textId="77777777">
        <w:trPr>
          <w:jc w:val="center"/>
        </w:trPr>
        <w:tc>
          <w:tcPr>
            <w:tcW w:w="0" w:type="auto"/>
            <w:gridSpan w:val="3"/>
            <w:shd w:val="clear" w:color="auto" w:fill="auto"/>
            <w:tcMar>
              <w:top w:w="0" w:type="dxa"/>
              <w:left w:w="20" w:type="dxa"/>
              <w:bottom w:w="0" w:type="dxa"/>
              <w:right w:w="20" w:type="dxa"/>
            </w:tcMar>
          </w:tcPr>
          <w:p w14:paraId="7E783D30"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31" w14:textId="77777777" w:rsidR="00A82082" w:rsidRDefault="00E946F9">
            <w:pPr>
              <w:textAlignment w:val="bottom"/>
            </w:pPr>
            <w:hyperlink r:id="rId33" w:anchor="i5c815528a95c4409b9043de534639b9a_133" w:history="1">
              <w:r>
                <w:rPr>
                  <w:rStyle w:val="a5"/>
                  <w:rFonts w:ascii="Times New Roman" w:eastAsia="宋体" w:hAnsi="Times New Roman"/>
                  <w:sz w:val="18"/>
                  <w:szCs w:val="18"/>
                </w:rPr>
                <w:t>Item 2. Unregistered Sales</w:t>
              </w:r>
              <w:r>
                <w:rPr>
                  <w:rStyle w:val="a5"/>
                  <w:rFonts w:ascii="Times New Roman" w:eastAsia="宋体" w:hAnsi="Times New Roman"/>
                  <w:sz w:val="18"/>
                  <w:szCs w:val="18"/>
                </w:rPr>
                <w:t xml:space="preserve"> of Equity Securities and Use of Proceeds</w:t>
              </w:r>
            </w:hyperlink>
          </w:p>
        </w:tc>
        <w:tc>
          <w:tcPr>
            <w:tcW w:w="0" w:type="auto"/>
            <w:gridSpan w:val="3"/>
            <w:shd w:val="clear" w:color="auto" w:fill="auto"/>
            <w:tcMar>
              <w:top w:w="40" w:type="dxa"/>
              <w:left w:w="20" w:type="dxa"/>
              <w:bottom w:w="40" w:type="dxa"/>
              <w:right w:w="20" w:type="dxa"/>
            </w:tcMar>
            <w:vAlign w:val="bottom"/>
          </w:tcPr>
          <w:p w14:paraId="7E783D32" w14:textId="77777777" w:rsidR="00A82082" w:rsidRDefault="00E946F9">
            <w:pPr>
              <w:jc w:val="center"/>
              <w:textAlignment w:val="bottom"/>
            </w:pPr>
            <w:hyperlink r:id="rId34" w:anchor="i5c815528a95c4409b9043de534639b9a_133" w:history="1">
              <w:r>
                <w:rPr>
                  <w:rStyle w:val="a5"/>
                  <w:rFonts w:ascii="Times New Roman" w:eastAsia="宋体" w:hAnsi="Times New Roman"/>
                  <w:sz w:val="18"/>
                  <w:szCs w:val="18"/>
                </w:rPr>
                <w:t>30</w:t>
              </w:r>
            </w:hyperlink>
          </w:p>
        </w:tc>
      </w:tr>
      <w:tr w:rsidR="00A82082" w14:paraId="7E783D37" w14:textId="77777777">
        <w:trPr>
          <w:jc w:val="center"/>
        </w:trPr>
        <w:tc>
          <w:tcPr>
            <w:tcW w:w="0" w:type="auto"/>
            <w:gridSpan w:val="3"/>
            <w:shd w:val="clear" w:color="auto" w:fill="auto"/>
            <w:tcMar>
              <w:top w:w="0" w:type="dxa"/>
              <w:left w:w="20" w:type="dxa"/>
              <w:bottom w:w="0" w:type="dxa"/>
              <w:right w:w="20" w:type="dxa"/>
            </w:tcMar>
          </w:tcPr>
          <w:p w14:paraId="7E783D34"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35" w14:textId="77777777" w:rsidR="00A82082" w:rsidRDefault="00E946F9">
            <w:pPr>
              <w:textAlignment w:val="bottom"/>
            </w:pPr>
            <w:hyperlink r:id="rId35" w:anchor="i5c815528a95c4409b9043de534639b9a_136"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7E783D36" w14:textId="77777777" w:rsidR="00A82082" w:rsidRDefault="00E946F9">
            <w:pPr>
              <w:jc w:val="center"/>
              <w:textAlignment w:val="bottom"/>
            </w:pPr>
            <w:hyperlink r:id="rId36" w:anchor="i5c815528a95c4409b9043de534639b9a_136" w:history="1">
              <w:r>
                <w:rPr>
                  <w:rStyle w:val="a5"/>
                  <w:rFonts w:ascii="Times New Roman" w:eastAsia="宋体" w:hAnsi="Times New Roman"/>
                  <w:sz w:val="18"/>
                  <w:szCs w:val="18"/>
                </w:rPr>
                <w:t>30</w:t>
              </w:r>
            </w:hyperlink>
          </w:p>
        </w:tc>
      </w:tr>
      <w:tr w:rsidR="00A82082" w14:paraId="7E783D3B" w14:textId="77777777">
        <w:trPr>
          <w:jc w:val="center"/>
        </w:trPr>
        <w:tc>
          <w:tcPr>
            <w:tcW w:w="0" w:type="auto"/>
            <w:gridSpan w:val="3"/>
            <w:shd w:val="clear" w:color="auto" w:fill="auto"/>
            <w:tcMar>
              <w:top w:w="0" w:type="dxa"/>
              <w:left w:w="20" w:type="dxa"/>
              <w:bottom w:w="0" w:type="dxa"/>
              <w:right w:w="20" w:type="dxa"/>
            </w:tcMar>
          </w:tcPr>
          <w:p w14:paraId="7E783D38"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bottom"/>
          </w:tcPr>
          <w:p w14:paraId="7E783D39" w14:textId="77777777" w:rsidR="00A82082" w:rsidRDefault="00E946F9">
            <w:pPr>
              <w:textAlignment w:val="bottom"/>
            </w:pPr>
            <w:hyperlink r:id="rId37" w:anchor="i5c815528a95c4409b9043de534639b9a_139"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7E783D3A" w14:textId="77777777" w:rsidR="00A82082" w:rsidRDefault="00E946F9">
            <w:pPr>
              <w:jc w:val="center"/>
              <w:textAlignment w:val="bottom"/>
            </w:pPr>
            <w:hyperlink r:id="rId38" w:anchor="i5c815528a95c4409b9043de534639b9a_139" w:history="1">
              <w:r>
                <w:rPr>
                  <w:rStyle w:val="a5"/>
                  <w:rFonts w:ascii="Times New Roman" w:eastAsia="宋体" w:hAnsi="Times New Roman"/>
                  <w:sz w:val="18"/>
                  <w:szCs w:val="18"/>
                </w:rPr>
                <w:t>34</w:t>
              </w:r>
            </w:hyperlink>
          </w:p>
        </w:tc>
      </w:tr>
      <w:tr w:rsidR="00A82082" w14:paraId="7E783D40" w14:textId="77777777">
        <w:trPr>
          <w:trHeight w:val="240"/>
          <w:jc w:val="center"/>
        </w:trPr>
        <w:tc>
          <w:tcPr>
            <w:tcW w:w="0" w:type="auto"/>
            <w:gridSpan w:val="3"/>
            <w:shd w:val="clear" w:color="auto" w:fill="auto"/>
            <w:tcMar>
              <w:top w:w="0" w:type="dxa"/>
              <w:left w:w="20" w:type="dxa"/>
              <w:bottom w:w="0" w:type="dxa"/>
              <w:right w:w="20" w:type="dxa"/>
            </w:tcMar>
          </w:tcPr>
          <w:p w14:paraId="7E783D3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3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3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3F" w14:textId="77777777" w:rsidR="00A82082" w:rsidRDefault="00A82082">
            <w:pPr>
              <w:rPr>
                <w:rFonts w:ascii="宋体"/>
              </w:rPr>
            </w:pPr>
          </w:p>
        </w:tc>
      </w:tr>
      <w:tr w:rsidR="00A82082" w14:paraId="7E783D44" w14:textId="77777777">
        <w:trPr>
          <w:jc w:val="center"/>
        </w:trPr>
        <w:tc>
          <w:tcPr>
            <w:tcW w:w="0" w:type="auto"/>
            <w:gridSpan w:val="6"/>
            <w:shd w:val="clear" w:color="auto" w:fill="auto"/>
            <w:tcMar>
              <w:top w:w="40" w:type="dxa"/>
              <w:left w:w="20" w:type="dxa"/>
              <w:bottom w:w="40" w:type="dxa"/>
              <w:right w:w="20" w:type="dxa"/>
            </w:tcMar>
            <w:vAlign w:val="bottom"/>
          </w:tcPr>
          <w:p w14:paraId="7E783D41" w14:textId="77777777" w:rsidR="00A82082" w:rsidRDefault="00E946F9">
            <w:pPr>
              <w:textAlignment w:val="bottom"/>
            </w:pPr>
            <w:hyperlink r:id="rId39" w:anchor="i5c815528a95c4409b9043de534639b9a_142"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tcPr>
          <w:p w14:paraId="7E783D42"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3D43" w14:textId="77777777" w:rsidR="00A82082" w:rsidRDefault="00E946F9">
            <w:pPr>
              <w:jc w:val="center"/>
              <w:textAlignment w:val="bottom"/>
            </w:pPr>
            <w:hyperlink r:id="rId40" w:anchor="i5c815528a95c4409b9043de534639b9a_142" w:history="1">
              <w:r>
                <w:rPr>
                  <w:rStyle w:val="a5"/>
                  <w:rFonts w:ascii="Times New Roman" w:eastAsia="宋体" w:hAnsi="Times New Roman"/>
                  <w:sz w:val="18"/>
                  <w:szCs w:val="18"/>
                </w:rPr>
                <w:t>35</w:t>
              </w:r>
            </w:hyperlink>
          </w:p>
        </w:tc>
      </w:tr>
    </w:tbl>
    <w:p w14:paraId="7E783D45" w14:textId="77777777" w:rsidR="00A82082" w:rsidRDefault="00A82082">
      <w:pPr>
        <w:jc w:val="center"/>
      </w:pPr>
    </w:p>
    <w:p w14:paraId="7E783D46" w14:textId="77777777" w:rsidR="00A82082" w:rsidRDefault="00A82082">
      <w:pPr>
        <w:jc w:val="center"/>
      </w:pPr>
    </w:p>
    <w:p w14:paraId="7E783D47" w14:textId="77777777" w:rsidR="00A82082" w:rsidRDefault="00E946F9">
      <w:pPr>
        <w:jc w:val="center"/>
      </w:pPr>
      <w:r>
        <w:rPr>
          <w:rFonts w:ascii="Times New Roman" w:eastAsia="宋体" w:hAnsi="Times New Roman"/>
          <w:color w:val="000000"/>
          <w:sz w:val="20"/>
          <w:szCs w:val="20"/>
        </w:rPr>
        <w:t>2</w:t>
      </w:r>
    </w:p>
    <w:p w14:paraId="7E783D48" w14:textId="77777777" w:rsidR="00A82082" w:rsidRDefault="00E946F9">
      <w:r>
        <w:pict w14:anchorId="7E78614A">
          <v:rect id="_x0000_i1026" style="width:415.3pt;height:1.5pt" o:hralign="center" o:hrstd="t" o:hr="t" fillcolor="#a0a0a0" stroked="f"/>
        </w:pict>
      </w:r>
    </w:p>
    <w:p w14:paraId="7E783D49" w14:textId="77777777" w:rsidR="00A82082" w:rsidRDefault="00E946F9">
      <w:hyperlink r:id="rId41" w:anchor="i5c815528a95c4409b9043de534639b9a_7" w:history="1">
        <w:r>
          <w:rPr>
            <w:rStyle w:val="a5"/>
            <w:rFonts w:ascii="Times New Roman" w:eastAsia="宋体" w:hAnsi="Times New Roman"/>
            <w:sz w:val="20"/>
            <w:szCs w:val="20"/>
          </w:rPr>
          <w:t>Table of C</w:t>
        </w:r>
      </w:hyperlink>
      <w:hyperlink r:id="rId42" w:anchor="i5c815528a95c4409b9043de534639b9a_7" w:history="1">
        <w:r>
          <w:rPr>
            <w:rStyle w:val="a5"/>
            <w:rFonts w:ascii="Times New Roman" w:eastAsia="宋体" w:hAnsi="Times New Roman"/>
            <w:sz w:val="20"/>
            <w:szCs w:val="20"/>
          </w:rPr>
          <w:t>ontents</w:t>
        </w:r>
      </w:hyperlink>
    </w:p>
    <w:p w14:paraId="7E783D4A" w14:textId="77777777" w:rsidR="00A82082" w:rsidRDefault="00E946F9">
      <w:pPr>
        <w:spacing w:after="100"/>
      </w:pPr>
      <w:r>
        <w:rPr>
          <w:rFonts w:ascii="Times New Roman" w:eastAsia="宋体" w:hAnsi="Times New Roman"/>
          <w:b/>
          <w:bCs/>
          <w:color w:val="000000"/>
          <w:sz w:val="20"/>
          <w:szCs w:val="20"/>
        </w:rPr>
        <w:t>PART I. FINANCIAL INFORMAT</w:t>
      </w:r>
      <w:r>
        <w:rPr>
          <w:rFonts w:ascii="Times New Roman" w:eastAsia="宋体" w:hAnsi="Times New Roman"/>
          <w:b/>
          <w:bCs/>
          <w:color w:val="000000"/>
          <w:sz w:val="20"/>
          <w:szCs w:val="20"/>
        </w:rPr>
        <w:t>ION</w:t>
      </w:r>
    </w:p>
    <w:p w14:paraId="7E783D4B" w14:textId="77777777" w:rsidR="00A82082" w:rsidRDefault="00E946F9">
      <w:pPr>
        <w:spacing w:before="180" w:after="100"/>
        <w:ind w:hanging="360"/>
      </w:pPr>
      <w:r>
        <w:rPr>
          <w:rFonts w:ascii="Times New Roman" w:eastAsia="宋体" w:hAnsi="Times New Roman"/>
          <w:b/>
          <w:bCs/>
          <w:color w:val="000000"/>
          <w:sz w:val="20"/>
          <w:szCs w:val="20"/>
        </w:rPr>
        <w:t>Item 1.Financial Statements</w:t>
      </w:r>
    </w:p>
    <w:p w14:paraId="7E783D4C" w14:textId="77777777" w:rsidR="00A82082" w:rsidRDefault="00E946F9">
      <w:pPr>
        <w:spacing w:before="180"/>
        <w:jc w:val="center"/>
      </w:pPr>
      <w:r>
        <w:rPr>
          <w:rFonts w:ascii="Times New Roman" w:eastAsia="宋体" w:hAnsi="Times New Roman"/>
          <w:b/>
          <w:bCs/>
          <w:color w:val="000000"/>
          <w:sz w:val="20"/>
          <w:szCs w:val="20"/>
        </w:rPr>
        <w:t>Walmart Inc.</w:t>
      </w:r>
    </w:p>
    <w:p w14:paraId="7E783D4D" w14:textId="77777777" w:rsidR="00A82082" w:rsidRDefault="00E946F9">
      <w:pPr>
        <w:spacing w:before="60"/>
        <w:jc w:val="center"/>
      </w:pPr>
      <w:r>
        <w:rPr>
          <w:rFonts w:ascii="Times New Roman" w:eastAsia="宋体" w:hAnsi="Times New Roman"/>
          <w:b/>
          <w:bCs/>
          <w:color w:val="000000"/>
          <w:sz w:val="20"/>
          <w:szCs w:val="20"/>
        </w:rPr>
        <w:t>Condensed Consolidated Statements of Income</w:t>
      </w:r>
    </w:p>
    <w:p w14:paraId="7E783D4E" w14:textId="77777777" w:rsidR="00A82082" w:rsidRDefault="00E946F9">
      <w:pPr>
        <w:spacing w:before="60"/>
        <w:jc w:val="center"/>
      </w:pPr>
      <w:r>
        <w:rPr>
          <w:rFonts w:ascii="Times New Roman" w:eastAsia="宋体" w:hAnsi="Times New Roman"/>
          <w:b/>
          <w:bCs/>
          <w:color w:val="000000"/>
          <w:sz w:val="20"/>
          <w:szCs w:val="20"/>
        </w:rPr>
        <w:t>(Unaudited)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29"/>
        <w:gridCol w:w="39"/>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A82082" w14:paraId="7E783D6A" w14:textId="77777777">
        <w:trPr>
          <w:jc w:val="center"/>
        </w:trPr>
        <w:tc>
          <w:tcPr>
            <w:tcW w:w="50" w:type="pct"/>
            <w:shd w:val="clear" w:color="auto" w:fill="auto"/>
          </w:tcPr>
          <w:p w14:paraId="7E783D4F" w14:textId="77777777" w:rsidR="00A82082" w:rsidRDefault="00A82082">
            <w:pPr>
              <w:rPr>
                <w:rFonts w:ascii="宋体"/>
              </w:rPr>
            </w:pPr>
          </w:p>
        </w:tc>
        <w:tc>
          <w:tcPr>
            <w:tcW w:w="3290" w:type="pct"/>
            <w:shd w:val="clear" w:color="auto" w:fill="auto"/>
          </w:tcPr>
          <w:p w14:paraId="7E783D50" w14:textId="77777777" w:rsidR="00A82082" w:rsidRDefault="00A82082">
            <w:pPr>
              <w:rPr>
                <w:rFonts w:ascii="宋体"/>
              </w:rPr>
            </w:pPr>
          </w:p>
        </w:tc>
        <w:tc>
          <w:tcPr>
            <w:tcW w:w="5" w:type="pct"/>
            <w:shd w:val="clear" w:color="auto" w:fill="auto"/>
          </w:tcPr>
          <w:p w14:paraId="7E783D51" w14:textId="77777777" w:rsidR="00A82082" w:rsidRDefault="00A82082">
            <w:pPr>
              <w:rPr>
                <w:rFonts w:ascii="宋体"/>
              </w:rPr>
            </w:pPr>
          </w:p>
        </w:tc>
        <w:tc>
          <w:tcPr>
            <w:tcW w:w="5" w:type="pct"/>
            <w:shd w:val="clear" w:color="auto" w:fill="auto"/>
          </w:tcPr>
          <w:p w14:paraId="7E783D52" w14:textId="77777777" w:rsidR="00A82082" w:rsidRDefault="00A82082">
            <w:pPr>
              <w:rPr>
                <w:rFonts w:ascii="宋体"/>
              </w:rPr>
            </w:pPr>
          </w:p>
        </w:tc>
        <w:tc>
          <w:tcPr>
            <w:tcW w:w="41" w:type="pct"/>
            <w:shd w:val="clear" w:color="auto" w:fill="auto"/>
          </w:tcPr>
          <w:p w14:paraId="7E783D53" w14:textId="77777777" w:rsidR="00A82082" w:rsidRDefault="00A82082">
            <w:pPr>
              <w:rPr>
                <w:rFonts w:ascii="宋体"/>
              </w:rPr>
            </w:pPr>
          </w:p>
        </w:tc>
        <w:tc>
          <w:tcPr>
            <w:tcW w:w="5" w:type="pct"/>
            <w:shd w:val="clear" w:color="auto" w:fill="auto"/>
          </w:tcPr>
          <w:p w14:paraId="7E783D54" w14:textId="77777777" w:rsidR="00A82082" w:rsidRDefault="00A82082">
            <w:pPr>
              <w:rPr>
                <w:rFonts w:ascii="宋体"/>
              </w:rPr>
            </w:pPr>
          </w:p>
        </w:tc>
        <w:tc>
          <w:tcPr>
            <w:tcW w:w="50" w:type="pct"/>
            <w:shd w:val="clear" w:color="auto" w:fill="auto"/>
          </w:tcPr>
          <w:p w14:paraId="7E783D55" w14:textId="77777777" w:rsidR="00A82082" w:rsidRDefault="00A82082">
            <w:pPr>
              <w:rPr>
                <w:rFonts w:ascii="宋体"/>
              </w:rPr>
            </w:pPr>
          </w:p>
        </w:tc>
        <w:tc>
          <w:tcPr>
            <w:tcW w:w="303" w:type="pct"/>
            <w:shd w:val="clear" w:color="auto" w:fill="auto"/>
          </w:tcPr>
          <w:p w14:paraId="7E783D56" w14:textId="77777777" w:rsidR="00A82082" w:rsidRDefault="00A82082">
            <w:pPr>
              <w:rPr>
                <w:rFonts w:ascii="宋体"/>
              </w:rPr>
            </w:pPr>
          </w:p>
        </w:tc>
        <w:tc>
          <w:tcPr>
            <w:tcW w:w="5" w:type="pct"/>
            <w:shd w:val="clear" w:color="auto" w:fill="auto"/>
          </w:tcPr>
          <w:p w14:paraId="7E783D57" w14:textId="77777777" w:rsidR="00A82082" w:rsidRDefault="00A82082">
            <w:pPr>
              <w:rPr>
                <w:rFonts w:ascii="宋体"/>
              </w:rPr>
            </w:pPr>
          </w:p>
        </w:tc>
        <w:tc>
          <w:tcPr>
            <w:tcW w:w="5" w:type="pct"/>
            <w:shd w:val="clear" w:color="auto" w:fill="auto"/>
          </w:tcPr>
          <w:p w14:paraId="7E783D58" w14:textId="77777777" w:rsidR="00A82082" w:rsidRDefault="00A82082">
            <w:pPr>
              <w:rPr>
                <w:rFonts w:ascii="宋体"/>
              </w:rPr>
            </w:pPr>
          </w:p>
        </w:tc>
        <w:tc>
          <w:tcPr>
            <w:tcW w:w="41" w:type="pct"/>
            <w:shd w:val="clear" w:color="auto" w:fill="auto"/>
          </w:tcPr>
          <w:p w14:paraId="7E783D59" w14:textId="77777777" w:rsidR="00A82082" w:rsidRDefault="00A82082">
            <w:pPr>
              <w:rPr>
                <w:rFonts w:ascii="宋体"/>
              </w:rPr>
            </w:pPr>
          </w:p>
        </w:tc>
        <w:tc>
          <w:tcPr>
            <w:tcW w:w="5" w:type="pct"/>
            <w:shd w:val="clear" w:color="auto" w:fill="auto"/>
          </w:tcPr>
          <w:p w14:paraId="7E783D5A" w14:textId="77777777" w:rsidR="00A82082" w:rsidRDefault="00A82082">
            <w:pPr>
              <w:rPr>
                <w:rFonts w:ascii="宋体"/>
              </w:rPr>
            </w:pPr>
          </w:p>
        </w:tc>
        <w:tc>
          <w:tcPr>
            <w:tcW w:w="50" w:type="pct"/>
            <w:shd w:val="clear" w:color="auto" w:fill="auto"/>
          </w:tcPr>
          <w:p w14:paraId="7E783D5B" w14:textId="77777777" w:rsidR="00A82082" w:rsidRDefault="00A82082">
            <w:pPr>
              <w:rPr>
                <w:rFonts w:ascii="宋体"/>
              </w:rPr>
            </w:pPr>
          </w:p>
        </w:tc>
        <w:tc>
          <w:tcPr>
            <w:tcW w:w="303" w:type="pct"/>
            <w:shd w:val="clear" w:color="auto" w:fill="auto"/>
          </w:tcPr>
          <w:p w14:paraId="7E783D5C" w14:textId="77777777" w:rsidR="00A82082" w:rsidRDefault="00A82082">
            <w:pPr>
              <w:rPr>
                <w:rFonts w:ascii="宋体"/>
              </w:rPr>
            </w:pPr>
          </w:p>
        </w:tc>
        <w:tc>
          <w:tcPr>
            <w:tcW w:w="5" w:type="pct"/>
            <w:shd w:val="clear" w:color="auto" w:fill="auto"/>
          </w:tcPr>
          <w:p w14:paraId="7E783D5D" w14:textId="77777777" w:rsidR="00A82082" w:rsidRDefault="00A82082">
            <w:pPr>
              <w:rPr>
                <w:rFonts w:ascii="宋体"/>
              </w:rPr>
            </w:pPr>
          </w:p>
        </w:tc>
        <w:tc>
          <w:tcPr>
            <w:tcW w:w="5" w:type="pct"/>
            <w:shd w:val="clear" w:color="auto" w:fill="auto"/>
          </w:tcPr>
          <w:p w14:paraId="7E783D5E" w14:textId="77777777" w:rsidR="00A82082" w:rsidRDefault="00A82082">
            <w:pPr>
              <w:rPr>
                <w:rFonts w:ascii="宋体"/>
              </w:rPr>
            </w:pPr>
          </w:p>
        </w:tc>
        <w:tc>
          <w:tcPr>
            <w:tcW w:w="41" w:type="pct"/>
            <w:shd w:val="clear" w:color="auto" w:fill="auto"/>
          </w:tcPr>
          <w:p w14:paraId="7E783D5F" w14:textId="77777777" w:rsidR="00A82082" w:rsidRDefault="00A82082">
            <w:pPr>
              <w:rPr>
                <w:rFonts w:ascii="宋体"/>
              </w:rPr>
            </w:pPr>
          </w:p>
        </w:tc>
        <w:tc>
          <w:tcPr>
            <w:tcW w:w="5" w:type="pct"/>
            <w:shd w:val="clear" w:color="auto" w:fill="auto"/>
          </w:tcPr>
          <w:p w14:paraId="7E783D60" w14:textId="77777777" w:rsidR="00A82082" w:rsidRDefault="00A82082">
            <w:pPr>
              <w:rPr>
                <w:rFonts w:ascii="宋体"/>
              </w:rPr>
            </w:pPr>
          </w:p>
        </w:tc>
        <w:tc>
          <w:tcPr>
            <w:tcW w:w="50" w:type="pct"/>
            <w:shd w:val="clear" w:color="auto" w:fill="auto"/>
          </w:tcPr>
          <w:p w14:paraId="7E783D61" w14:textId="77777777" w:rsidR="00A82082" w:rsidRDefault="00A82082">
            <w:pPr>
              <w:rPr>
                <w:rFonts w:ascii="宋体"/>
              </w:rPr>
            </w:pPr>
          </w:p>
        </w:tc>
        <w:tc>
          <w:tcPr>
            <w:tcW w:w="318" w:type="pct"/>
            <w:shd w:val="clear" w:color="auto" w:fill="auto"/>
          </w:tcPr>
          <w:p w14:paraId="7E783D62" w14:textId="77777777" w:rsidR="00A82082" w:rsidRDefault="00A82082">
            <w:pPr>
              <w:rPr>
                <w:rFonts w:ascii="宋体"/>
              </w:rPr>
            </w:pPr>
          </w:p>
        </w:tc>
        <w:tc>
          <w:tcPr>
            <w:tcW w:w="5" w:type="pct"/>
            <w:shd w:val="clear" w:color="auto" w:fill="auto"/>
          </w:tcPr>
          <w:p w14:paraId="7E783D63" w14:textId="77777777" w:rsidR="00A82082" w:rsidRDefault="00A82082">
            <w:pPr>
              <w:rPr>
                <w:rFonts w:ascii="宋体"/>
              </w:rPr>
            </w:pPr>
          </w:p>
        </w:tc>
        <w:tc>
          <w:tcPr>
            <w:tcW w:w="5" w:type="pct"/>
            <w:shd w:val="clear" w:color="auto" w:fill="auto"/>
          </w:tcPr>
          <w:p w14:paraId="7E783D64" w14:textId="77777777" w:rsidR="00A82082" w:rsidRDefault="00A82082">
            <w:pPr>
              <w:rPr>
                <w:rFonts w:ascii="宋体"/>
              </w:rPr>
            </w:pPr>
          </w:p>
        </w:tc>
        <w:tc>
          <w:tcPr>
            <w:tcW w:w="26" w:type="pct"/>
            <w:shd w:val="clear" w:color="auto" w:fill="auto"/>
          </w:tcPr>
          <w:p w14:paraId="7E783D65" w14:textId="77777777" w:rsidR="00A82082" w:rsidRDefault="00A82082">
            <w:pPr>
              <w:rPr>
                <w:rFonts w:ascii="宋体"/>
              </w:rPr>
            </w:pPr>
          </w:p>
        </w:tc>
        <w:tc>
          <w:tcPr>
            <w:tcW w:w="5" w:type="pct"/>
            <w:shd w:val="clear" w:color="auto" w:fill="auto"/>
          </w:tcPr>
          <w:p w14:paraId="7E783D66" w14:textId="77777777" w:rsidR="00A82082" w:rsidRDefault="00A82082">
            <w:pPr>
              <w:rPr>
                <w:rFonts w:ascii="宋体"/>
              </w:rPr>
            </w:pPr>
          </w:p>
        </w:tc>
        <w:tc>
          <w:tcPr>
            <w:tcW w:w="50" w:type="pct"/>
            <w:shd w:val="clear" w:color="auto" w:fill="auto"/>
          </w:tcPr>
          <w:p w14:paraId="7E783D67" w14:textId="77777777" w:rsidR="00A82082" w:rsidRDefault="00A82082">
            <w:pPr>
              <w:rPr>
                <w:rFonts w:ascii="宋体"/>
              </w:rPr>
            </w:pPr>
          </w:p>
        </w:tc>
        <w:tc>
          <w:tcPr>
            <w:tcW w:w="318" w:type="pct"/>
            <w:shd w:val="clear" w:color="auto" w:fill="auto"/>
          </w:tcPr>
          <w:p w14:paraId="7E783D68" w14:textId="77777777" w:rsidR="00A82082" w:rsidRDefault="00A82082">
            <w:pPr>
              <w:rPr>
                <w:rFonts w:ascii="宋体"/>
              </w:rPr>
            </w:pPr>
          </w:p>
        </w:tc>
        <w:tc>
          <w:tcPr>
            <w:tcW w:w="5" w:type="pct"/>
            <w:shd w:val="clear" w:color="auto" w:fill="auto"/>
          </w:tcPr>
          <w:p w14:paraId="7E783D69" w14:textId="77777777" w:rsidR="00A82082" w:rsidRDefault="00A82082">
            <w:pPr>
              <w:rPr>
                <w:rFonts w:ascii="宋体"/>
              </w:rPr>
            </w:pPr>
          </w:p>
        </w:tc>
      </w:tr>
      <w:tr w:rsidR="00A82082" w14:paraId="7E783D70" w14:textId="77777777">
        <w:trPr>
          <w:jc w:val="center"/>
        </w:trPr>
        <w:tc>
          <w:tcPr>
            <w:tcW w:w="0" w:type="auto"/>
            <w:gridSpan w:val="3"/>
            <w:shd w:val="clear" w:color="auto" w:fill="auto"/>
            <w:tcMar>
              <w:top w:w="0" w:type="dxa"/>
              <w:left w:w="20" w:type="dxa"/>
              <w:bottom w:w="0" w:type="dxa"/>
              <w:right w:w="20" w:type="dxa"/>
            </w:tcMar>
          </w:tcPr>
          <w:p w14:paraId="7E783D6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6C"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3D6D"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3D6E"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3D6F"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3D7A" w14:textId="77777777">
        <w:trPr>
          <w:jc w:val="center"/>
        </w:trPr>
        <w:tc>
          <w:tcPr>
            <w:tcW w:w="0" w:type="auto"/>
            <w:gridSpan w:val="3"/>
            <w:shd w:val="clear" w:color="auto" w:fill="auto"/>
            <w:tcMar>
              <w:top w:w="40" w:type="dxa"/>
              <w:left w:w="20" w:type="dxa"/>
              <w:bottom w:w="40" w:type="dxa"/>
              <w:right w:w="20" w:type="dxa"/>
            </w:tcMar>
            <w:vAlign w:val="bottom"/>
          </w:tcPr>
          <w:p w14:paraId="7E783D71" w14:textId="77777777" w:rsidR="00A82082" w:rsidRDefault="00E946F9">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7E783D7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D73"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3D74"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D75"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3D76"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D77"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3D78"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D79"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3D84" w14:textId="77777777">
        <w:trPr>
          <w:jc w:val="center"/>
        </w:trPr>
        <w:tc>
          <w:tcPr>
            <w:tcW w:w="0" w:type="auto"/>
            <w:gridSpan w:val="3"/>
            <w:shd w:val="clear" w:color="auto" w:fill="auto"/>
            <w:tcMar>
              <w:top w:w="40" w:type="dxa"/>
              <w:left w:w="20" w:type="dxa"/>
              <w:bottom w:w="40" w:type="dxa"/>
              <w:right w:w="20" w:type="dxa"/>
            </w:tcMar>
            <w:vAlign w:val="center"/>
          </w:tcPr>
          <w:p w14:paraId="7E783D7B" w14:textId="77777777" w:rsidR="00A82082" w:rsidRDefault="00E946F9">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tcPr>
          <w:p w14:paraId="7E783D7C"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3D7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7E"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3D7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80"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3D8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3D82"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3D83" w14:textId="77777777" w:rsidR="00A82082" w:rsidRDefault="00A82082">
            <w:pPr>
              <w:rPr>
                <w:rFonts w:ascii="宋体"/>
              </w:rPr>
            </w:pPr>
          </w:p>
        </w:tc>
      </w:tr>
      <w:tr w:rsidR="00A82082" w14:paraId="7E783D96" w14:textId="77777777">
        <w:trPr>
          <w:jc w:val="center"/>
        </w:trPr>
        <w:tc>
          <w:tcPr>
            <w:tcW w:w="0" w:type="auto"/>
            <w:gridSpan w:val="3"/>
            <w:shd w:val="clear" w:color="auto" w:fill="CCEEFF"/>
            <w:tcMar>
              <w:top w:w="40" w:type="dxa"/>
              <w:left w:w="380" w:type="dxa"/>
              <w:bottom w:w="40" w:type="dxa"/>
              <w:right w:w="20" w:type="dxa"/>
            </w:tcMar>
            <w:vAlign w:val="center"/>
          </w:tcPr>
          <w:p w14:paraId="7E783D85"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3D86"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D8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D88" w14:textId="77777777" w:rsidR="00A82082" w:rsidRDefault="00E946F9">
            <w:pPr>
              <w:jc w:val="right"/>
              <w:textAlignment w:val="center"/>
            </w:pPr>
            <w:r>
              <w:rPr>
                <w:rFonts w:ascii="Times New Roman" w:eastAsia="宋体" w:hAnsi="Times New Roman"/>
                <w:color w:val="000000"/>
                <w:sz w:val="16"/>
                <w:szCs w:val="16"/>
              </w:rPr>
              <w:t>133,752 </w:t>
            </w:r>
          </w:p>
        </w:tc>
        <w:tc>
          <w:tcPr>
            <w:tcW w:w="0" w:type="auto"/>
            <w:shd w:val="clear" w:color="auto" w:fill="CCEEFF"/>
            <w:tcMar>
              <w:top w:w="40" w:type="dxa"/>
              <w:left w:w="0" w:type="dxa"/>
              <w:bottom w:w="40" w:type="dxa"/>
              <w:right w:w="20" w:type="dxa"/>
            </w:tcMar>
            <w:vAlign w:val="center"/>
          </w:tcPr>
          <w:p w14:paraId="7E783D8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8A"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D8B"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D8C" w14:textId="77777777" w:rsidR="00A82082" w:rsidRDefault="00E946F9">
            <w:pPr>
              <w:jc w:val="right"/>
              <w:textAlignment w:val="center"/>
            </w:pPr>
            <w:r>
              <w:rPr>
                <w:rFonts w:ascii="Times New Roman" w:eastAsia="宋体" w:hAnsi="Times New Roman"/>
                <w:color w:val="000000"/>
                <w:sz w:val="16"/>
                <w:szCs w:val="16"/>
              </w:rPr>
              <w:t>126,981 </w:t>
            </w:r>
          </w:p>
        </w:tc>
        <w:tc>
          <w:tcPr>
            <w:tcW w:w="0" w:type="auto"/>
            <w:shd w:val="clear" w:color="auto" w:fill="CCEEFF"/>
            <w:tcMar>
              <w:top w:w="40" w:type="dxa"/>
              <w:left w:w="0" w:type="dxa"/>
              <w:bottom w:w="40" w:type="dxa"/>
              <w:right w:w="20" w:type="dxa"/>
            </w:tcMar>
            <w:vAlign w:val="center"/>
          </w:tcPr>
          <w:p w14:paraId="7E783D8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8E"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D8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D90" w14:textId="77777777" w:rsidR="00A82082" w:rsidRDefault="00E946F9">
            <w:pPr>
              <w:jc w:val="right"/>
              <w:textAlignment w:val="center"/>
            </w:pPr>
            <w:r>
              <w:rPr>
                <w:rFonts w:ascii="Times New Roman" w:eastAsia="宋体" w:hAnsi="Times New Roman"/>
                <w:color w:val="000000"/>
                <w:sz w:val="16"/>
                <w:szCs w:val="16"/>
              </w:rPr>
              <w:t>404,248 </w:t>
            </w:r>
          </w:p>
        </w:tc>
        <w:tc>
          <w:tcPr>
            <w:tcW w:w="0" w:type="auto"/>
            <w:shd w:val="clear" w:color="auto" w:fill="CCEEFF"/>
            <w:tcMar>
              <w:top w:w="40" w:type="dxa"/>
              <w:left w:w="0" w:type="dxa"/>
              <w:bottom w:w="40" w:type="dxa"/>
              <w:right w:w="20" w:type="dxa"/>
            </w:tcMar>
            <w:vAlign w:val="center"/>
          </w:tcPr>
          <w:p w14:paraId="7E783D9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92"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D9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D94" w14:textId="77777777" w:rsidR="00A82082" w:rsidRDefault="00E946F9">
            <w:pPr>
              <w:jc w:val="right"/>
              <w:textAlignment w:val="center"/>
            </w:pPr>
            <w:r>
              <w:rPr>
                <w:rFonts w:ascii="Times New Roman" w:eastAsia="宋体" w:hAnsi="Times New Roman"/>
                <w:color w:val="000000"/>
                <w:sz w:val="16"/>
                <w:szCs w:val="16"/>
              </w:rPr>
              <w:t>379,318 </w:t>
            </w:r>
          </w:p>
        </w:tc>
        <w:tc>
          <w:tcPr>
            <w:tcW w:w="0" w:type="auto"/>
            <w:shd w:val="clear" w:color="auto" w:fill="CCEEFF"/>
            <w:tcMar>
              <w:top w:w="40" w:type="dxa"/>
              <w:left w:w="0" w:type="dxa"/>
              <w:bottom w:w="40" w:type="dxa"/>
              <w:right w:w="20" w:type="dxa"/>
            </w:tcMar>
            <w:vAlign w:val="center"/>
          </w:tcPr>
          <w:p w14:paraId="7E783D95" w14:textId="77777777" w:rsidR="00A82082" w:rsidRDefault="00A82082">
            <w:pPr>
              <w:jc w:val="right"/>
              <w:rPr>
                <w:rFonts w:ascii="宋体"/>
              </w:rPr>
            </w:pPr>
          </w:p>
        </w:tc>
      </w:tr>
      <w:tr w:rsidR="00A82082" w14:paraId="7E783DA4" w14:textId="77777777">
        <w:trPr>
          <w:jc w:val="center"/>
        </w:trPr>
        <w:tc>
          <w:tcPr>
            <w:tcW w:w="0" w:type="auto"/>
            <w:gridSpan w:val="3"/>
            <w:shd w:val="clear" w:color="auto" w:fill="FFFFFF"/>
            <w:tcMar>
              <w:top w:w="40" w:type="dxa"/>
              <w:left w:w="380" w:type="dxa"/>
              <w:bottom w:w="40" w:type="dxa"/>
              <w:right w:w="20" w:type="dxa"/>
            </w:tcMar>
            <w:vAlign w:val="center"/>
          </w:tcPr>
          <w:p w14:paraId="7E783D97" w14:textId="77777777" w:rsidR="00A82082" w:rsidRDefault="00E946F9">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tcPr>
          <w:p w14:paraId="7E783D9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99" w14:textId="77777777" w:rsidR="00A82082" w:rsidRDefault="00E946F9">
            <w:pPr>
              <w:jc w:val="right"/>
              <w:textAlignment w:val="center"/>
            </w:pPr>
            <w:r>
              <w:rPr>
                <w:rFonts w:ascii="Times New Roman" w:eastAsia="宋体" w:hAnsi="Times New Roman"/>
                <w:color w:val="000000"/>
                <w:sz w:val="16"/>
                <w:szCs w:val="16"/>
              </w:rPr>
              <w:t>956 </w:t>
            </w:r>
          </w:p>
        </w:tc>
        <w:tc>
          <w:tcPr>
            <w:tcW w:w="0" w:type="auto"/>
            <w:shd w:val="clear" w:color="auto" w:fill="FFFFFF"/>
            <w:tcMar>
              <w:top w:w="40" w:type="dxa"/>
              <w:left w:w="0" w:type="dxa"/>
              <w:bottom w:w="40" w:type="dxa"/>
              <w:right w:w="20" w:type="dxa"/>
            </w:tcMar>
            <w:vAlign w:val="center"/>
          </w:tcPr>
          <w:p w14:paraId="7E783D9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9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9C" w14:textId="77777777" w:rsidR="00A82082" w:rsidRDefault="00E946F9">
            <w:pPr>
              <w:jc w:val="right"/>
              <w:textAlignment w:val="center"/>
            </w:pPr>
            <w:r>
              <w:rPr>
                <w:rFonts w:ascii="Times New Roman" w:eastAsia="宋体" w:hAnsi="Times New Roman"/>
                <w:color w:val="000000"/>
                <w:sz w:val="16"/>
                <w:szCs w:val="16"/>
              </w:rPr>
              <w:t>1,010 </w:t>
            </w:r>
          </w:p>
        </w:tc>
        <w:tc>
          <w:tcPr>
            <w:tcW w:w="0" w:type="auto"/>
            <w:shd w:val="clear" w:color="auto" w:fill="FFFFFF"/>
            <w:tcMar>
              <w:top w:w="40" w:type="dxa"/>
              <w:left w:w="0" w:type="dxa"/>
              <w:bottom w:w="40" w:type="dxa"/>
              <w:right w:w="20" w:type="dxa"/>
            </w:tcMar>
            <w:vAlign w:val="center"/>
          </w:tcPr>
          <w:p w14:paraId="7E783D9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9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9F" w14:textId="77777777" w:rsidR="00A82082" w:rsidRDefault="00E946F9">
            <w:pPr>
              <w:jc w:val="right"/>
              <w:textAlignment w:val="center"/>
            </w:pPr>
            <w:r>
              <w:rPr>
                <w:rFonts w:ascii="Times New Roman" w:eastAsia="宋体" w:hAnsi="Times New Roman"/>
                <w:color w:val="000000"/>
                <w:sz w:val="16"/>
                <w:szCs w:val="16"/>
              </w:rPr>
              <w:t>2,824 </w:t>
            </w:r>
          </w:p>
        </w:tc>
        <w:tc>
          <w:tcPr>
            <w:tcW w:w="0" w:type="auto"/>
            <w:shd w:val="clear" w:color="auto" w:fill="FFFFFF"/>
            <w:tcMar>
              <w:top w:w="40" w:type="dxa"/>
              <w:left w:w="0" w:type="dxa"/>
              <w:bottom w:w="40" w:type="dxa"/>
              <w:right w:w="20" w:type="dxa"/>
            </w:tcMar>
            <w:vAlign w:val="center"/>
          </w:tcPr>
          <w:p w14:paraId="7E783DA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A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A2" w14:textId="77777777" w:rsidR="00A82082" w:rsidRDefault="00E946F9">
            <w:pPr>
              <w:jc w:val="right"/>
              <w:textAlignment w:val="center"/>
            </w:pPr>
            <w:r>
              <w:rPr>
                <w:rFonts w:ascii="Times New Roman" w:eastAsia="宋体" w:hAnsi="Times New Roman"/>
                <w:color w:val="000000"/>
                <w:sz w:val="16"/>
                <w:szCs w:val="16"/>
              </w:rPr>
              <w:t>2,975 </w:t>
            </w:r>
          </w:p>
        </w:tc>
        <w:tc>
          <w:tcPr>
            <w:tcW w:w="0" w:type="auto"/>
            <w:shd w:val="clear" w:color="auto" w:fill="FFFFFF"/>
            <w:tcMar>
              <w:top w:w="40" w:type="dxa"/>
              <w:left w:w="0" w:type="dxa"/>
              <w:bottom w:w="40" w:type="dxa"/>
              <w:right w:w="20" w:type="dxa"/>
            </w:tcMar>
            <w:vAlign w:val="center"/>
          </w:tcPr>
          <w:p w14:paraId="7E783DA3" w14:textId="77777777" w:rsidR="00A82082" w:rsidRDefault="00A82082">
            <w:pPr>
              <w:jc w:val="right"/>
              <w:rPr>
                <w:rFonts w:ascii="宋体"/>
              </w:rPr>
            </w:pPr>
          </w:p>
        </w:tc>
      </w:tr>
      <w:tr w:rsidR="00A82082" w14:paraId="7E783DB2" w14:textId="77777777">
        <w:trPr>
          <w:jc w:val="center"/>
        </w:trPr>
        <w:tc>
          <w:tcPr>
            <w:tcW w:w="0" w:type="auto"/>
            <w:gridSpan w:val="3"/>
            <w:shd w:val="clear" w:color="auto" w:fill="CCEEFF"/>
            <w:tcMar>
              <w:top w:w="40" w:type="dxa"/>
              <w:left w:w="605" w:type="dxa"/>
              <w:bottom w:w="40" w:type="dxa"/>
              <w:right w:w="20" w:type="dxa"/>
            </w:tcMar>
            <w:vAlign w:val="center"/>
          </w:tcPr>
          <w:p w14:paraId="7E783DA5" w14:textId="77777777" w:rsidR="00A82082" w:rsidRDefault="00E946F9">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tcPr>
          <w:p w14:paraId="7E783DA6"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A7" w14:textId="77777777" w:rsidR="00A82082" w:rsidRDefault="00E946F9">
            <w:pPr>
              <w:jc w:val="right"/>
              <w:textAlignment w:val="center"/>
            </w:pPr>
            <w:r>
              <w:rPr>
                <w:rFonts w:ascii="Times New Roman" w:eastAsia="宋体" w:hAnsi="Times New Roman"/>
                <w:color w:val="000000"/>
                <w:sz w:val="16"/>
                <w:szCs w:val="16"/>
              </w:rPr>
              <w:t>134,708 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A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A9"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AA" w14:textId="77777777" w:rsidR="00A82082" w:rsidRDefault="00E946F9">
            <w:pPr>
              <w:jc w:val="right"/>
              <w:textAlignment w:val="center"/>
            </w:pPr>
            <w:r>
              <w:rPr>
                <w:rFonts w:ascii="Times New Roman" w:eastAsia="宋体" w:hAnsi="Times New Roman"/>
                <w:color w:val="000000"/>
                <w:sz w:val="16"/>
                <w:szCs w:val="16"/>
              </w:rPr>
              <w:t>127,991 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A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AC"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AD" w14:textId="77777777" w:rsidR="00A82082" w:rsidRDefault="00E946F9">
            <w:pPr>
              <w:jc w:val="right"/>
              <w:textAlignment w:val="center"/>
            </w:pPr>
            <w:r>
              <w:rPr>
                <w:rFonts w:ascii="Times New Roman" w:eastAsia="宋体" w:hAnsi="Times New Roman"/>
                <w:color w:val="000000"/>
                <w:sz w:val="16"/>
                <w:szCs w:val="16"/>
              </w:rPr>
              <w:t>407,072 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A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AF"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B0" w14:textId="77777777" w:rsidR="00A82082" w:rsidRDefault="00E946F9">
            <w:pPr>
              <w:jc w:val="right"/>
              <w:textAlignment w:val="center"/>
            </w:pPr>
            <w:r>
              <w:rPr>
                <w:rFonts w:ascii="Times New Roman" w:eastAsia="宋体" w:hAnsi="Times New Roman"/>
                <w:color w:val="000000"/>
                <w:sz w:val="16"/>
                <w:szCs w:val="16"/>
              </w:rPr>
              <w:t>382,293 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B1" w14:textId="77777777" w:rsidR="00A82082" w:rsidRDefault="00A82082">
            <w:pPr>
              <w:jc w:val="right"/>
              <w:rPr>
                <w:rFonts w:ascii="宋体"/>
              </w:rPr>
            </w:pPr>
          </w:p>
        </w:tc>
      </w:tr>
      <w:tr w:rsidR="00A82082" w14:paraId="7E783DBC" w14:textId="77777777">
        <w:trPr>
          <w:jc w:val="center"/>
        </w:trPr>
        <w:tc>
          <w:tcPr>
            <w:tcW w:w="0" w:type="auto"/>
            <w:gridSpan w:val="3"/>
            <w:shd w:val="clear" w:color="auto" w:fill="FFFFFF"/>
            <w:tcMar>
              <w:top w:w="40" w:type="dxa"/>
              <w:left w:w="20" w:type="dxa"/>
              <w:bottom w:w="40" w:type="dxa"/>
              <w:right w:w="20" w:type="dxa"/>
            </w:tcMar>
            <w:vAlign w:val="center"/>
          </w:tcPr>
          <w:p w14:paraId="7E783DB3" w14:textId="77777777" w:rsidR="00A82082" w:rsidRDefault="00E946F9">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tcPr>
          <w:p w14:paraId="7E783DB4"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5"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6"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7"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8"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9"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BB" w14:textId="77777777" w:rsidR="00A82082" w:rsidRDefault="00A82082">
            <w:pPr>
              <w:rPr>
                <w:rFonts w:ascii="宋体"/>
              </w:rPr>
            </w:pPr>
          </w:p>
        </w:tc>
      </w:tr>
      <w:tr w:rsidR="00A82082" w14:paraId="7E783DCA" w14:textId="77777777">
        <w:trPr>
          <w:jc w:val="center"/>
        </w:trPr>
        <w:tc>
          <w:tcPr>
            <w:tcW w:w="0" w:type="auto"/>
            <w:gridSpan w:val="3"/>
            <w:shd w:val="clear" w:color="auto" w:fill="CCEEFF"/>
            <w:tcMar>
              <w:top w:w="40" w:type="dxa"/>
              <w:left w:w="380" w:type="dxa"/>
              <w:bottom w:w="40" w:type="dxa"/>
              <w:right w:w="20" w:type="dxa"/>
            </w:tcMar>
            <w:vAlign w:val="center"/>
          </w:tcPr>
          <w:p w14:paraId="7E783DBD" w14:textId="77777777" w:rsidR="00A82082" w:rsidRDefault="00E946F9">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tcPr>
          <w:p w14:paraId="7E783DB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DBF" w14:textId="77777777" w:rsidR="00A82082" w:rsidRDefault="00E946F9">
            <w:pPr>
              <w:jc w:val="right"/>
              <w:textAlignment w:val="center"/>
            </w:pPr>
            <w:r>
              <w:rPr>
                <w:rFonts w:ascii="Times New Roman" w:eastAsia="宋体" w:hAnsi="Times New Roman"/>
                <w:color w:val="000000"/>
                <w:sz w:val="16"/>
                <w:szCs w:val="16"/>
              </w:rPr>
              <w:t>100,339 </w:t>
            </w:r>
          </w:p>
        </w:tc>
        <w:tc>
          <w:tcPr>
            <w:tcW w:w="0" w:type="auto"/>
            <w:shd w:val="clear" w:color="auto" w:fill="CCEEFF"/>
            <w:tcMar>
              <w:top w:w="40" w:type="dxa"/>
              <w:left w:w="0" w:type="dxa"/>
              <w:bottom w:w="40" w:type="dxa"/>
              <w:right w:w="20" w:type="dxa"/>
            </w:tcMar>
            <w:vAlign w:val="center"/>
          </w:tcPr>
          <w:p w14:paraId="7E783DC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C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DC2" w14:textId="77777777" w:rsidR="00A82082" w:rsidRDefault="00E946F9">
            <w:pPr>
              <w:jc w:val="right"/>
              <w:textAlignment w:val="center"/>
            </w:pPr>
            <w:r>
              <w:rPr>
                <w:rFonts w:ascii="Times New Roman" w:eastAsia="宋体" w:hAnsi="Times New Roman"/>
                <w:color w:val="000000"/>
                <w:sz w:val="16"/>
                <w:szCs w:val="16"/>
              </w:rPr>
              <w:t>95,900 </w:t>
            </w:r>
          </w:p>
        </w:tc>
        <w:tc>
          <w:tcPr>
            <w:tcW w:w="0" w:type="auto"/>
            <w:shd w:val="clear" w:color="auto" w:fill="CCEEFF"/>
            <w:tcMar>
              <w:top w:w="40" w:type="dxa"/>
              <w:left w:w="0" w:type="dxa"/>
              <w:bottom w:w="40" w:type="dxa"/>
              <w:right w:w="20" w:type="dxa"/>
            </w:tcMar>
            <w:vAlign w:val="center"/>
          </w:tcPr>
          <w:p w14:paraId="7E783DC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C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DC5" w14:textId="77777777" w:rsidR="00A82082" w:rsidRDefault="00E946F9">
            <w:pPr>
              <w:jc w:val="right"/>
              <w:textAlignment w:val="bottom"/>
            </w:pPr>
            <w:r>
              <w:rPr>
                <w:rFonts w:ascii="Times New Roman" w:eastAsia="宋体" w:hAnsi="Times New Roman"/>
                <w:color w:val="000000"/>
                <w:sz w:val="16"/>
                <w:szCs w:val="16"/>
              </w:rPr>
              <w:t>305,054 </w:t>
            </w:r>
          </w:p>
        </w:tc>
        <w:tc>
          <w:tcPr>
            <w:tcW w:w="0" w:type="auto"/>
            <w:shd w:val="clear" w:color="auto" w:fill="CCEEFF"/>
            <w:tcMar>
              <w:top w:w="40" w:type="dxa"/>
              <w:left w:w="0" w:type="dxa"/>
              <w:bottom w:w="40" w:type="dxa"/>
              <w:right w:w="20" w:type="dxa"/>
            </w:tcMar>
            <w:vAlign w:val="bottom"/>
          </w:tcPr>
          <w:p w14:paraId="7E783D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C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DC8" w14:textId="77777777" w:rsidR="00A82082" w:rsidRDefault="00E946F9">
            <w:pPr>
              <w:jc w:val="right"/>
              <w:textAlignment w:val="bottom"/>
            </w:pPr>
            <w:r>
              <w:rPr>
                <w:rFonts w:ascii="Times New Roman" w:eastAsia="宋体" w:hAnsi="Times New Roman"/>
                <w:color w:val="000000"/>
                <w:sz w:val="16"/>
                <w:szCs w:val="16"/>
              </w:rPr>
              <w:t>286,857 </w:t>
            </w:r>
          </w:p>
        </w:tc>
        <w:tc>
          <w:tcPr>
            <w:tcW w:w="0" w:type="auto"/>
            <w:shd w:val="clear" w:color="auto" w:fill="CCEEFF"/>
            <w:tcMar>
              <w:top w:w="40" w:type="dxa"/>
              <w:left w:w="0" w:type="dxa"/>
              <w:bottom w:w="40" w:type="dxa"/>
              <w:right w:w="20" w:type="dxa"/>
            </w:tcMar>
            <w:vAlign w:val="bottom"/>
          </w:tcPr>
          <w:p w14:paraId="7E783DC9" w14:textId="77777777" w:rsidR="00A82082" w:rsidRDefault="00A82082">
            <w:pPr>
              <w:jc w:val="right"/>
              <w:rPr>
                <w:rFonts w:ascii="宋体"/>
              </w:rPr>
            </w:pPr>
          </w:p>
        </w:tc>
      </w:tr>
      <w:tr w:rsidR="00A82082" w14:paraId="7E783DD8" w14:textId="77777777">
        <w:trPr>
          <w:jc w:val="center"/>
        </w:trPr>
        <w:tc>
          <w:tcPr>
            <w:tcW w:w="0" w:type="auto"/>
            <w:gridSpan w:val="3"/>
            <w:shd w:val="clear" w:color="auto" w:fill="FFFFFF"/>
            <w:tcMar>
              <w:top w:w="40" w:type="dxa"/>
              <w:left w:w="380" w:type="dxa"/>
              <w:bottom w:w="40" w:type="dxa"/>
              <w:right w:w="20" w:type="dxa"/>
            </w:tcMar>
            <w:vAlign w:val="center"/>
          </w:tcPr>
          <w:p w14:paraId="7E783DCB" w14:textId="77777777" w:rsidR="00A82082" w:rsidRDefault="00E946F9">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tcPr>
          <w:p w14:paraId="7E783DC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CD" w14:textId="77777777" w:rsidR="00A82082" w:rsidRDefault="00E946F9">
            <w:pPr>
              <w:jc w:val="right"/>
              <w:textAlignment w:val="center"/>
            </w:pPr>
            <w:r>
              <w:rPr>
                <w:rFonts w:ascii="Times New Roman" w:eastAsia="宋体" w:hAnsi="Times New Roman"/>
                <w:color w:val="000000"/>
                <w:sz w:val="16"/>
                <w:szCs w:val="16"/>
              </w:rPr>
              <w:t>28,591 </w:t>
            </w:r>
          </w:p>
        </w:tc>
        <w:tc>
          <w:tcPr>
            <w:tcW w:w="0" w:type="auto"/>
            <w:shd w:val="clear" w:color="auto" w:fill="FFFFFF"/>
            <w:tcMar>
              <w:top w:w="40" w:type="dxa"/>
              <w:left w:w="0" w:type="dxa"/>
              <w:bottom w:w="40" w:type="dxa"/>
              <w:right w:w="20" w:type="dxa"/>
            </w:tcMar>
            <w:vAlign w:val="center"/>
          </w:tcPr>
          <w:p w14:paraId="7E783DC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C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DD0" w14:textId="77777777" w:rsidR="00A82082" w:rsidRDefault="00E946F9">
            <w:pPr>
              <w:jc w:val="right"/>
              <w:textAlignment w:val="center"/>
            </w:pPr>
            <w:r>
              <w:rPr>
                <w:rFonts w:ascii="Times New Roman" w:eastAsia="宋体" w:hAnsi="Times New Roman"/>
                <w:color w:val="000000"/>
                <w:sz w:val="16"/>
                <w:szCs w:val="16"/>
              </w:rPr>
              <w:t>27,373 </w:t>
            </w:r>
          </w:p>
        </w:tc>
        <w:tc>
          <w:tcPr>
            <w:tcW w:w="0" w:type="auto"/>
            <w:shd w:val="clear" w:color="auto" w:fill="FFFFFF"/>
            <w:tcMar>
              <w:top w:w="40" w:type="dxa"/>
              <w:left w:w="0" w:type="dxa"/>
              <w:bottom w:w="40" w:type="dxa"/>
              <w:right w:w="20" w:type="dxa"/>
            </w:tcMar>
            <w:vAlign w:val="center"/>
          </w:tcPr>
          <w:p w14:paraId="7E783DD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D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3DD3" w14:textId="77777777" w:rsidR="00A82082" w:rsidRDefault="00E946F9">
            <w:pPr>
              <w:jc w:val="right"/>
              <w:textAlignment w:val="bottom"/>
            </w:pPr>
            <w:r>
              <w:rPr>
                <w:rFonts w:ascii="Times New Roman" w:eastAsia="宋体" w:hAnsi="Times New Roman"/>
                <w:color w:val="000000"/>
                <w:sz w:val="16"/>
                <w:szCs w:val="16"/>
              </w:rPr>
              <w:t>84,957 </w:t>
            </w:r>
          </w:p>
        </w:tc>
        <w:tc>
          <w:tcPr>
            <w:tcW w:w="0" w:type="auto"/>
            <w:shd w:val="clear" w:color="auto" w:fill="FFFFFF"/>
            <w:tcMar>
              <w:top w:w="40" w:type="dxa"/>
              <w:left w:w="0" w:type="dxa"/>
              <w:bottom w:w="40" w:type="dxa"/>
              <w:right w:w="20" w:type="dxa"/>
            </w:tcMar>
            <w:vAlign w:val="bottom"/>
          </w:tcPr>
          <w:p w14:paraId="7E783DD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DD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3DD6" w14:textId="77777777" w:rsidR="00A82082" w:rsidRDefault="00E946F9">
            <w:pPr>
              <w:jc w:val="right"/>
              <w:textAlignment w:val="bottom"/>
            </w:pPr>
            <w:r>
              <w:rPr>
                <w:rFonts w:ascii="Times New Roman" w:eastAsia="宋体" w:hAnsi="Times New Roman"/>
                <w:color w:val="000000"/>
                <w:sz w:val="16"/>
                <w:szCs w:val="16"/>
              </w:rPr>
              <w:t>80,190 </w:t>
            </w:r>
          </w:p>
        </w:tc>
        <w:tc>
          <w:tcPr>
            <w:tcW w:w="0" w:type="auto"/>
            <w:shd w:val="clear" w:color="auto" w:fill="FFFFFF"/>
            <w:tcMar>
              <w:top w:w="40" w:type="dxa"/>
              <w:left w:w="0" w:type="dxa"/>
              <w:bottom w:w="40" w:type="dxa"/>
              <w:right w:w="20" w:type="dxa"/>
            </w:tcMar>
            <w:vAlign w:val="bottom"/>
          </w:tcPr>
          <w:p w14:paraId="7E783DD7" w14:textId="77777777" w:rsidR="00A82082" w:rsidRDefault="00A82082">
            <w:pPr>
              <w:jc w:val="right"/>
              <w:rPr>
                <w:rFonts w:ascii="宋体"/>
              </w:rPr>
            </w:pPr>
          </w:p>
        </w:tc>
      </w:tr>
      <w:tr w:rsidR="00A82082" w14:paraId="7E783DE6" w14:textId="77777777">
        <w:trPr>
          <w:jc w:val="center"/>
        </w:trPr>
        <w:tc>
          <w:tcPr>
            <w:tcW w:w="0" w:type="auto"/>
            <w:gridSpan w:val="3"/>
            <w:shd w:val="clear" w:color="auto" w:fill="CCEEFF"/>
            <w:tcMar>
              <w:top w:w="40" w:type="dxa"/>
              <w:left w:w="20" w:type="dxa"/>
              <w:bottom w:w="40" w:type="dxa"/>
              <w:right w:w="20" w:type="dxa"/>
            </w:tcMar>
            <w:vAlign w:val="center"/>
          </w:tcPr>
          <w:p w14:paraId="7E783DD9" w14:textId="77777777" w:rsidR="00A82082" w:rsidRDefault="00E946F9">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tcPr>
          <w:p w14:paraId="7E783DDA"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DB" w14:textId="77777777" w:rsidR="00A82082" w:rsidRDefault="00E946F9">
            <w:pPr>
              <w:jc w:val="right"/>
              <w:textAlignment w:val="center"/>
            </w:pPr>
            <w:r>
              <w:rPr>
                <w:rFonts w:ascii="Times New Roman" w:eastAsia="宋体" w:hAnsi="Times New Roman"/>
                <w:color w:val="000000"/>
                <w:sz w:val="16"/>
                <w:szCs w:val="16"/>
              </w:rPr>
              <w:t>5,778 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D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DD"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DDE" w14:textId="77777777" w:rsidR="00A82082" w:rsidRDefault="00E946F9">
            <w:pPr>
              <w:jc w:val="right"/>
              <w:textAlignment w:val="center"/>
            </w:pPr>
            <w:r>
              <w:rPr>
                <w:rFonts w:ascii="Times New Roman" w:eastAsia="宋体" w:hAnsi="Times New Roman"/>
                <w:color w:val="000000"/>
                <w:sz w:val="16"/>
                <w:szCs w:val="16"/>
              </w:rPr>
              <w:t>4,718 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DD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E0"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783DE1" w14:textId="77777777" w:rsidR="00A82082" w:rsidRDefault="00E946F9">
            <w:pPr>
              <w:jc w:val="right"/>
              <w:textAlignment w:val="bottom"/>
            </w:pPr>
            <w:r>
              <w:rPr>
                <w:rFonts w:ascii="Times New Roman" w:eastAsia="宋体" w:hAnsi="Times New Roman"/>
                <w:color w:val="000000"/>
                <w:sz w:val="16"/>
                <w:szCs w:val="16"/>
              </w:rPr>
              <w:t>17,061 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3DE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E3"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783DE4" w14:textId="77777777" w:rsidR="00A82082" w:rsidRDefault="00E946F9">
            <w:pPr>
              <w:jc w:val="right"/>
              <w:textAlignment w:val="bottom"/>
            </w:pPr>
            <w:r>
              <w:rPr>
                <w:rFonts w:ascii="Times New Roman" w:eastAsia="宋体" w:hAnsi="Times New Roman"/>
                <w:color w:val="000000"/>
                <w:sz w:val="16"/>
                <w:szCs w:val="16"/>
              </w:rPr>
              <w:t>15,246 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3DE5" w14:textId="77777777" w:rsidR="00A82082" w:rsidRDefault="00A82082">
            <w:pPr>
              <w:jc w:val="right"/>
              <w:rPr>
                <w:rFonts w:ascii="宋体"/>
              </w:rPr>
            </w:pPr>
          </w:p>
        </w:tc>
      </w:tr>
      <w:tr w:rsidR="00A82082" w14:paraId="7E783DF0" w14:textId="77777777">
        <w:trPr>
          <w:jc w:val="center"/>
        </w:trPr>
        <w:tc>
          <w:tcPr>
            <w:tcW w:w="0" w:type="auto"/>
            <w:gridSpan w:val="3"/>
            <w:shd w:val="clear" w:color="auto" w:fill="FFFFFF"/>
            <w:tcMar>
              <w:top w:w="40" w:type="dxa"/>
              <w:left w:w="20" w:type="dxa"/>
              <w:bottom w:w="40" w:type="dxa"/>
              <w:right w:w="20" w:type="dxa"/>
            </w:tcMar>
            <w:vAlign w:val="center"/>
          </w:tcPr>
          <w:p w14:paraId="7E783DE7" w14:textId="77777777" w:rsidR="00A82082" w:rsidRDefault="00E946F9">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tcPr>
          <w:p w14:paraId="7E783DE8"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9"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DEF" w14:textId="77777777" w:rsidR="00A82082" w:rsidRDefault="00A82082">
            <w:pPr>
              <w:rPr>
                <w:rFonts w:ascii="宋体"/>
              </w:rPr>
            </w:pPr>
          </w:p>
        </w:tc>
      </w:tr>
      <w:tr w:rsidR="00A82082" w14:paraId="7E783DFE" w14:textId="77777777">
        <w:trPr>
          <w:jc w:val="center"/>
        </w:trPr>
        <w:tc>
          <w:tcPr>
            <w:tcW w:w="0" w:type="auto"/>
            <w:gridSpan w:val="3"/>
            <w:shd w:val="clear" w:color="auto" w:fill="CCEEFF"/>
            <w:tcMar>
              <w:top w:w="40" w:type="dxa"/>
              <w:left w:w="380" w:type="dxa"/>
              <w:bottom w:w="40" w:type="dxa"/>
              <w:right w:w="20" w:type="dxa"/>
            </w:tcMar>
            <w:vAlign w:val="center"/>
          </w:tcPr>
          <w:p w14:paraId="7E783DF1" w14:textId="77777777" w:rsidR="00A82082" w:rsidRDefault="00E946F9">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tcPr>
          <w:p w14:paraId="7E783DF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DF3" w14:textId="77777777" w:rsidR="00A82082" w:rsidRDefault="00E946F9">
            <w:pPr>
              <w:jc w:val="right"/>
              <w:textAlignment w:val="center"/>
            </w:pPr>
            <w:r>
              <w:rPr>
                <w:rFonts w:ascii="Times New Roman" w:eastAsia="宋体" w:hAnsi="Times New Roman"/>
                <w:color w:val="000000"/>
                <w:sz w:val="16"/>
                <w:szCs w:val="16"/>
              </w:rPr>
              <w:t>455 </w:t>
            </w:r>
          </w:p>
        </w:tc>
        <w:tc>
          <w:tcPr>
            <w:tcW w:w="0" w:type="auto"/>
            <w:shd w:val="clear" w:color="auto" w:fill="CCEEFF"/>
            <w:tcMar>
              <w:top w:w="40" w:type="dxa"/>
              <w:left w:w="0" w:type="dxa"/>
              <w:bottom w:w="40" w:type="dxa"/>
              <w:right w:w="20" w:type="dxa"/>
            </w:tcMar>
            <w:vAlign w:val="center"/>
          </w:tcPr>
          <w:p w14:paraId="7E783DF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F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DF6" w14:textId="77777777" w:rsidR="00A82082" w:rsidRDefault="00E946F9">
            <w:pPr>
              <w:jc w:val="right"/>
              <w:textAlignment w:val="center"/>
            </w:pPr>
            <w:r>
              <w:rPr>
                <w:rFonts w:ascii="Times New Roman" w:eastAsia="宋体" w:hAnsi="Times New Roman"/>
                <w:color w:val="000000"/>
                <w:sz w:val="16"/>
                <w:szCs w:val="16"/>
              </w:rPr>
              <w:t>547 </w:t>
            </w:r>
          </w:p>
        </w:tc>
        <w:tc>
          <w:tcPr>
            <w:tcW w:w="0" w:type="auto"/>
            <w:shd w:val="clear" w:color="auto" w:fill="CCEEFF"/>
            <w:tcMar>
              <w:top w:w="40" w:type="dxa"/>
              <w:left w:w="0" w:type="dxa"/>
              <w:bottom w:w="40" w:type="dxa"/>
              <w:right w:w="20" w:type="dxa"/>
            </w:tcMar>
            <w:vAlign w:val="center"/>
          </w:tcPr>
          <w:p w14:paraId="7E783DF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F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DF9" w14:textId="77777777" w:rsidR="00A82082" w:rsidRDefault="00E946F9">
            <w:pPr>
              <w:jc w:val="right"/>
              <w:textAlignment w:val="bottom"/>
            </w:pPr>
            <w:r>
              <w:rPr>
                <w:rFonts w:ascii="Times New Roman" w:eastAsia="宋体" w:hAnsi="Times New Roman"/>
                <w:color w:val="000000"/>
                <w:sz w:val="16"/>
                <w:szCs w:val="16"/>
              </w:rPr>
              <w:t>1,542 </w:t>
            </w:r>
          </w:p>
        </w:tc>
        <w:tc>
          <w:tcPr>
            <w:tcW w:w="0" w:type="auto"/>
            <w:shd w:val="clear" w:color="auto" w:fill="CCEEFF"/>
            <w:tcMar>
              <w:top w:w="40" w:type="dxa"/>
              <w:left w:w="0" w:type="dxa"/>
              <w:bottom w:w="40" w:type="dxa"/>
              <w:right w:w="20" w:type="dxa"/>
            </w:tcMar>
            <w:vAlign w:val="bottom"/>
          </w:tcPr>
          <w:p w14:paraId="7E783DF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DF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DFC" w14:textId="77777777" w:rsidR="00A82082" w:rsidRDefault="00E946F9">
            <w:pPr>
              <w:jc w:val="right"/>
              <w:textAlignment w:val="bottom"/>
            </w:pPr>
            <w:r>
              <w:rPr>
                <w:rFonts w:ascii="Times New Roman" w:eastAsia="宋体" w:hAnsi="Times New Roman"/>
                <w:color w:val="000000"/>
                <w:sz w:val="16"/>
                <w:szCs w:val="16"/>
              </w:rPr>
              <w:t>1,693 </w:t>
            </w:r>
          </w:p>
        </w:tc>
        <w:tc>
          <w:tcPr>
            <w:tcW w:w="0" w:type="auto"/>
            <w:shd w:val="clear" w:color="auto" w:fill="CCEEFF"/>
            <w:tcMar>
              <w:top w:w="40" w:type="dxa"/>
              <w:left w:w="0" w:type="dxa"/>
              <w:bottom w:w="40" w:type="dxa"/>
              <w:right w:w="20" w:type="dxa"/>
            </w:tcMar>
            <w:vAlign w:val="bottom"/>
          </w:tcPr>
          <w:p w14:paraId="7E783DFD" w14:textId="77777777" w:rsidR="00A82082" w:rsidRDefault="00A82082">
            <w:pPr>
              <w:jc w:val="right"/>
              <w:rPr>
                <w:rFonts w:ascii="宋体"/>
              </w:rPr>
            </w:pPr>
          </w:p>
        </w:tc>
      </w:tr>
      <w:tr w:rsidR="00A82082" w14:paraId="7E783E0C" w14:textId="77777777">
        <w:trPr>
          <w:jc w:val="center"/>
        </w:trPr>
        <w:tc>
          <w:tcPr>
            <w:tcW w:w="0" w:type="auto"/>
            <w:gridSpan w:val="3"/>
            <w:shd w:val="clear" w:color="auto" w:fill="FFFFFF"/>
            <w:tcMar>
              <w:top w:w="40" w:type="dxa"/>
              <w:left w:w="380" w:type="dxa"/>
              <w:bottom w:w="40" w:type="dxa"/>
              <w:right w:w="20" w:type="dxa"/>
            </w:tcMar>
            <w:vAlign w:val="center"/>
          </w:tcPr>
          <w:p w14:paraId="7E783DFF" w14:textId="77777777" w:rsidR="00A82082" w:rsidRDefault="00E946F9">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tcPr>
          <w:p w14:paraId="7E783E0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E01" w14:textId="77777777" w:rsidR="00A82082" w:rsidRDefault="00E946F9">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7E783E0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0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E04" w14:textId="77777777" w:rsidR="00A82082" w:rsidRDefault="00E946F9">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7E783E0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0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3E07" w14:textId="77777777" w:rsidR="00A82082" w:rsidRDefault="00E946F9">
            <w:pPr>
              <w:jc w:val="right"/>
              <w:textAlignment w:val="bottom"/>
            </w:pPr>
            <w:r>
              <w:rPr>
                <w:rFonts w:ascii="Times New Roman" w:eastAsia="宋体" w:hAnsi="Times New Roman"/>
                <w:color w:val="000000"/>
                <w:sz w:val="16"/>
                <w:szCs w:val="16"/>
              </w:rPr>
              <w:t>249 </w:t>
            </w:r>
          </w:p>
        </w:tc>
        <w:tc>
          <w:tcPr>
            <w:tcW w:w="0" w:type="auto"/>
            <w:shd w:val="clear" w:color="auto" w:fill="FFFFFF"/>
            <w:tcMar>
              <w:top w:w="40" w:type="dxa"/>
              <w:left w:w="0" w:type="dxa"/>
              <w:bottom w:w="40" w:type="dxa"/>
              <w:right w:w="20" w:type="dxa"/>
            </w:tcMar>
            <w:vAlign w:val="bottom"/>
          </w:tcPr>
          <w:p w14:paraId="7E783E0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0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3E0A" w14:textId="77777777" w:rsidR="00A82082" w:rsidRDefault="00E946F9">
            <w:pPr>
              <w:jc w:val="right"/>
              <w:textAlignment w:val="bottom"/>
            </w:pPr>
            <w:r>
              <w:rPr>
                <w:rFonts w:ascii="Times New Roman" w:eastAsia="宋体" w:hAnsi="Times New Roman"/>
                <w:color w:val="000000"/>
                <w:sz w:val="16"/>
                <w:szCs w:val="16"/>
              </w:rPr>
              <w:t>254 </w:t>
            </w:r>
          </w:p>
        </w:tc>
        <w:tc>
          <w:tcPr>
            <w:tcW w:w="0" w:type="auto"/>
            <w:shd w:val="clear" w:color="auto" w:fill="FFFFFF"/>
            <w:tcMar>
              <w:top w:w="40" w:type="dxa"/>
              <w:left w:w="0" w:type="dxa"/>
              <w:bottom w:w="40" w:type="dxa"/>
              <w:right w:w="20" w:type="dxa"/>
            </w:tcMar>
            <w:vAlign w:val="bottom"/>
          </w:tcPr>
          <w:p w14:paraId="7E783E0B" w14:textId="77777777" w:rsidR="00A82082" w:rsidRDefault="00A82082">
            <w:pPr>
              <w:jc w:val="right"/>
              <w:rPr>
                <w:rFonts w:ascii="宋体"/>
              </w:rPr>
            </w:pPr>
          </w:p>
        </w:tc>
      </w:tr>
      <w:tr w:rsidR="00A82082" w14:paraId="7E783E1A" w14:textId="77777777">
        <w:trPr>
          <w:jc w:val="center"/>
        </w:trPr>
        <w:tc>
          <w:tcPr>
            <w:tcW w:w="0" w:type="auto"/>
            <w:gridSpan w:val="3"/>
            <w:shd w:val="clear" w:color="auto" w:fill="CCEEFF"/>
            <w:tcMar>
              <w:top w:w="40" w:type="dxa"/>
              <w:left w:w="380" w:type="dxa"/>
              <w:bottom w:w="40" w:type="dxa"/>
              <w:right w:w="20" w:type="dxa"/>
            </w:tcMar>
            <w:vAlign w:val="center"/>
          </w:tcPr>
          <w:p w14:paraId="7E783E0D" w14:textId="77777777" w:rsidR="00A82082" w:rsidRDefault="00E946F9">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tcPr>
          <w:p w14:paraId="7E783E0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0F" w14:textId="77777777" w:rsidR="00A82082" w:rsidRDefault="00E946F9">
            <w:pPr>
              <w:jc w:val="right"/>
              <w:textAlignment w:val="center"/>
            </w:pPr>
            <w:r>
              <w:rPr>
                <w:rFonts w:ascii="Times New Roman" w:eastAsia="宋体" w:hAnsi="Times New Roman"/>
                <w:color w:val="000000"/>
                <w:sz w:val="16"/>
                <w:szCs w:val="16"/>
              </w:rPr>
              <w:t>(25)</w:t>
            </w:r>
          </w:p>
        </w:tc>
        <w:tc>
          <w:tcPr>
            <w:tcW w:w="0" w:type="auto"/>
            <w:shd w:val="clear" w:color="auto" w:fill="CCEEFF"/>
            <w:tcMar>
              <w:top w:w="40" w:type="dxa"/>
              <w:left w:w="0" w:type="dxa"/>
              <w:bottom w:w="40" w:type="dxa"/>
              <w:right w:w="20" w:type="dxa"/>
            </w:tcMar>
            <w:vAlign w:val="center"/>
          </w:tcPr>
          <w:p w14:paraId="7E783E1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1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12" w14:textId="77777777" w:rsidR="00A82082" w:rsidRDefault="00E946F9">
            <w:pPr>
              <w:jc w:val="right"/>
              <w:textAlignment w:val="center"/>
            </w:pPr>
            <w:r>
              <w:rPr>
                <w:rFonts w:ascii="Times New Roman" w:eastAsia="宋体" w:hAnsi="Times New Roman"/>
                <w:color w:val="000000"/>
                <w:sz w:val="16"/>
                <w:szCs w:val="16"/>
              </w:rPr>
              <w:t>(44)</w:t>
            </w:r>
          </w:p>
        </w:tc>
        <w:tc>
          <w:tcPr>
            <w:tcW w:w="0" w:type="auto"/>
            <w:shd w:val="clear" w:color="auto" w:fill="CCEEFF"/>
            <w:tcMar>
              <w:top w:w="40" w:type="dxa"/>
              <w:left w:w="0" w:type="dxa"/>
              <w:bottom w:w="40" w:type="dxa"/>
              <w:right w:w="20" w:type="dxa"/>
            </w:tcMar>
            <w:vAlign w:val="center"/>
          </w:tcPr>
          <w:p w14:paraId="7E783E1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1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15" w14:textId="77777777" w:rsidR="00A82082" w:rsidRDefault="00E946F9">
            <w:pPr>
              <w:jc w:val="right"/>
              <w:textAlignment w:val="bottom"/>
            </w:pPr>
            <w:r>
              <w:rPr>
                <w:rFonts w:ascii="Times New Roman" w:eastAsia="宋体" w:hAnsi="Times New Roman"/>
                <w:color w:val="000000"/>
                <w:sz w:val="16"/>
                <w:szCs w:val="16"/>
              </w:rPr>
              <w:t>(91)</w:t>
            </w:r>
          </w:p>
        </w:tc>
        <w:tc>
          <w:tcPr>
            <w:tcW w:w="0" w:type="auto"/>
            <w:shd w:val="clear" w:color="auto" w:fill="CCEEFF"/>
            <w:tcMar>
              <w:top w:w="40" w:type="dxa"/>
              <w:left w:w="0" w:type="dxa"/>
              <w:bottom w:w="40" w:type="dxa"/>
              <w:right w:w="20" w:type="dxa"/>
            </w:tcMar>
            <w:vAlign w:val="bottom"/>
          </w:tcPr>
          <w:p w14:paraId="7E783E1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1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18" w14:textId="77777777" w:rsidR="00A82082" w:rsidRDefault="00E946F9">
            <w:pPr>
              <w:jc w:val="right"/>
              <w:textAlignment w:val="bottom"/>
            </w:pPr>
            <w:r>
              <w:rPr>
                <w:rFonts w:ascii="Times New Roman" w:eastAsia="宋体" w:hAnsi="Times New Roman"/>
                <w:color w:val="000000"/>
                <w:sz w:val="16"/>
                <w:szCs w:val="16"/>
              </w:rPr>
              <w:t>(148)</w:t>
            </w:r>
          </w:p>
        </w:tc>
        <w:tc>
          <w:tcPr>
            <w:tcW w:w="0" w:type="auto"/>
            <w:shd w:val="clear" w:color="auto" w:fill="CCEEFF"/>
            <w:tcMar>
              <w:top w:w="40" w:type="dxa"/>
              <w:left w:w="0" w:type="dxa"/>
              <w:bottom w:w="40" w:type="dxa"/>
              <w:right w:w="20" w:type="dxa"/>
            </w:tcMar>
            <w:vAlign w:val="bottom"/>
          </w:tcPr>
          <w:p w14:paraId="7E783E19" w14:textId="77777777" w:rsidR="00A82082" w:rsidRDefault="00A82082">
            <w:pPr>
              <w:jc w:val="right"/>
              <w:rPr>
                <w:rFonts w:ascii="宋体"/>
              </w:rPr>
            </w:pPr>
          </w:p>
        </w:tc>
      </w:tr>
      <w:tr w:rsidR="00A82082" w14:paraId="7E783E28" w14:textId="77777777">
        <w:trPr>
          <w:jc w:val="center"/>
        </w:trPr>
        <w:tc>
          <w:tcPr>
            <w:tcW w:w="0" w:type="auto"/>
            <w:gridSpan w:val="3"/>
            <w:shd w:val="clear" w:color="auto" w:fill="FFFFFF"/>
            <w:tcMar>
              <w:top w:w="40" w:type="dxa"/>
              <w:left w:w="605" w:type="dxa"/>
              <w:bottom w:w="40" w:type="dxa"/>
              <w:right w:w="20" w:type="dxa"/>
            </w:tcMar>
            <w:vAlign w:val="center"/>
          </w:tcPr>
          <w:p w14:paraId="7E783E1B" w14:textId="77777777" w:rsidR="00A82082" w:rsidRDefault="00E946F9">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7E783E1C"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1D" w14:textId="77777777" w:rsidR="00A82082" w:rsidRDefault="00E946F9">
            <w:pPr>
              <w:jc w:val="right"/>
              <w:textAlignment w:val="center"/>
            </w:pPr>
            <w:r>
              <w:rPr>
                <w:rFonts w:ascii="Times New Roman" w:eastAsia="宋体" w:hAnsi="Times New Roman"/>
                <w:color w:val="000000"/>
                <w:sz w:val="16"/>
                <w:szCs w:val="16"/>
              </w:rPr>
              <w:t>516 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1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1F"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20" w14:textId="77777777" w:rsidR="00A82082" w:rsidRDefault="00E946F9">
            <w:pPr>
              <w:jc w:val="right"/>
              <w:textAlignment w:val="center"/>
            </w:pPr>
            <w:r>
              <w:rPr>
                <w:rFonts w:ascii="Times New Roman" w:eastAsia="宋体" w:hAnsi="Times New Roman"/>
                <w:color w:val="000000"/>
                <w:sz w:val="16"/>
                <w:szCs w:val="16"/>
              </w:rPr>
              <w:t>589 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2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2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23" w14:textId="77777777" w:rsidR="00A82082" w:rsidRDefault="00E946F9">
            <w:pPr>
              <w:jc w:val="right"/>
              <w:textAlignment w:val="center"/>
            </w:pPr>
            <w:r>
              <w:rPr>
                <w:rFonts w:ascii="Times New Roman" w:eastAsia="宋体" w:hAnsi="Times New Roman"/>
                <w:color w:val="000000"/>
                <w:sz w:val="16"/>
                <w:szCs w:val="16"/>
              </w:rPr>
              <w:t>1,700 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2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25"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26" w14:textId="77777777" w:rsidR="00A82082" w:rsidRDefault="00E946F9">
            <w:pPr>
              <w:jc w:val="right"/>
              <w:textAlignment w:val="center"/>
            </w:pPr>
            <w:r>
              <w:rPr>
                <w:rFonts w:ascii="Times New Roman" w:eastAsia="宋体" w:hAnsi="Times New Roman"/>
                <w:color w:val="000000"/>
                <w:sz w:val="16"/>
                <w:szCs w:val="16"/>
              </w:rPr>
              <w:t>1,799 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27" w14:textId="77777777" w:rsidR="00A82082" w:rsidRDefault="00A82082">
            <w:pPr>
              <w:jc w:val="right"/>
              <w:rPr>
                <w:rFonts w:ascii="宋体"/>
              </w:rPr>
            </w:pPr>
          </w:p>
        </w:tc>
      </w:tr>
      <w:tr w:rsidR="00A82082" w14:paraId="7E783E32" w14:textId="77777777">
        <w:trPr>
          <w:jc w:val="center"/>
          <w:hidden/>
        </w:trPr>
        <w:tc>
          <w:tcPr>
            <w:tcW w:w="0" w:type="auto"/>
            <w:gridSpan w:val="3"/>
            <w:shd w:val="clear" w:color="auto" w:fill="auto"/>
          </w:tcPr>
          <w:p w14:paraId="7E783E29" w14:textId="77777777" w:rsidR="00A82082" w:rsidRDefault="00A82082">
            <w:pPr>
              <w:rPr>
                <w:rFonts w:ascii="宋体"/>
                <w:vanish/>
              </w:rPr>
            </w:pPr>
          </w:p>
        </w:tc>
        <w:tc>
          <w:tcPr>
            <w:tcW w:w="0" w:type="auto"/>
            <w:gridSpan w:val="3"/>
            <w:shd w:val="clear" w:color="auto" w:fill="auto"/>
          </w:tcPr>
          <w:p w14:paraId="7E783E2A" w14:textId="77777777" w:rsidR="00A82082" w:rsidRDefault="00A82082">
            <w:pPr>
              <w:rPr>
                <w:rFonts w:ascii="宋体"/>
                <w:vanish/>
              </w:rPr>
            </w:pPr>
          </w:p>
        </w:tc>
        <w:tc>
          <w:tcPr>
            <w:tcW w:w="0" w:type="auto"/>
            <w:gridSpan w:val="3"/>
            <w:shd w:val="clear" w:color="auto" w:fill="auto"/>
          </w:tcPr>
          <w:p w14:paraId="7E783E2B" w14:textId="77777777" w:rsidR="00A82082" w:rsidRDefault="00A82082">
            <w:pPr>
              <w:rPr>
                <w:rFonts w:ascii="宋体"/>
                <w:vanish/>
              </w:rPr>
            </w:pPr>
          </w:p>
        </w:tc>
        <w:tc>
          <w:tcPr>
            <w:tcW w:w="0" w:type="auto"/>
            <w:gridSpan w:val="3"/>
            <w:shd w:val="clear" w:color="auto" w:fill="auto"/>
          </w:tcPr>
          <w:p w14:paraId="7E783E2C" w14:textId="77777777" w:rsidR="00A82082" w:rsidRDefault="00A82082">
            <w:pPr>
              <w:rPr>
                <w:rFonts w:ascii="宋体"/>
                <w:vanish/>
              </w:rPr>
            </w:pPr>
          </w:p>
        </w:tc>
        <w:tc>
          <w:tcPr>
            <w:tcW w:w="0" w:type="auto"/>
            <w:gridSpan w:val="3"/>
            <w:shd w:val="clear" w:color="auto" w:fill="auto"/>
          </w:tcPr>
          <w:p w14:paraId="7E783E2D" w14:textId="77777777" w:rsidR="00A82082" w:rsidRDefault="00A82082">
            <w:pPr>
              <w:rPr>
                <w:rFonts w:ascii="宋体"/>
                <w:vanish/>
              </w:rPr>
            </w:pPr>
          </w:p>
        </w:tc>
        <w:tc>
          <w:tcPr>
            <w:tcW w:w="0" w:type="auto"/>
            <w:gridSpan w:val="3"/>
            <w:shd w:val="clear" w:color="auto" w:fill="auto"/>
          </w:tcPr>
          <w:p w14:paraId="7E783E2E" w14:textId="77777777" w:rsidR="00A82082" w:rsidRDefault="00A82082">
            <w:pPr>
              <w:rPr>
                <w:rFonts w:ascii="宋体"/>
                <w:vanish/>
              </w:rPr>
            </w:pPr>
          </w:p>
        </w:tc>
        <w:tc>
          <w:tcPr>
            <w:tcW w:w="0" w:type="auto"/>
            <w:gridSpan w:val="3"/>
            <w:shd w:val="clear" w:color="auto" w:fill="auto"/>
          </w:tcPr>
          <w:p w14:paraId="7E783E2F" w14:textId="77777777" w:rsidR="00A82082" w:rsidRDefault="00A82082">
            <w:pPr>
              <w:rPr>
                <w:rFonts w:ascii="宋体"/>
                <w:vanish/>
              </w:rPr>
            </w:pPr>
          </w:p>
        </w:tc>
        <w:tc>
          <w:tcPr>
            <w:tcW w:w="0" w:type="auto"/>
            <w:gridSpan w:val="3"/>
            <w:shd w:val="clear" w:color="auto" w:fill="auto"/>
          </w:tcPr>
          <w:p w14:paraId="7E783E30" w14:textId="77777777" w:rsidR="00A82082" w:rsidRDefault="00A82082">
            <w:pPr>
              <w:rPr>
                <w:rFonts w:ascii="宋体"/>
                <w:vanish/>
              </w:rPr>
            </w:pPr>
          </w:p>
        </w:tc>
        <w:tc>
          <w:tcPr>
            <w:tcW w:w="0" w:type="auto"/>
            <w:gridSpan w:val="3"/>
            <w:shd w:val="clear" w:color="auto" w:fill="auto"/>
          </w:tcPr>
          <w:p w14:paraId="7E783E31" w14:textId="77777777" w:rsidR="00A82082" w:rsidRDefault="00A82082">
            <w:pPr>
              <w:rPr>
                <w:rFonts w:ascii="宋体"/>
                <w:vanish/>
              </w:rPr>
            </w:pPr>
          </w:p>
        </w:tc>
      </w:tr>
      <w:tr w:rsidR="00A82082" w14:paraId="7E783E40" w14:textId="77777777">
        <w:trPr>
          <w:jc w:val="center"/>
        </w:trPr>
        <w:tc>
          <w:tcPr>
            <w:tcW w:w="0" w:type="auto"/>
            <w:gridSpan w:val="3"/>
            <w:shd w:val="clear" w:color="auto" w:fill="CCEEFF"/>
            <w:tcMar>
              <w:top w:w="40" w:type="dxa"/>
              <w:left w:w="20" w:type="dxa"/>
              <w:bottom w:w="40" w:type="dxa"/>
              <w:right w:w="20" w:type="dxa"/>
            </w:tcMar>
            <w:vAlign w:val="center"/>
          </w:tcPr>
          <w:p w14:paraId="7E783E33" w14:textId="77777777" w:rsidR="00A82082" w:rsidRDefault="00E946F9">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7E783E3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35" w14:textId="77777777" w:rsidR="00A82082" w:rsidRDefault="00E946F9">
            <w:pPr>
              <w:jc w:val="right"/>
              <w:textAlignment w:val="center"/>
            </w:pPr>
            <w:r>
              <w:rPr>
                <w:rFonts w:ascii="Times New Roman" w:eastAsia="宋体" w:hAnsi="Times New Roman"/>
                <w:color w:val="000000"/>
                <w:sz w:val="16"/>
                <w:szCs w:val="16"/>
              </w:rPr>
              <w:t>(1,853)</w:t>
            </w:r>
          </w:p>
        </w:tc>
        <w:tc>
          <w:tcPr>
            <w:tcW w:w="0" w:type="auto"/>
            <w:shd w:val="clear" w:color="auto" w:fill="CCEEFF"/>
            <w:tcMar>
              <w:top w:w="40" w:type="dxa"/>
              <w:left w:w="0" w:type="dxa"/>
              <w:bottom w:w="40" w:type="dxa"/>
              <w:right w:w="20" w:type="dxa"/>
            </w:tcMar>
            <w:vAlign w:val="center"/>
          </w:tcPr>
          <w:p w14:paraId="7E783E3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3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38" w14:textId="77777777" w:rsidR="00A82082" w:rsidRDefault="00E946F9">
            <w:pPr>
              <w:jc w:val="right"/>
              <w:textAlignment w:val="center"/>
            </w:pPr>
            <w:r>
              <w:rPr>
                <w:rFonts w:ascii="Times New Roman" w:eastAsia="宋体" w:hAnsi="Times New Roman"/>
                <w:color w:val="000000"/>
                <w:sz w:val="16"/>
                <w:szCs w:val="16"/>
              </w:rPr>
              <w:t>(244)</w:t>
            </w:r>
          </w:p>
        </w:tc>
        <w:tc>
          <w:tcPr>
            <w:tcW w:w="0" w:type="auto"/>
            <w:shd w:val="clear" w:color="auto" w:fill="CCEEFF"/>
            <w:tcMar>
              <w:top w:w="40" w:type="dxa"/>
              <w:left w:w="0" w:type="dxa"/>
              <w:bottom w:w="40" w:type="dxa"/>
              <w:right w:w="20" w:type="dxa"/>
            </w:tcMar>
            <w:vAlign w:val="center"/>
          </w:tcPr>
          <w:p w14:paraId="7E783E3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3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3B" w14:textId="77777777" w:rsidR="00A82082" w:rsidRDefault="00E946F9">
            <w:pPr>
              <w:jc w:val="right"/>
              <w:textAlignment w:val="bottom"/>
            </w:pPr>
            <w:r>
              <w:rPr>
                <w:rFonts w:ascii="Times New Roman" w:eastAsia="宋体" w:hAnsi="Times New Roman"/>
                <w:color w:val="000000"/>
                <w:sz w:val="16"/>
                <w:szCs w:val="16"/>
              </w:rPr>
              <w:t>(5,796)</w:t>
            </w:r>
          </w:p>
        </w:tc>
        <w:tc>
          <w:tcPr>
            <w:tcW w:w="0" w:type="auto"/>
            <w:shd w:val="clear" w:color="auto" w:fill="CCEEFF"/>
            <w:tcMar>
              <w:top w:w="40" w:type="dxa"/>
              <w:left w:w="0" w:type="dxa"/>
              <w:bottom w:w="40" w:type="dxa"/>
              <w:right w:w="20" w:type="dxa"/>
            </w:tcMar>
            <w:vAlign w:val="bottom"/>
          </w:tcPr>
          <w:p w14:paraId="7E783E3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3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3E" w14:textId="77777777" w:rsidR="00A82082" w:rsidRDefault="00E946F9">
            <w:pPr>
              <w:jc w:val="right"/>
              <w:textAlignment w:val="bottom"/>
            </w:pPr>
            <w:r>
              <w:rPr>
                <w:rFonts w:ascii="Times New Roman" w:eastAsia="宋体" w:hAnsi="Times New Roman"/>
                <w:color w:val="000000"/>
                <w:sz w:val="16"/>
                <w:szCs w:val="16"/>
              </w:rPr>
              <w:t>(996)</w:t>
            </w:r>
          </w:p>
        </w:tc>
        <w:tc>
          <w:tcPr>
            <w:tcW w:w="0" w:type="auto"/>
            <w:shd w:val="clear" w:color="auto" w:fill="CCEEFF"/>
            <w:tcMar>
              <w:top w:w="40" w:type="dxa"/>
              <w:left w:w="0" w:type="dxa"/>
              <w:bottom w:w="40" w:type="dxa"/>
              <w:right w:w="20" w:type="dxa"/>
            </w:tcMar>
            <w:vAlign w:val="bottom"/>
          </w:tcPr>
          <w:p w14:paraId="7E783E3F" w14:textId="77777777" w:rsidR="00A82082" w:rsidRDefault="00A82082">
            <w:pPr>
              <w:jc w:val="right"/>
              <w:rPr>
                <w:rFonts w:ascii="宋体"/>
              </w:rPr>
            </w:pPr>
          </w:p>
        </w:tc>
      </w:tr>
      <w:tr w:rsidR="00A82082" w14:paraId="7E783E4E" w14:textId="77777777">
        <w:trPr>
          <w:jc w:val="center"/>
        </w:trPr>
        <w:tc>
          <w:tcPr>
            <w:tcW w:w="0" w:type="auto"/>
            <w:gridSpan w:val="3"/>
            <w:shd w:val="clear" w:color="auto" w:fill="FFFFFF"/>
            <w:tcMar>
              <w:top w:w="40" w:type="dxa"/>
              <w:left w:w="20" w:type="dxa"/>
              <w:bottom w:w="40" w:type="dxa"/>
              <w:right w:w="20" w:type="dxa"/>
            </w:tcMar>
            <w:vAlign w:val="center"/>
          </w:tcPr>
          <w:p w14:paraId="7E783E41" w14:textId="77777777" w:rsidR="00A82082" w:rsidRDefault="00E946F9">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7E783E4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43" w14:textId="77777777" w:rsidR="00A82082" w:rsidRDefault="00E946F9">
            <w:pPr>
              <w:jc w:val="right"/>
              <w:textAlignment w:val="center"/>
            </w:pPr>
            <w:r>
              <w:rPr>
                <w:rFonts w:ascii="Times New Roman" w:eastAsia="宋体" w:hAnsi="Times New Roman"/>
                <w:color w:val="000000"/>
                <w:sz w:val="16"/>
                <w:szCs w:val="16"/>
              </w:rPr>
              <w:t>7,115 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4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45"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46" w14:textId="77777777" w:rsidR="00A82082" w:rsidRDefault="00E946F9">
            <w:pPr>
              <w:jc w:val="right"/>
              <w:textAlignment w:val="center"/>
            </w:pPr>
            <w:r>
              <w:rPr>
                <w:rFonts w:ascii="Times New Roman" w:eastAsia="宋体" w:hAnsi="Times New Roman"/>
                <w:color w:val="000000"/>
                <w:sz w:val="16"/>
                <w:szCs w:val="16"/>
              </w:rPr>
              <w:t>4,373 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4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48"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783E49" w14:textId="77777777" w:rsidR="00A82082" w:rsidRDefault="00E946F9">
            <w:pPr>
              <w:jc w:val="right"/>
              <w:textAlignment w:val="bottom"/>
            </w:pPr>
            <w:r>
              <w:rPr>
                <w:rFonts w:ascii="Times New Roman" w:eastAsia="宋体" w:hAnsi="Times New Roman"/>
                <w:color w:val="000000"/>
                <w:sz w:val="16"/>
                <w:szCs w:val="16"/>
              </w:rPr>
              <w:t>21,157 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E783E4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4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783E4C" w14:textId="77777777" w:rsidR="00A82082" w:rsidRDefault="00E946F9">
            <w:pPr>
              <w:jc w:val="right"/>
              <w:textAlignment w:val="bottom"/>
            </w:pPr>
            <w:r>
              <w:rPr>
                <w:rFonts w:ascii="Times New Roman" w:eastAsia="宋体" w:hAnsi="Times New Roman"/>
                <w:color w:val="000000"/>
                <w:sz w:val="16"/>
                <w:szCs w:val="16"/>
              </w:rPr>
              <w:t>14,443 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783E4D" w14:textId="77777777" w:rsidR="00A82082" w:rsidRDefault="00A82082">
            <w:pPr>
              <w:jc w:val="right"/>
              <w:rPr>
                <w:rFonts w:ascii="宋体"/>
              </w:rPr>
            </w:pPr>
          </w:p>
        </w:tc>
      </w:tr>
      <w:tr w:rsidR="00A82082" w14:paraId="7E783E5C" w14:textId="77777777">
        <w:trPr>
          <w:jc w:val="center"/>
        </w:trPr>
        <w:tc>
          <w:tcPr>
            <w:tcW w:w="0" w:type="auto"/>
            <w:gridSpan w:val="3"/>
            <w:shd w:val="clear" w:color="auto" w:fill="CCEEFF"/>
            <w:tcMar>
              <w:top w:w="40" w:type="dxa"/>
              <w:left w:w="20" w:type="dxa"/>
              <w:bottom w:w="40" w:type="dxa"/>
              <w:right w:w="20" w:type="dxa"/>
            </w:tcMar>
            <w:vAlign w:val="center"/>
          </w:tcPr>
          <w:p w14:paraId="7E783E4F" w14:textId="77777777" w:rsidR="00A82082" w:rsidRDefault="00E946F9">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tcPr>
          <w:p w14:paraId="7E783E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51" w14:textId="77777777" w:rsidR="00A82082" w:rsidRDefault="00E946F9">
            <w:pPr>
              <w:jc w:val="right"/>
              <w:textAlignment w:val="center"/>
            </w:pPr>
            <w:r>
              <w:rPr>
                <w:rFonts w:ascii="Times New Roman" w:eastAsia="宋体" w:hAnsi="Times New Roman"/>
                <w:color w:val="000000"/>
                <w:sz w:val="16"/>
                <w:szCs w:val="16"/>
              </w:rPr>
              <w:t>1,914 </w:t>
            </w:r>
          </w:p>
        </w:tc>
        <w:tc>
          <w:tcPr>
            <w:tcW w:w="0" w:type="auto"/>
            <w:shd w:val="clear" w:color="auto" w:fill="CCEEFF"/>
            <w:tcMar>
              <w:top w:w="40" w:type="dxa"/>
              <w:left w:w="0" w:type="dxa"/>
              <w:bottom w:w="40" w:type="dxa"/>
              <w:right w:w="20" w:type="dxa"/>
            </w:tcMar>
            <w:vAlign w:val="center"/>
          </w:tcPr>
          <w:p w14:paraId="7E783E5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5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54" w14:textId="77777777" w:rsidR="00A82082" w:rsidRDefault="00E946F9">
            <w:pPr>
              <w:jc w:val="right"/>
              <w:textAlignment w:val="center"/>
            </w:pPr>
            <w:r>
              <w:rPr>
                <w:rFonts w:ascii="Times New Roman" w:eastAsia="宋体" w:hAnsi="Times New Roman"/>
                <w:color w:val="000000"/>
                <w:sz w:val="16"/>
                <w:szCs w:val="16"/>
              </w:rPr>
              <w:t>1,052 </w:t>
            </w:r>
          </w:p>
        </w:tc>
        <w:tc>
          <w:tcPr>
            <w:tcW w:w="0" w:type="auto"/>
            <w:shd w:val="clear" w:color="auto" w:fill="CCEEFF"/>
            <w:tcMar>
              <w:top w:w="40" w:type="dxa"/>
              <w:left w:w="0" w:type="dxa"/>
              <w:bottom w:w="40" w:type="dxa"/>
              <w:right w:w="20" w:type="dxa"/>
            </w:tcMar>
            <w:vAlign w:val="center"/>
          </w:tcPr>
          <w:p w14:paraId="7E783E5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5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57" w14:textId="77777777" w:rsidR="00A82082" w:rsidRDefault="00E946F9">
            <w:pPr>
              <w:jc w:val="right"/>
              <w:textAlignment w:val="bottom"/>
            </w:pPr>
            <w:r>
              <w:rPr>
                <w:rFonts w:ascii="Times New Roman" w:eastAsia="宋体" w:hAnsi="Times New Roman"/>
                <w:color w:val="000000"/>
                <w:sz w:val="16"/>
                <w:szCs w:val="16"/>
              </w:rPr>
              <w:t>5,443 </w:t>
            </w:r>
          </w:p>
        </w:tc>
        <w:tc>
          <w:tcPr>
            <w:tcW w:w="0" w:type="auto"/>
            <w:shd w:val="clear" w:color="auto" w:fill="CCEEFF"/>
            <w:tcMar>
              <w:top w:w="40" w:type="dxa"/>
              <w:left w:w="0" w:type="dxa"/>
              <w:bottom w:w="40" w:type="dxa"/>
              <w:right w:w="20" w:type="dxa"/>
            </w:tcMar>
            <w:vAlign w:val="bottom"/>
          </w:tcPr>
          <w:p w14:paraId="7E783E5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5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5A" w14:textId="77777777" w:rsidR="00A82082" w:rsidRDefault="00E946F9">
            <w:pPr>
              <w:jc w:val="right"/>
              <w:textAlignment w:val="bottom"/>
            </w:pPr>
            <w:r>
              <w:rPr>
                <w:rFonts w:ascii="Times New Roman" w:eastAsia="宋体" w:hAnsi="Times New Roman"/>
                <w:color w:val="000000"/>
                <w:sz w:val="16"/>
                <w:szCs w:val="16"/>
              </w:rPr>
              <w:t>3,536 </w:t>
            </w:r>
          </w:p>
        </w:tc>
        <w:tc>
          <w:tcPr>
            <w:tcW w:w="0" w:type="auto"/>
            <w:shd w:val="clear" w:color="auto" w:fill="CCEEFF"/>
            <w:tcMar>
              <w:top w:w="40" w:type="dxa"/>
              <w:left w:w="0" w:type="dxa"/>
              <w:bottom w:w="40" w:type="dxa"/>
              <w:right w:w="20" w:type="dxa"/>
            </w:tcMar>
            <w:vAlign w:val="bottom"/>
          </w:tcPr>
          <w:p w14:paraId="7E783E5B" w14:textId="77777777" w:rsidR="00A82082" w:rsidRDefault="00A82082">
            <w:pPr>
              <w:jc w:val="right"/>
              <w:rPr>
                <w:rFonts w:ascii="宋体"/>
              </w:rPr>
            </w:pPr>
          </w:p>
        </w:tc>
      </w:tr>
      <w:tr w:rsidR="00A82082" w14:paraId="7E783E66" w14:textId="77777777">
        <w:trPr>
          <w:jc w:val="center"/>
          <w:hidden/>
        </w:trPr>
        <w:tc>
          <w:tcPr>
            <w:tcW w:w="0" w:type="auto"/>
            <w:gridSpan w:val="3"/>
            <w:shd w:val="clear" w:color="auto" w:fill="auto"/>
          </w:tcPr>
          <w:p w14:paraId="7E783E5D" w14:textId="77777777" w:rsidR="00A82082" w:rsidRDefault="00A82082">
            <w:pPr>
              <w:rPr>
                <w:rFonts w:ascii="宋体"/>
                <w:vanish/>
              </w:rPr>
            </w:pPr>
          </w:p>
        </w:tc>
        <w:tc>
          <w:tcPr>
            <w:tcW w:w="0" w:type="auto"/>
            <w:gridSpan w:val="3"/>
            <w:shd w:val="clear" w:color="auto" w:fill="auto"/>
          </w:tcPr>
          <w:p w14:paraId="7E783E5E" w14:textId="77777777" w:rsidR="00A82082" w:rsidRDefault="00A82082">
            <w:pPr>
              <w:rPr>
                <w:rFonts w:ascii="宋体"/>
                <w:vanish/>
              </w:rPr>
            </w:pPr>
          </w:p>
        </w:tc>
        <w:tc>
          <w:tcPr>
            <w:tcW w:w="0" w:type="auto"/>
            <w:gridSpan w:val="3"/>
            <w:shd w:val="clear" w:color="auto" w:fill="auto"/>
          </w:tcPr>
          <w:p w14:paraId="7E783E5F" w14:textId="77777777" w:rsidR="00A82082" w:rsidRDefault="00A82082">
            <w:pPr>
              <w:rPr>
                <w:rFonts w:ascii="宋体"/>
                <w:vanish/>
              </w:rPr>
            </w:pPr>
          </w:p>
        </w:tc>
        <w:tc>
          <w:tcPr>
            <w:tcW w:w="0" w:type="auto"/>
            <w:gridSpan w:val="3"/>
            <w:shd w:val="clear" w:color="auto" w:fill="auto"/>
          </w:tcPr>
          <w:p w14:paraId="7E783E60" w14:textId="77777777" w:rsidR="00A82082" w:rsidRDefault="00A82082">
            <w:pPr>
              <w:rPr>
                <w:rFonts w:ascii="宋体"/>
                <w:vanish/>
              </w:rPr>
            </w:pPr>
          </w:p>
        </w:tc>
        <w:tc>
          <w:tcPr>
            <w:tcW w:w="0" w:type="auto"/>
            <w:gridSpan w:val="3"/>
            <w:shd w:val="clear" w:color="auto" w:fill="auto"/>
          </w:tcPr>
          <w:p w14:paraId="7E783E61" w14:textId="77777777" w:rsidR="00A82082" w:rsidRDefault="00A82082">
            <w:pPr>
              <w:rPr>
                <w:rFonts w:ascii="宋体"/>
                <w:vanish/>
              </w:rPr>
            </w:pPr>
          </w:p>
        </w:tc>
        <w:tc>
          <w:tcPr>
            <w:tcW w:w="0" w:type="auto"/>
            <w:gridSpan w:val="3"/>
            <w:shd w:val="clear" w:color="auto" w:fill="auto"/>
          </w:tcPr>
          <w:p w14:paraId="7E783E62" w14:textId="77777777" w:rsidR="00A82082" w:rsidRDefault="00A82082">
            <w:pPr>
              <w:rPr>
                <w:rFonts w:ascii="宋体"/>
                <w:vanish/>
              </w:rPr>
            </w:pPr>
          </w:p>
        </w:tc>
        <w:tc>
          <w:tcPr>
            <w:tcW w:w="0" w:type="auto"/>
            <w:gridSpan w:val="3"/>
            <w:shd w:val="clear" w:color="auto" w:fill="auto"/>
          </w:tcPr>
          <w:p w14:paraId="7E783E63" w14:textId="77777777" w:rsidR="00A82082" w:rsidRDefault="00A82082">
            <w:pPr>
              <w:rPr>
                <w:rFonts w:ascii="宋体"/>
                <w:vanish/>
              </w:rPr>
            </w:pPr>
          </w:p>
        </w:tc>
        <w:tc>
          <w:tcPr>
            <w:tcW w:w="0" w:type="auto"/>
            <w:gridSpan w:val="3"/>
            <w:shd w:val="clear" w:color="auto" w:fill="auto"/>
          </w:tcPr>
          <w:p w14:paraId="7E783E64" w14:textId="77777777" w:rsidR="00A82082" w:rsidRDefault="00A82082">
            <w:pPr>
              <w:rPr>
                <w:rFonts w:ascii="宋体"/>
                <w:vanish/>
              </w:rPr>
            </w:pPr>
          </w:p>
        </w:tc>
        <w:tc>
          <w:tcPr>
            <w:tcW w:w="0" w:type="auto"/>
            <w:gridSpan w:val="3"/>
            <w:shd w:val="clear" w:color="auto" w:fill="auto"/>
          </w:tcPr>
          <w:p w14:paraId="7E783E65" w14:textId="77777777" w:rsidR="00A82082" w:rsidRDefault="00A82082">
            <w:pPr>
              <w:rPr>
                <w:rFonts w:ascii="宋体"/>
                <w:vanish/>
              </w:rPr>
            </w:pPr>
          </w:p>
        </w:tc>
      </w:tr>
      <w:tr w:rsidR="00A82082" w14:paraId="7E783E70" w14:textId="77777777">
        <w:trPr>
          <w:jc w:val="center"/>
          <w:hidden/>
        </w:trPr>
        <w:tc>
          <w:tcPr>
            <w:tcW w:w="0" w:type="auto"/>
            <w:gridSpan w:val="3"/>
            <w:shd w:val="clear" w:color="auto" w:fill="auto"/>
          </w:tcPr>
          <w:p w14:paraId="7E783E67" w14:textId="77777777" w:rsidR="00A82082" w:rsidRDefault="00A82082">
            <w:pPr>
              <w:rPr>
                <w:rFonts w:ascii="宋体"/>
                <w:vanish/>
              </w:rPr>
            </w:pPr>
          </w:p>
        </w:tc>
        <w:tc>
          <w:tcPr>
            <w:tcW w:w="0" w:type="auto"/>
            <w:gridSpan w:val="3"/>
            <w:shd w:val="clear" w:color="auto" w:fill="auto"/>
          </w:tcPr>
          <w:p w14:paraId="7E783E68" w14:textId="77777777" w:rsidR="00A82082" w:rsidRDefault="00A82082">
            <w:pPr>
              <w:rPr>
                <w:rFonts w:ascii="宋体"/>
                <w:vanish/>
              </w:rPr>
            </w:pPr>
          </w:p>
        </w:tc>
        <w:tc>
          <w:tcPr>
            <w:tcW w:w="0" w:type="auto"/>
            <w:gridSpan w:val="3"/>
            <w:shd w:val="clear" w:color="auto" w:fill="auto"/>
          </w:tcPr>
          <w:p w14:paraId="7E783E69" w14:textId="77777777" w:rsidR="00A82082" w:rsidRDefault="00A82082">
            <w:pPr>
              <w:rPr>
                <w:rFonts w:ascii="宋体"/>
                <w:vanish/>
              </w:rPr>
            </w:pPr>
          </w:p>
        </w:tc>
        <w:tc>
          <w:tcPr>
            <w:tcW w:w="0" w:type="auto"/>
            <w:gridSpan w:val="3"/>
            <w:shd w:val="clear" w:color="auto" w:fill="auto"/>
          </w:tcPr>
          <w:p w14:paraId="7E783E6A" w14:textId="77777777" w:rsidR="00A82082" w:rsidRDefault="00A82082">
            <w:pPr>
              <w:rPr>
                <w:rFonts w:ascii="宋体"/>
                <w:vanish/>
              </w:rPr>
            </w:pPr>
          </w:p>
        </w:tc>
        <w:tc>
          <w:tcPr>
            <w:tcW w:w="0" w:type="auto"/>
            <w:gridSpan w:val="3"/>
            <w:shd w:val="clear" w:color="auto" w:fill="auto"/>
          </w:tcPr>
          <w:p w14:paraId="7E783E6B" w14:textId="77777777" w:rsidR="00A82082" w:rsidRDefault="00A82082">
            <w:pPr>
              <w:rPr>
                <w:rFonts w:ascii="宋体"/>
                <w:vanish/>
              </w:rPr>
            </w:pPr>
          </w:p>
        </w:tc>
        <w:tc>
          <w:tcPr>
            <w:tcW w:w="0" w:type="auto"/>
            <w:gridSpan w:val="3"/>
            <w:shd w:val="clear" w:color="auto" w:fill="auto"/>
          </w:tcPr>
          <w:p w14:paraId="7E783E6C" w14:textId="77777777" w:rsidR="00A82082" w:rsidRDefault="00A82082">
            <w:pPr>
              <w:rPr>
                <w:rFonts w:ascii="宋体"/>
                <w:vanish/>
              </w:rPr>
            </w:pPr>
          </w:p>
        </w:tc>
        <w:tc>
          <w:tcPr>
            <w:tcW w:w="0" w:type="auto"/>
            <w:gridSpan w:val="3"/>
            <w:shd w:val="clear" w:color="auto" w:fill="auto"/>
          </w:tcPr>
          <w:p w14:paraId="7E783E6D" w14:textId="77777777" w:rsidR="00A82082" w:rsidRDefault="00A82082">
            <w:pPr>
              <w:rPr>
                <w:rFonts w:ascii="宋体"/>
                <w:vanish/>
              </w:rPr>
            </w:pPr>
          </w:p>
        </w:tc>
        <w:tc>
          <w:tcPr>
            <w:tcW w:w="0" w:type="auto"/>
            <w:gridSpan w:val="3"/>
            <w:shd w:val="clear" w:color="auto" w:fill="auto"/>
          </w:tcPr>
          <w:p w14:paraId="7E783E6E" w14:textId="77777777" w:rsidR="00A82082" w:rsidRDefault="00A82082">
            <w:pPr>
              <w:rPr>
                <w:rFonts w:ascii="宋体"/>
                <w:vanish/>
              </w:rPr>
            </w:pPr>
          </w:p>
        </w:tc>
        <w:tc>
          <w:tcPr>
            <w:tcW w:w="0" w:type="auto"/>
            <w:gridSpan w:val="3"/>
            <w:shd w:val="clear" w:color="auto" w:fill="auto"/>
          </w:tcPr>
          <w:p w14:paraId="7E783E6F" w14:textId="77777777" w:rsidR="00A82082" w:rsidRDefault="00A82082">
            <w:pPr>
              <w:rPr>
                <w:rFonts w:ascii="宋体"/>
                <w:vanish/>
              </w:rPr>
            </w:pPr>
          </w:p>
        </w:tc>
      </w:tr>
      <w:tr w:rsidR="00A82082" w14:paraId="7E783E7E" w14:textId="77777777">
        <w:trPr>
          <w:jc w:val="center"/>
        </w:trPr>
        <w:tc>
          <w:tcPr>
            <w:tcW w:w="0" w:type="auto"/>
            <w:gridSpan w:val="3"/>
            <w:shd w:val="clear" w:color="auto" w:fill="FFFFFF"/>
            <w:tcMar>
              <w:top w:w="40" w:type="dxa"/>
              <w:left w:w="20" w:type="dxa"/>
              <w:bottom w:w="40" w:type="dxa"/>
              <w:right w:w="20" w:type="dxa"/>
            </w:tcMar>
            <w:vAlign w:val="center"/>
          </w:tcPr>
          <w:p w14:paraId="7E783E71" w14:textId="77777777" w:rsidR="00A82082" w:rsidRDefault="00E946F9">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tcPr>
          <w:p w14:paraId="7E783E7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73" w14:textId="77777777" w:rsidR="00A82082" w:rsidRDefault="00E946F9">
            <w:pPr>
              <w:jc w:val="right"/>
              <w:textAlignment w:val="center"/>
            </w:pPr>
            <w:r>
              <w:rPr>
                <w:rFonts w:ascii="Times New Roman" w:eastAsia="宋体" w:hAnsi="Times New Roman"/>
                <w:color w:val="000000"/>
                <w:sz w:val="16"/>
                <w:szCs w:val="16"/>
              </w:rPr>
              <w:t>5,201 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7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75"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3E76" w14:textId="77777777" w:rsidR="00A82082" w:rsidRDefault="00E946F9">
            <w:pPr>
              <w:jc w:val="right"/>
              <w:textAlignment w:val="center"/>
            </w:pPr>
            <w:r>
              <w:rPr>
                <w:rFonts w:ascii="Times New Roman" w:eastAsia="宋体" w:hAnsi="Times New Roman"/>
                <w:color w:val="000000"/>
                <w:sz w:val="16"/>
                <w:szCs w:val="16"/>
              </w:rPr>
              <w:t>3,321 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7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78"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783E79" w14:textId="77777777" w:rsidR="00A82082" w:rsidRDefault="00E946F9">
            <w:pPr>
              <w:jc w:val="right"/>
              <w:textAlignment w:val="bottom"/>
            </w:pPr>
            <w:r>
              <w:rPr>
                <w:rFonts w:ascii="Times New Roman" w:eastAsia="宋体" w:hAnsi="Times New Roman"/>
                <w:color w:val="000000"/>
                <w:sz w:val="16"/>
                <w:szCs w:val="16"/>
              </w:rPr>
              <w:t>15,714 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783E7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7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783E7C" w14:textId="77777777" w:rsidR="00A82082" w:rsidRDefault="00E946F9">
            <w:pPr>
              <w:jc w:val="right"/>
              <w:textAlignment w:val="bottom"/>
            </w:pPr>
            <w:r>
              <w:rPr>
                <w:rFonts w:ascii="Times New Roman" w:eastAsia="宋体" w:hAnsi="Times New Roman"/>
                <w:color w:val="000000"/>
                <w:sz w:val="16"/>
                <w:szCs w:val="16"/>
              </w:rPr>
              <w:t>10,907 </w:t>
            </w:r>
          </w:p>
        </w:tc>
        <w:tc>
          <w:tcPr>
            <w:tcW w:w="0" w:type="auto"/>
            <w:tcBorders>
              <w:top w:val="single" w:sz="8" w:space="0" w:color="000000"/>
            </w:tcBorders>
            <w:shd w:val="clear" w:color="auto" w:fill="FFFFFF"/>
            <w:tcMar>
              <w:top w:w="40" w:type="dxa"/>
              <w:left w:w="0" w:type="dxa"/>
              <w:bottom w:w="40" w:type="dxa"/>
              <w:right w:w="20" w:type="dxa"/>
            </w:tcMar>
            <w:vAlign w:val="bottom"/>
          </w:tcPr>
          <w:p w14:paraId="7E783E7D" w14:textId="77777777" w:rsidR="00A82082" w:rsidRDefault="00A82082">
            <w:pPr>
              <w:jc w:val="right"/>
              <w:rPr>
                <w:rFonts w:ascii="宋体"/>
              </w:rPr>
            </w:pPr>
          </w:p>
        </w:tc>
      </w:tr>
      <w:tr w:rsidR="00A82082" w14:paraId="7E783E8C" w14:textId="77777777">
        <w:trPr>
          <w:jc w:val="center"/>
        </w:trPr>
        <w:tc>
          <w:tcPr>
            <w:tcW w:w="0" w:type="auto"/>
            <w:gridSpan w:val="3"/>
            <w:shd w:val="clear" w:color="auto" w:fill="CCEEFF"/>
            <w:tcMar>
              <w:top w:w="40" w:type="dxa"/>
              <w:left w:w="20" w:type="dxa"/>
              <w:bottom w:w="40" w:type="dxa"/>
              <w:right w:w="20" w:type="dxa"/>
            </w:tcMar>
            <w:vAlign w:val="center"/>
          </w:tcPr>
          <w:p w14:paraId="7E783E7F" w14:textId="77777777" w:rsidR="00A82082" w:rsidRDefault="00E946F9">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tcPr>
          <w:p w14:paraId="7E783E8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81" w14:textId="77777777" w:rsidR="00A82082" w:rsidRDefault="00E946F9">
            <w:pPr>
              <w:jc w:val="right"/>
              <w:textAlignment w:val="center"/>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center"/>
          </w:tcPr>
          <w:p w14:paraId="7E783E8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8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E84" w14:textId="77777777" w:rsidR="00A82082" w:rsidRDefault="00E946F9">
            <w:pPr>
              <w:jc w:val="right"/>
              <w:textAlignment w:val="center"/>
            </w:pPr>
            <w:r>
              <w:rPr>
                <w:rFonts w:ascii="Times New Roman" w:eastAsia="宋体" w:hAnsi="Times New Roman"/>
                <w:color w:val="000000"/>
                <w:sz w:val="16"/>
                <w:szCs w:val="16"/>
              </w:rPr>
              <w:t>(33)</w:t>
            </w:r>
          </w:p>
        </w:tc>
        <w:tc>
          <w:tcPr>
            <w:tcW w:w="0" w:type="auto"/>
            <w:shd w:val="clear" w:color="auto" w:fill="CCEEFF"/>
            <w:tcMar>
              <w:top w:w="40" w:type="dxa"/>
              <w:left w:w="0" w:type="dxa"/>
              <w:bottom w:w="40" w:type="dxa"/>
              <w:right w:w="20" w:type="dxa"/>
            </w:tcMar>
            <w:vAlign w:val="center"/>
          </w:tcPr>
          <w:p w14:paraId="7E783E8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8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87" w14:textId="77777777" w:rsidR="00A82082" w:rsidRDefault="00E946F9">
            <w:pPr>
              <w:jc w:val="right"/>
              <w:textAlignment w:val="bottom"/>
            </w:pPr>
            <w:r>
              <w:rPr>
                <w:rFonts w:ascii="Times New Roman" w:eastAsia="宋体" w:hAnsi="Times New Roman"/>
                <w:color w:val="000000"/>
                <w:sz w:val="16"/>
                <w:szCs w:val="16"/>
              </w:rPr>
              <w:t>(113)</w:t>
            </w:r>
          </w:p>
        </w:tc>
        <w:tc>
          <w:tcPr>
            <w:tcW w:w="0" w:type="auto"/>
            <w:shd w:val="clear" w:color="auto" w:fill="CCEEFF"/>
            <w:tcMar>
              <w:top w:w="40" w:type="dxa"/>
              <w:left w:w="0" w:type="dxa"/>
              <w:bottom w:w="40" w:type="dxa"/>
              <w:right w:w="20" w:type="dxa"/>
            </w:tcMar>
            <w:vAlign w:val="bottom"/>
          </w:tcPr>
          <w:p w14:paraId="7E783E8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8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3E8A" w14:textId="77777777" w:rsidR="00A82082" w:rsidRDefault="00E946F9">
            <w:pPr>
              <w:jc w:val="right"/>
              <w:textAlignment w:val="bottom"/>
            </w:pPr>
            <w:r>
              <w:rPr>
                <w:rFonts w:ascii="Times New Roman" w:eastAsia="宋体" w:hAnsi="Times New Roman"/>
                <w:color w:val="000000"/>
                <w:sz w:val="16"/>
                <w:szCs w:val="16"/>
              </w:rPr>
              <w:t>(167)</w:t>
            </w:r>
          </w:p>
        </w:tc>
        <w:tc>
          <w:tcPr>
            <w:tcW w:w="0" w:type="auto"/>
            <w:shd w:val="clear" w:color="auto" w:fill="CCEEFF"/>
            <w:tcMar>
              <w:top w:w="40" w:type="dxa"/>
              <w:left w:w="0" w:type="dxa"/>
              <w:bottom w:w="40" w:type="dxa"/>
              <w:right w:w="20" w:type="dxa"/>
            </w:tcMar>
            <w:vAlign w:val="bottom"/>
          </w:tcPr>
          <w:p w14:paraId="7E783E8B" w14:textId="77777777" w:rsidR="00A82082" w:rsidRDefault="00A82082">
            <w:pPr>
              <w:jc w:val="right"/>
              <w:rPr>
                <w:rFonts w:ascii="宋体"/>
              </w:rPr>
            </w:pPr>
          </w:p>
        </w:tc>
      </w:tr>
      <w:tr w:rsidR="00A82082" w14:paraId="7E783E9E" w14:textId="77777777">
        <w:trPr>
          <w:jc w:val="center"/>
        </w:trPr>
        <w:tc>
          <w:tcPr>
            <w:tcW w:w="0" w:type="auto"/>
            <w:gridSpan w:val="3"/>
            <w:shd w:val="clear" w:color="auto" w:fill="FFFFFF"/>
            <w:tcMar>
              <w:top w:w="40" w:type="dxa"/>
              <w:left w:w="20" w:type="dxa"/>
              <w:bottom w:w="40" w:type="dxa"/>
              <w:right w:w="20" w:type="dxa"/>
            </w:tcMar>
            <w:vAlign w:val="center"/>
          </w:tcPr>
          <w:p w14:paraId="7E783E8D" w14:textId="77777777" w:rsidR="00A82082" w:rsidRDefault="00E946F9">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tcPr>
          <w:p w14:paraId="7E783E8E"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3E8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3E90" w14:textId="77777777" w:rsidR="00A82082" w:rsidRDefault="00E946F9">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9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92"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3E9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3E94" w14:textId="77777777" w:rsidR="00A82082" w:rsidRDefault="00E946F9">
            <w:pPr>
              <w:jc w:val="right"/>
              <w:textAlignment w:val="center"/>
            </w:pPr>
            <w:r>
              <w:rPr>
                <w:rFonts w:ascii="Times New Roman" w:eastAsia="宋体" w:hAnsi="Times New Roman"/>
                <w:color w:val="000000"/>
                <w:sz w:val="16"/>
                <w:szCs w:val="16"/>
              </w:rPr>
              <w:t>3,288 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9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96"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3E9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3E98" w14:textId="77777777" w:rsidR="00A82082" w:rsidRDefault="00E946F9">
            <w:pPr>
              <w:jc w:val="right"/>
              <w:textAlignment w:val="center"/>
            </w:pPr>
            <w:r>
              <w:rPr>
                <w:rFonts w:ascii="Times New Roman" w:eastAsia="宋体" w:hAnsi="Times New Roman"/>
                <w:color w:val="000000"/>
                <w:sz w:val="16"/>
                <w:szCs w:val="16"/>
              </w:rPr>
              <w:t>15,601 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9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E9A"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3E9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3E9C" w14:textId="77777777" w:rsidR="00A82082" w:rsidRDefault="00E946F9">
            <w:pPr>
              <w:jc w:val="right"/>
              <w:textAlignment w:val="center"/>
            </w:pPr>
            <w:r>
              <w:rPr>
                <w:rFonts w:ascii="Times New Roman" w:eastAsia="宋体" w:hAnsi="Times New Roman"/>
                <w:color w:val="000000"/>
                <w:sz w:val="16"/>
                <w:szCs w:val="16"/>
              </w:rPr>
              <w:t>10,740 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3E9D" w14:textId="77777777" w:rsidR="00A82082" w:rsidRDefault="00A82082">
            <w:pPr>
              <w:jc w:val="right"/>
              <w:rPr>
                <w:rFonts w:ascii="宋体"/>
              </w:rPr>
            </w:pPr>
          </w:p>
        </w:tc>
      </w:tr>
      <w:tr w:rsidR="00A82082" w14:paraId="7E783EA8" w14:textId="77777777">
        <w:trPr>
          <w:jc w:val="center"/>
          <w:hidden/>
        </w:trPr>
        <w:tc>
          <w:tcPr>
            <w:tcW w:w="0" w:type="auto"/>
            <w:gridSpan w:val="3"/>
            <w:shd w:val="clear" w:color="auto" w:fill="auto"/>
          </w:tcPr>
          <w:p w14:paraId="7E783E9F" w14:textId="77777777" w:rsidR="00A82082" w:rsidRDefault="00A82082">
            <w:pPr>
              <w:rPr>
                <w:rFonts w:ascii="宋体"/>
                <w:vanish/>
              </w:rPr>
            </w:pPr>
          </w:p>
        </w:tc>
        <w:tc>
          <w:tcPr>
            <w:tcW w:w="0" w:type="auto"/>
            <w:gridSpan w:val="3"/>
            <w:shd w:val="clear" w:color="auto" w:fill="auto"/>
          </w:tcPr>
          <w:p w14:paraId="7E783EA0" w14:textId="77777777" w:rsidR="00A82082" w:rsidRDefault="00A82082">
            <w:pPr>
              <w:rPr>
                <w:rFonts w:ascii="宋体"/>
                <w:vanish/>
              </w:rPr>
            </w:pPr>
          </w:p>
        </w:tc>
        <w:tc>
          <w:tcPr>
            <w:tcW w:w="0" w:type="auto"/>
            <w:gridSpan w:val="3"/>
            <w:shd w:val="clear" w:color="auto" w:fill="auto"/>
          </w:tcPr>
          <w:p w14:paraId="7E783EA1" w14:textId="77777777" w:rsidR="00A82082" w:rsidRDefault="00A82082">
            <w:pPr>
              <w:rPr>
                <w:rFonts w:ascii="宋体"/>
                <w:vanish/>
              </w:rPr>
            </w:pPr>
          </w:p>
        </w:tc>
        <w:tc>
          <w:tcPr>
            <w:tcW w:w="0" w:type="auto"/>
            <w:gridSpan w:val="3"/>
            <w:shd w:val="clear" w:color="auto" w:fill="auto"/>
          </w:tcPr>
          <w:p w14:paraId="7E783EA2" w14:textId="77777777" w:rsidR="00A82082" w:rsidRDefault="00A82082">
            <w:pPr>
              <w:rPr>
                <w:rFonts w:ascii="宋体"/>
                <w:vanish/>
              </w:rPr>
            </w:pPr>
          </w:p>
        </w:tc>
        <w:tc>
          <w:tcPr>
            <w:tcW w:w="0" w:type="auto"/>
            <w:gridSpan w:val="3"/>
            <w:shd w:val="clear" w:color="auto" w:fill="auto"/>
          </w:tcPr>
          <w:p w14:paraId="7E783EA3" w14:textId="77777777" w:rsidR="00A82082" w:rsidRDefault="00A82082">
            <w:pPr>
              <w:rPr>
                <w:rFonts w:ascii="宋体"/>
                <w:vanish/>
              </w:rPr>
            </w:pPr>
          </w:p>
        </w:tc>
        <w:tc>
          <w:tcPr>
            <w:tcW w:w="0" w:type="auto"/>
            <w:gridSpan w:val="3"/>
            <w:shd w:val="clear" w:color="auto" w:fill="auto"/>
          </w:tcPr>
          <w:p w14:paraId="7E783EA4" w14:textId="77777777" w:rsidR="00A82082" w:rsidRDefault="00A82082">
            <w:pPr>
              <w:rPr>
                <w:rFonts w:ascii="宋体"/>
                <w:vanish/>
              </w:rPr>
            </w:pPr>
          </w:p>
        </w:tc>
        <w:tc>
          <w:tcPr>
            <w:tcW w:w="0" w:type="auto"/>
            <w:gridSpan w:val="3"/>
            <w:shd w:val="clear" w:color="auto" w:fill="auto"/>
          </w:tcPr>
          <w:p w14:paraId="7E783EA5" w14:textId="77777777" w:rsidR="00A82082" w:rsidRDefault="00A82082">
            <w:pPr>
              <w:rPr>
                <w:rFonts w:ascii="宋体"/>
                <w:vanish/>
              </w:rPr>
            </w:pPr>
          </w:p>
        </w:tc>
        <w:tc>
          <w:tcPr>
            <w:tcW w:w="0" w:type="auto"/>
            <w:gridSpan w:val="3"/>
            <w:shd w:val="clear" w:color="auto" w:fill="auto"/>
          </w:tcPr>
          <w:p w14:paraId="7E783EA6" w14:textId="77777777" w:rsidR="00A82082" w:rsidRDefault="00A82082">
            <w:pPr>
              <w:rPr>
                <w:rFonts w:ascii="宋体"/>
                <w:vanish/>
              </w:rPr>
            </w:pPr>
          </w:p>
        </w:tc>
        <w:tc>
          <w:tcPr>
            <w:tcW w:w="0" w:type="auto"/>
            <w:gridSpan w:val="3"/>
            <w:shd w:val="clear" w:color="auto" w:fill="auto"/>
          </w:tcPr>
          <w:p w14:paraId="7E783EA7" w14:textId="77777777" w:rsidR="00A82082" w:rsidRDefault="00A82082">
            <w:pPr>
              <w:rPr>
                <w:rFonts w:ascii="宋体"/>
                <w:vanish/>
              </w:rPr>
            </w:pPr>
          </w:p>
        </w:tc>
      </w:tr>
      <w:tr w:rsidR="00A82082" w14:paraId="7E783EB2" w14:textId="77777777">
        <w:trPr>
          <w:trHeight w:val="220"/>
          <w:jc w:val="center"/>
        </w:trPr>
        <w:tc>
          <w:tcPr>
            <w:tcW w:w="0" w:type="auto"/>
            <w:gridSpan w:val="3"/>
            <w:shd w:val="clear" w:color="auto" w:fill="CCEEFF"/>
            <w:tcMar>
              <w:top w:w="0" w:type="dxa"/>
              <w:left w:w="20" w:type="dxa"/>
              <w:bottom w:w="0" w:type="dxa"/>
              <w:right w:w="20" w:type="dxa"/>
            </w:tcMar>
          </w:tcPr>
          <w:p w14:paraId="7E783EA9"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EAA"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3EAB"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EAC"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3EAD"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EAE"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3EAF"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EB0"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3EB1" w14:textId="77777777" w:rsidR="00A82082" w:rsidRDefault="00A82082">
            <w:pPr>
              <w:rPr>
                <w:rFonts w:ascii="宋体"/>
              </w:rPr>
            </w:pPr>
          </w:p>
        </w:tc>
      </w:tr>
      <w:tr w:rsidR="00A82082" w14:paraId="7E783EBC" w14:textId="77777777">
        <w:trPr>
          <w:jc w:val="center"/>
          <w:hidden/>
        </w:trPr>
        <w:tc>
          <w:tcPr>
            <w:tcW w:w="0" w:type="auto"/>
            <w:gridSpan w:val="3"/>
            <w:shd w:val="clear" w:color="auto" w:fill="auto"/>
          </w:tcPr>
          <w:p w14:paraId="7E783EB3" w14:textId="77777777" w:rsidR="00A82082" w:rsidRDefault="00A82082">
            <w:pPr>
              <w:rPr>
                <w:rFonts w:ascii="宋体"/>
                <w:vanish/>
              </w:rPr>
            </w:pPr>
          </w:p>
        </w:tc>
        <w:tc>
          <w:tcPr>
            <w:tcW w:w="0" w:type="auto"/>
            <w:gridSpan w:val="3"/>
            <w:shd w:val="clear" w:color="auto" w:fill="auto"/>
          </w:tcPr>
          <w:p w14:paraId="7E783EB4" w14:textId="77777777" w:rsidR="00A82082" w:rsidRDefault="00A82082">
            <w:pPr>
              <w:rPr>
                <w:rFonts w:ascii="宋体"/>
                <w:vanish/>
              </w:rPr>
            </w:pPr>
          </w:p>
        </w:tc>
        <w:tc>
          <w:tcPr>
            <w:tcW w:w="0" w:type="auto"/>
            <w:gridSpan w:val="3"/>
            <w:shd w:val="clear" w:color="auto" w:fill="auto"/>
          </w:tcPr>
          <w:p w14:paraId="7E783EB5" w14:textId="77777777" w:rsidR="00A82082" w:rsidRDefault="00A82082">
            <w:pPr>
              <w:rPr>
                <w:rFonts w:ascii="宋体"/>
                <w:vanish/>
              </w:rPr>
            </w:pPr>
          </w:p>
        </w:tc>
        <w:tc>
          <w:tcPr>
            <w:tcW w:w="0" w:type="auto"/>
            <w:gridSpan w:val="3"/>
            <w:shd w:val="clear" w:color="auto" w:fill="auto"/>
          </w:tcPr>
          <w:p w14:paraId="7E783EB6" w14:textId="77777777" w:rsidR="00A82082" w:rsidRDefault="00A82082">
            <w:pPr>
              <w:rPr>
                <w:rFonts w:ascii="宋体"/>
                <w:vanish/>
              </w:rPr>
            </w:pPr>
          </w:p>
        </w:tc>
        <w:tc>
          <w:tcPr>
            <w:tcW w:w="0" w:type="auto"/>
            <w:gridSpan w:val="3"/>
            <w:shd w:val="clear" w:color="auto" w:fill="auto"/>
          </w:tcPr>
          <w:p w14:paraId="7E783EB7" w14:textId="77777777" w:rsidR="00A82082" w:rsidRDefault="00A82082">
            <w:pPr>
              <w:rPr>
                <w:rFonts w:ascii="宋体"/>
                <w:vanish/>
              </w:rPr>
            </w:pPr>
          </w:p>
        </w:tc>
        <w:tc>
          <w:tcPr>
            <w:tcW w:w="0" w:type="auto"/>
            <w:gridSpan w:val="3"/>
            <w:shd w:val="clear" w:color="auto" w:fill="auto"/>
          </w:tcPr>
          <w:p w14:paraId="7E783EB8" w14:textId="77777777" w:rsidR="00A82082" w:rsidRDefault="00A82082">
            <w:pPr>
              <w:rPr>
                <w:rFonts w:ascii="宋体"/>
                <w:vanish/>
              </w:rPr>
            </w:pPr>
          </w:p>
        </w:tc>
        <w:tc>
          <w:tcPr>
            <w:tcW w:w="0" w:type="auto"/>
            <w:gridSpan w:val="3"/>
            <w:shd w:val="clear" w:color="auto" w:fill="auto"/>
          </w:tcPr>
          <w:p w14:paraId="7E783EB9" w14:textId="77777777" w:rsidR="00A82082" w:rsidRDefault="00A82082">
            <w:pPr>
              <w:rPr>
                <w:rFonts w:ascii="宋体"/>
                <w:vanish/>
              </w:rPr>
            </w:pPr>
          </w:p>
        </w:tc>
        <w:tc>
          <w:tcPr>
            <w:tcW w:w="0" w:type="auto"/>
            <w:gridSpan w:val="3"/>
            <w:shd w:val="clear" w:color="auto" w:fill="auto"/>
          </w:tcPr>
          <w:p w14:paraId="7E783EBA" w14:textId="77777777" w:rsidR="00A82082" w:rsidRDefault="00A82082">
            <w:pPr>
              <w:rPr>
                <w:rFonts w:ascii="宋体"/>
                <w:vanish/>
              </w:rPr>
            </w:pPr>
          </w:p>
        </w:tc>
        <w:tc>
          <w:tcPr>
            <w:tcW w:w="0" w:type="auto"/>
            <w:gridSpan w:val="3"/>
            <w:shd w:val="clear" w:color="auto" w:fill="auto"/>
          </w:tcPr>
          <w:p w14:paraId="7E783EBB" w14:textId="77777777" w:rsidR="00A82082" w:rsidRDefault="00A82082">
            <w:pPr>
              <w:rPr>
                <w:rFonts w:ascii="宋体"/>
                <w:vanish/>
              </w:rPr>
            </w:pPr>
          </w:p>
        </w:tc>
      </w:tr>
      <w:tr w:rsidR="00A82082" w14:paraId="7E783EC6" w14:textId="77777777">
        <w:trPr>
          <w:jc w:val="center"/>
          <w:hidden/>
        </w:trPr>
        <w:tc>
          <w:tcPr>
            <w:tcW w:w="0" w:type="auto"/>
            <w:gridSpan w:val="3"/>
            <w:shd w:val="clear" w:color="auto" w:fill="auto"/>
          </w:tcPr>
          <w:p w14:paraId="7E783EBD" w14:textId="77777777" w:rsidR="00A82082" w:rsidRDefault="00A82082">
            <w:pPr>
              <w:rPr>
                <w:rFonts w:ascii="宋体"/>
                <w:vanish/>
              </w:rPr>
            </w:pPr>
          </w:p>
        </w:tc>
        <w:tc>
          <w:tcPr>
            <w:tcW w:w="0" w:type="auto"/>
            <w:gridSpan w:val="3"/>
            <w:shd w:val="clear" w:color="auto" w:fill="auto"/>
          </w:tcPr>
          <w:p w14:paraId="7E783EBE" w14:textId="77777777" w:rsidR="00A82082" w:rsidRDefault="00A82082">
            <w:pPr>
              <w:rPr>
                <w:rFonts w:ascii="宋体"/>
                <w:vanish/>
              </w:rPr>
            </w:pPr>
          </w:p>
        </w:tc>
        <w:tc>
          <w:tcPr>
            <w:tcW w:w="0" w:type="auto"/>
            <w:gridSpan w:val="3"/>
            <w:shd w:val="clear" w:color="auto" w:fill="auto"/>
          </w:tcPr>
          <w:p w14:paraId="7E783EBF" w14:textId="77777777" w:rsidR="00A82082" w:rsidRDefault="00A82082">
            <w:pPr>
              <w:rPr>
                <w:rFonts w:ascii="宋体"/>
                <w:vanish/>
              </w:rPr>
            </w:pPr>
          </w:p>
        </w:tc>
        <w:tc>
          <w:tcPr>
            <w:tcW w:w="0" w:type="auto"/>
            <w:gridSpan w:val="3"/>
            <w:shd w:val="clear" w:color="auto" w:fill="auto"/>
          </w:tcPr>
          <w:p w14:paraId="7E783EC0" w14:textId="77777777" w:rsidR="00A82082" w:rsidRDefault="00A82082">
            <w:pPr>
              <w:rPr>
                <w:rFonts w:ascii="宋体"/>
                <w:vanish/>
              </w:rPr>
            </w:pPr>
          </w:p>
        </w:tc>
        <w:tc>
          <w:tcPr>
            <w:tcW w:w="0" w:type="auto"/>
            <w:gridSpan w:val="3"/>
            <w:shd w:val="clear" w:color="auto" w:fill="auto"/>
          </w:tcPr>
          <w:p w14:paraId="7E783EC1" w14:textId="77777777" w:rsidR="00A82082" w:rsidRDefault="00A82082">
            <w:pPr>
              <w:rPr>
                <w:rFonts w:ascii="宋体"/>
                <w:vanish/>
              </w:rPr>
            </w:pPr>
          </w:p>
        </w:tc>
        <w:tc>
          <w:tcPr>
            <w:tcW w:w="0" w:type="auto"/>
            <w:gridSpan w:val="3"/>
            <w:shd w:val="clear" w:color="auto" w:fill="auto"/>
          </w:tcPr>
          <w:p w14:paraId="7E783EC2" w14:textId="77777777" w:rsidR="00A82082" w:rsidRDefault="00A82082">
            <w:pPr>
              <w:rPr>
                <w:rFonts w:ascii="宋体"/>
                <w:vanish/>
              </w:rPr>
            </w:pPr>
          </w:p>
        </w:tc>
        <w:tc>
          <w:tcPr>
            <w:tcW w:w="0" w:type="auto"/>
            <w:gridSpan w:val="3"/>
            <w:shd w:val="clear" w:color="auto" w:fill="auto"/>
          </w:tcPr>
          <w:p w14:paraId="7E783EC3" w14:textId="77777777" w:rsidR="00A82082" w:rsidRDefault="00A82082">
            <w:pPr>
              <w:rPr>
                <w:rFonts w:ascii="宋体"/>
                <w:vanish/>
              </w:rPr>
            </w:pPr>
          </w:p>
        </w:tc>
        <w:tc>
          <w:tcPr>
            <w:tcW w:w="0" w:type="auto"/>
            <w:gridSpan w:val="3"/>
            <w:shd w:val="clear" w:color="auto" w:fill="auto"/>
          </w:tcPr>
          <w:p w14:paraId="7E783EC4" w14:textId="77777777" w:rsidR="00A82082" w:rsidRDefault="00A82082">
            <w:pPr>
              <w:rPr>
                <w:rFonts w:ascii="宋体"/>
                <w:vanish/>
              </w:rPr>
            </w:pPr>
          </w:p>
        </w:tc>
        <w:tc>
          <w:tcPr>
            <w:tcW w:w="0" w:type="auto"/>
            <w:gridSpan w:val="3"/>
            <w:shd w:val="clear" w:color="auto" w:fill="auto"/>
          </w:tcPr>
          <w:p w14:paraId="7E783EC5" w14:textId="77777777" w:rsidR="00A82082" w:rsidRDefault="00A82082">
            <w:pPr>
              <w:rPr>
                <w:rFonts w:ascii="宋体"/>
                <w:vanish/>
              </w:rPr>
            </w:pPr>
          </w:p>
        </w:tc>
      </w:tr>
      <w:tr w:rsidR="00A82082" w14:paraId="7E783ED0" w14:textId="77777777">
        <w:trPr>
          <w:jc w:val="center"/>
          <w:hidden/>
        </w:trPr>
        <w:tc>
          <w:tcPr>
            <w:tcW w:w="0" w:type="auto"/>
            <w:gridSpan w:val="3"/>
            <w:shd w:val="clear" w:color="auto" w:fill="auto"/>
          </w:tcPr>
          <w:p w14:paraId="7E783EC7" w14:textId="77777777" w:rsidR="00A82082" w:rsidRDefault="00A82082">
            <w:pPr>
              <w:rPr>
                <w:rFonts w:ascii="宋体"/>
                <w:vanish/>
              </w:rPr>
            </w:pPr>
          </w:p>
        </w:tc>
        <w:tc>
          <w:tcPr>
            <w:tcW w:w="0" w:type="auto"/>
            <w:gridSpan w:val="3"/>
            <w:shd w:val="clear" w:color="auto" w:fill="auto"/>
          </w:tcPr>
          <w:p w14:paraId="7E783EC8" w14:textId="77777777" w:rsidR="00A82082" w:rsidRDefault="00A82082">
            <w:pPr>
              <w:rPr>
                <w:rFonts w:ascii="宋体"/>
                <w:vanish/>
              </w:rPr>
            </w:pPr>
          </w:p>
        </w:tc>
        <w:tc>
          <w:tcPr>
            <w:tcW w:w="0" w:type="auto"/>
            <w:gridSpan w:val="3"/>
            <w:shd w:val="clear" w:color="auto" w:fill="auto"/>
          </w:tcPr>
          <w:p w14:paraId="7E783EC9" w14:textId="77777777" w:rsidR="00A82082" w:rsidRDefault="00A82082">
            <w:pPr>
              <w:rPr>
                <w:rFonts w:ascii="宋体"/>
                <w:vanish/>
              </w:rPr>
            </w:pPr>
          </w:p>
        </w:tc>
        <w:tc>
          <w:tcPr>
            <w:tcW w:w="0" w:type="auto"/>
            <w:gridSpan w:val="3"/>
            <w:shd w:val="clear" w:color="auto" w:fill="auto"/>
          </w:tcPr>
          <w:p w14:paraId="7E783ECA" w14:textId="77777777" w:rsidR="00A82082" w:rsidRDefault="00A82082">
            <w:pPr>
              <w:rPr>
                <w:rFonts w:ascii="宋体"/>
                <w:vanish/>
              </w:rPr>
            </w:pPr>
          </w:p>
        </w:tc>
        <w:tc>
          <w:tcPr>
            <w:tcW w:w="0" w:type="auto"/>
            <w:gridSpan w:val="3"/>
            <w:shd w:val="clear" w:color="auto" w:fill="auto"/>
          </w:tcPr>
          <w:p w14:paraId="7E783ECB" w14:textId="77777777" w:rsidR="00A82082" w:rsidRDefault="00A82082">
            <w:pPr>
              <w:rPr>
                <w:rFonts w:ascii="宋体"/>
                <w:vanish/>
              </w:rPr>
            </w:pPr>
          </w:p>
        </w:tc>
        <w:tc>
          <w:tcPr>
            <w:tcW w:w="0" w:type="auto"/>
            <w:gridSpan w:val="3"/>
            <w:shd w:val="clear" w:color="auto" w:fill="auto"/>
          </w:tcPr>
          <w:p w14:paraId="7E783ECC" w14:textId="77777777" w:rsidR="00A82082" w:rsidRDefault="00A82082">
            <w:pPr>
              <w:rPr>
                <w:rFonts w:ascii="宋体"/>
                <w:vanish/>
              </w:rPr>
            </w:pPr>
          </w:p>
        </w:tc>
        <w:tc>
          <w:tcPr>
            <w:tcW w:w="0" w:type="auto"/>
            <w:gridSpan w:val="3"/>
            <w:shd w:val="clear" w:color="auto" w:fill="auto"/>
          </w:tcPr>
          <w:p w14:paraId="7E783ECD" w14:textId="77777777" w:rsidR="00A82082" w:rsidRDefault="00A82082">
            <w:pPr>
              <w:rPr>
                <w:rFonts w:ascii="宋体"/>
                <w:vanish/>
              </w:rPr>
            </w:pPr>
          </w:p>
        </w:tc>
        <w:tc>
          <w:tcPr>
            <w:tcW w:w="0" w:type="auto"/>
            <w:gridSpan w:val="3"/>
            <w:shd w:val="clear" w:color="auto" w:fill="auto"/>
          </w:tcPr>
          <w:p w14:paraId="7E783ECE" w14:textId="77777777" w:rsidR="00A82082" w:rsidRDefault="00A82082">
            <w:pPr>
              <w:rPr>
                <w:rFonts w:ascii="宋体"/>
                <w:vanish/>
              </w:rPr>
            </w:pPr>
          </w:p>
        </w:tc>
        <w:tc>
          <w:tcPr>
            <w:tcW w:w="0" w:type="auto"/>
            <w:gridSpan w:val="3"/>
            <w:shd w:val="clear" w:color="auto" w:fill="auto"/>
          </w:tcPr>
          <w:p w14:paraId="7E783ECF" w14:textId="77777777" w:rsidR="00A82082" w:rsidRDefault="00A82082">
            <w:pPr>
              <w:rPr>
                <w:rFonts w:ascii="宋体"/>
                <w:vanish/>
              </w:rPr>
            </w:pPr>
          </w:p>
        </w:tc>
      </w:tr>
      <w:tr w:rsidR="00A82082" w14:paraId="7E783EDA" w14:textId="77777777">
        <w:trPr>
          <w:jc w:val="center"/>
        </w:trPr>
        <w:tc>
          <w:tcPr>
            <w:tcW w:w="0" w:type="auto"/>
            <w:gridSpan w:val="3"/>
            <w:shd w:val="clear" w:color="auto" w:fill="FFFFFF"/>
            <w:tcMar>
              <w:top w:w="40" w:type="dxa"/>
              <w:left w:w="20" w:type="dxa"/>
              <w:bottom w:w="40" w:type="dxa"/>
              <w:right w:w="20" w:type="dxa"/>
            </w:tcMar>
            <w:vAlign w:val="center"/>
          </w:tcPr>
          <w:p w14:paraId="7E783ED1" w14:textId="77777777" w:rsidR="00A82082" w:rsidRDefault="00E946F9">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tcPr>
          <w:p w14:paraId="7E783ED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4"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5"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6"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7"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8"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ED9" w14:textId="77777777" w:rsidR="00A82082" w:rsidRDefault="00A82082">
            <w:pPr>
              <w:rPr>
                <w:rFonts w:ascii="宋体"/>
              </w:rPr>
            </w:pPr>
          </w:p>
        </w:tc>
      </w:tr>
      <w:tr w:rsidR="00A82082" w14:paraId="7E783EEC" w14:textId="77777777">
        <w:trPr>
          <w:jc w:val="center"/>
        </w:trPr>
        <w:tc>
          <w:tcPr>
            <w:tcW w:w="0" w:type="auto"/>
            <w:gridSpan w:val="3"/>
            <w:shd w:val="clear" w:color="auto" w:fill="CCEEFF"/>
            <w:tcMar>
              <w:top w:w="40" w:type="dxa"/>
              <w:left w:w="380" w:type="dxa"/>
              <w:bottom w:w="40" w:type="dxa"/>
              <w:right w:w="20" w:type="dxa"/>
            </w:tcMar>
            <w:vAlign w:val="center"/>
          </w:tcPr>
          <w:p w14:paraId="7E783EDB" w14:textId="77777777" w:rsidR="00A82082" w:rsidRDefault="00E946F9">
            <w:pPr>
              <w:textAlignment w:val="center"/>
            </w:pPr>
            <w:r>
              <w:rPr>
                <w:rFonts w:ascii="Times New Roman" w:eastAsia="宋体" w:hAnsi="Times New Roman"/>
                <w:color w:val="000000"/>
                <w:sz w:val="16"/>
                <w:szCs w:val="16"/>
              </w:rPr>
              <w:t xml:space="preserve">Basic net </w:t>
            </w:r>
            <w:r>
              <w:rPr>
                <w:rFonts w:ascii="Times New Roman" w:eastAsia="宋体" w:hAnsi="Times New Roman"/>
                <w:color w:val="000000"/>
                <w:sz w:val="16"/>
                <w:szCs w:val="16"/>
              </w:rPr>
              <w:t>income per common share attributable to Walmart</w:t>
            </w:r>
          </w:p>
        </w:tc>
        <w:tc>
          <w:tcPr>
            <w:tcW w:w="0" w:type="auto"/>
            <w:gridSpan w:val="3"/>
            <w:shd w:val="clear" w:color="auto" w:fill="CCEEFF"/>
            <w:tcMar>
              <w:top w:w="0" w:type="dxa"/>
              <w:left w:w="20" w:type="dxa"/>
              <w:bottom w:w="0" w:type="dxa"/>
              <w:right w:w="20" w:type="dxa"/>
            </w:tcMar>
          </w:tcPr>
          <w:p w14:paraId="7E783EDC"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ED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EDE" w14:textId="77777777" w:rsidR="00A82082" w:rsidRDefault="00E946F9">
            <w:pPr>
              <w:jc w:val="right"/>
              <w:textAlignment w:val="center"/>
            </w:pPr>
            <w:r>
              <w:rPr>
                <w:rFonts w:ascii="Times New Roman" w:eastAsia="宋体" w:hAnsi="Times New Roman"/>
                <w:color w:val="000000"/>
                <w:sz w:val="16"/>
                <w:szCs w:val="16"/>
              </w:rPr>
              <w:t>1.81 </w:t>
            </w:r>
          </w:p>
        </w:tc>
        <w:tc>
          <w:tcPr>
            <w:tcW w:w="0" w:type="auto"/>
            <w:shd w:val="clear" w:color="auto" w:fill="CCEEFF"/>
            <w:tcMar>
              <w:top w:w="40" w:type="dxa"/>
              <w:left w:w="0" w:type="dxa"/>
              <w:bottom w:w="40" w:type="dxa"/>
              <w:right w:w="20" w:type="dxa"/>
            </w:tcMar>
            <w:vAlign w:val="center"/>
          </w:tcPr>
          <w:p w14:paraId="7E783ED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E0"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EE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EE2" w14:textId="77777777" w:rsidR="00A82082" w:rsidRDefault="00E946F9">
            <w:pPr>
              <w:jc w:val="right"/>
              <w:textAlignment w:val="center"/>
            </w:pPr>
            <w:r>
              <w:rPr>
                <w:rFonts w:ascii="Times New Roman" w:eastAsia="宋体" w:hAnsi="Times New Roman"/>
                <w:color w:val="000000"/>
                <w:sz w:val="16"/>
                <w:szCs w:val="16"/>
              </w:rPr>
              <w:t>1.16 </w:t>
            </w:r>
          </w:p>
        </w:tc>
        <w:tc>
          <w:tcPr>
            <w:tcW w:w="0" w:type="auto"/>
            <w:shd w:val="clear" w:color="auto" w:fill="CCEEFF"/>
            <w:tcMar>
              <w:top w:w="40" w:type="dxa"/>
              <w:left w:w="0" w:type="dxa"/>
              <w:bottom w:w="40" w:type="dxa"/>
              <w:right w:w="20" w:type="dxa"/>
            </w:tcMar>
            <w:vAlign w:val="center"/>
          </w:tcPr>
          <w:p w14:paraId="7E783EE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E4"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EE5"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EE6" w14:textId="77777777" w:rsidR="00A82082" w:rsidRDefault="00E946F9">
            <w:pPr>
              <w:jc w:val="right"/>
              <w:textAlignment w:val="center"/>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center"/>
          </w:tcPr>
          <w:p w14:paraId="7E783EE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EE8"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3EE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3EEA" w14:textId="77777777" w:rsidR="00A82082" w:rsidRDefault="00E946F9">
            <w:pPr>
              <w:jc w:val="right"/>
              <w:textAlignment w:val="center"/>
            </w:pPr>
            <w:r>
              <w:rPr>
                <w:rFonts w:ascii="Times New Roman" w:eastAsia="宋体" w:hAnsi="Times New Roman"/>
                <w:color w:val="000000"/>
                <w:sz w:val="16"/>
                <w:szCs w:val="16"/>
              </w:rPr>
              <w:t>3.76 </w:t>
            </w:r>
          </w:p>
        </w:tc>
        <w:tc>
          <w:tcPr>
            <w:tcW w:w="0" w:type="auto"/>
            <w:shd w:val="clear" w:color="auto" w:fill="CCEEFF"/>
            <w:tcMar>
              <w:top w:w="40" w:type="dxa"/>
              <w:left w:w="0" w:type="dxa"/>
              <w:bottom w:w="40" w:type="dxa"/>
              <w:right w:w="20" w:type="dxa"/>
            </w:tcMar>
            <w:vAlign w:val="center"/>
          </w:tcPr>
          <w:p w14:paraId="7E783EEB" w14:textId="77777777" w:rsidR="00A82082" w:rsidRDefault="00A82082">
            <w:pPr>
              <w:jc w:val="right"/>
              <w:rPr>
                <w:rFonts w:ascii="宋体"/>
              </w:rPr>
            </w:pPr>
          </w:p>
        </w:tc>
      </w:tr>
      <w:tr w:rsidR="00A82082" w14:paraId="7E783EF6" w14:textId="77777777">
        <w:trPr>
          <w:jc w:val="center"/>
          <w:hidden/>
        </w:trPr>
        <w:tc>
          <w:tcPr>
            <w:tcW w:w="0" w:type="auto"/>
            <w:gridSpan w:val="3"/>
            <w:shd w:val="clear" w:color="auto" w:fill="auto"/>
          </w:tcPr>
          <w:p w14:paraId="7E783EED" w14:textId="77777777" w:rsidR="00A82082" w:rsidRDefault="00A82082">
            <w:pPr>
              <w:rPr>
                <w:rFonts w:ascii="宋体"/>
                <w:vanish/>
              </w:rPr>
            </w:pPr>
          </w:p>
        </w:tc>
        <w:tc>
          <w:tcPr>
            <w:tcW w:w="0" w:type="auto"/>
            <w:gridSpan w:val="3"/>
            <w:shd w:val="clear" w:color="auto" w:fill="auto"/>
          </w:tcPr>
          <w:p w14:paraId="7E783EEE" w14:textId="77777777" w:rsidR="00A82082" w:rsidRDefault="00A82082">
            <w:pPr>
              <w:rPr>
                <w:rFonts w:ascii="宋体"/>
                <w:vanish/>
              </w:rPr>
            </w:pPr>
          </w:p>
        </w:tc>
        <w:tc>
          <w:tcPr>
            <w:tcW w:w="0" w:type="auto"/>
            <w:gridSpan w:val="3"/>
            <w:shd w:val="clear" w:color="auto" w:fill="auto"/>
          </w:tcPr>
          <w:p w14:paraId="7E783EEF" w14:textId="77777777" w:rsidR="00A82082" w:rsidRDefault="00A82082">
            <w:pPr>
              <w:rPr>
                <w:rFonts w:ascii="宋体"/>
                <w:vanish/>
              </w:rPr>
            </w:pPr>
          </w:p>
        </w:tc>
        <w:tc>
          <w:tcPr>
            <w:tcW w:w="0" w:type="auto"/>
            <w:gridSpan w:val="3"/>
            <w:shd w:val="clear" w:color="auto" w:fill="auto"/>
          </w:tcPr>
          <w:p w14:paraId="7E783EF0" w14:textId="77777777" w:rsidR="00A82082" w:rsidRDefault="00A82082">
            <w:pPr>
              <w:rPr>
                <w:rFonts w:ascii="宋体"/>
                <w:vanish/>
              </w:rPr>
            </w:pPr>
          </w:p>
        </w:tc>
        <w:tc>
          <w:tcPr>
            <w:tcW w:w="0" w:type="auto"/>
            <w:gridSpan w:val="3"/>
            <w:shd w:val="clear" w:color="auto" w:fill="auto"/>
          </w:tcPr>
          <w:p w14:paraId="7E783EF1" w14:textId="77777777" w:rsidR="00A82082" w:rsidRDefault="00A82082">
            <w:pPr>
              <w:rPr>
                <w:rFonts w:ascii="宋体"/>
                <w:vanish/>
              </w:rPr>
            </w:pPr>
          </w:p>
        </w:tc>
        <w:tc>
          <w:tcPr>
            <w:tcW w:w="0" w:type="auto"/>
            <w:gridSpan w:val="3"/>
            <w:shd w:val="clear" w:color="auto" w:fill="auto"/>
          </w:tcPr>
          <w:p w14:paraId="7E783EF2" w14:textId="77777777" w:rsidR="00A82082" w:rsidRDefault="00A82082">
            <w:pPr>
              <w:rPr>
                <w:rFonts w:ascii="宋体"/>
                <w:vanish/>
              </w:rPr>
            </w:pPr>
          </w:p>
        </w:tc>
        <w:tc>
          <w:tcPr>
            <w:tcW w:w="0" w:type="auto"/>
            <w:gridSpan w:val="3"/>
            <w:shd w:val="clear" w:color="auto" w:fill="auto"/>
          </w:tcPr>
          <w:p w14:paraId="7E783EF3" w14:textId="77777777" w:rsidR="00A82082" w:rsidRDefault="00A82082">
            <w:pPr>
              <w:rPr>
                <w:rFonts w:ascii="宋体"/>
                <w:vanish/>
              </w:rPr>
            </w:pPr>
          </w:p>
        </w:tc>
        <w:tc>
          <w:tcPr>
            <w:tcW w:w="0" w:type="auto"/>
            <w:gridSpan w:val="3"/>
            <w:shd w:val="clear" w:color="auto" w:fill="auto"/>
          </w:tcPr>
          <w:p w14:paraId="7E783EF4" w14:textId="77777777" w:rsidR="00A82082" w:rsidRDefault="00A82082">
            <w:pPr>
              <w:rPr>
                <w:rFonts w:ascii="宋体"/>
                <w:vanish/>
              </w:rPr>
            </w:pPr>
          </w:p>
        </w:tc>
        <w:tc>
          <w:tcPr>
            <w:tcW w:w="0" w:type="auto"/>
            <w:gridSpan w:val="3"/>
            <w:shd w:val="clear" w:color="auto" w:fill="auto"/>
          </w:tcPr>
          <w:p w14:paraId="7E783EF5" w14:textId="77777777" w:rsidR="00A82082" w:rsidRDefault="00A82082">
            <w:pPr>
              <w:rPr>
                <w:rFonts w:ascii="宋体"/>
                <w:vanish/>
              </w:rPr>
            </w:pPr>
          </w:p>
        </w:tc>
      </w:tr>
      <w:tr w:rsidR="00A82082" w14:paraId="7E783F00" w14:textId="77777777">
        <w:trPr>
          <w:jc w:val="center"/>
          <w:hidden/>
        </w:trPr>
        <w:tc>
          <w:tcPr>
            <w:tcW w:w="0" w:type="auto"/>
            <w:gridSpan w:val="3"/>
            <w:shd w:val="clear" w:color="auto" w:fill="auto"/>
          </w:tcPr>
          <w:p w14:paraId="7E783EF7" w14:textId="77777777" w:rsidR="00A82082" w:rsidRDefault="00A82082">
            <w:pPr>
              <w:rPr>
                <w:rFonts w:ascii="宋体"/>
                <w:vanish/>
              </w:rPr>
            </w:pPr>
          </w:p>
        </w:tc>
        <w:tc>
          <w:tcPr>
            <w:tcW w:w="0" w:type="auto"/>
            <w:gridSpan w:val="3"/>
            <w:shd w:val="clear" w:color="auto" w:fill="auto"/>
          </w:tcPr>
          <w:p w14:paraId="7E783EF8" w14:textId="77777777" w:rsidR="00A82082" w:rsidRDefault="00A82082">
            <w:pPr>
              <w:rPr>
                <w:rFonts w:ascii="宋体"/>
                <w:vanish/>
              </w:rPr>
            </w:pPr>
          </w:p>
        </w:tc>
        <w:tc>
          <w:tcPr>
            <w:tcW w:w="0" w:type="auto"/>
            <w:gridSpan w:val="3"/>
            <w:shd w:val="clear" w:color="auto" w:fill="auto"/>
          </w:tcPr>
          <w:p w14:paraId="7E783EF9" w14:textId="77777777" w:rsidR="00A82082" w:rsidRDefault="00A82082">
            <w:pPr>
              <w:rPr>
                <w:rFonts w:ascii="宋体"/>
                <w:vanish/>
              </w:rPr>
            </w:pPr>
          </w:p>
        </w:tc>
        <w:tc>
          <w:tcPr>
            <w:tcW w:w="0" w:type="auto"/>
            <w:gridSpan w:val="3"/>
            <w:shd w:val="clear" w:color="auto" w:fill="auto"/>
          </w:tcPr>
          <w:p w14:paraId="7E783EFA" w14:textId="77777777" w:rsidR="00A82082" w:rsidRDefault="00A82082">
            <w:pPr>
              <w:rPr>
                <w:rFonts w:ascii="宋体"/>
                <w:vanish/>
              </w:rPr>
            </w:pPr>
          </w:p>
        </w:tc>
        <w:tc>
          <w:tcPr>
            <w:tcW w:w="0" w:type="auto"/>
            <w:gridSpan w:val="3"/>
            <w:shd w:val="clear" w:color="auto" w:fill="auto"/>
          </w:tcPr>
          <w:p w14:paraId="7E783EFB" w14:textId="77777777" w:rsidR="00A82082" w:rsidRDefault="00A82082">
            <w:pPr>
              <w:rPr>
                <w:rFonts w:ascii="宋体"/>
                <w:vanish/>
              </w:rPr>
            </w:pPr>
          </w:p>
        </w:tc>
        <w:tc>
          <w:tcPr>
            <w:tcW w:w="0" w:type="auto"/>
            <w:gridSpan w:val="3"/>
            <w:shd w:val="clear" w:color="auto" w:fill="auto"/>
          </w:tcPr>
          <w:p w14:paraId="7E783EFC" w14:textId="77777777" w:rsidR="00A82082" w:rsidRDefault="00A82082">
            <w:pPr>
              <w:rPr>
                <w:rFonts w:ascii="宋体"/>
                <w:vanish/>
              </w:rPr>
            </w:pPr>
          </w:p>
        </w:tc>
        <w:tc>
          <w:tcPr>
            <w:tcW w:w="0" w:type="auto"/>
            <w:gridSpan w:val="3"/>
            <w:shd w:val="clear" w:color="auto" w:fill="auto"/>
          </w:tcPr>
          <w:p w14:paraId="7E783EFD" w14:textId="77777777" w:rsidR="00A82082" w:rsidRDefault="00A82082">
            <w:pPr>
              <w:rPr>
                <w:rFonts w:ascii="宋体"/>
                <w:vanish/>
              </w:rPr>
            </w:pPr>
          </w:p>
        </w:tc>
        <w:tc>
          <w:tcPr>
            <w:tcW w:w="0" w:type="auto"/>
            <w:gridSpan w:val="3"/>
            <w:shd w:val="clear" w:color="auto" w:fill="auto"/>
          </w:tcPr>
          <w:p w14:paraId="7E783EFE" w14:textId="77777777" w:rsidR="00A82082" w:rsidRDefault="00A82082">
            <w:pPr>
              <w:rPr>
                <w:rFonts w:ascii="宋体"/>
                <w:vanish/>
              </w:rPr>
            </w:pPr>
          </w:p>
        </w:tc>
        <w:tc>
          <w:tcPr>
            <w:tcW w:w="0" w:type="auto"/>
            <w:gridSpan w:val="3"/>
            <w:shd w:val="clear" w:color="auto" w:fill="auto"/>
          </w:tcPr>
          <w:p w14:paraId="7E783EFF" w14:textId="77777777" w:rsidR="00A82082" w:rsidRDefault="00A82082">
            <w:pPr>
              <w:rPr>
                <w:rFonts w:ascii="宋体"/>
                <w:vanish/>
              </w:rPr>
            </w:pPr>
          </w:p>
        </w:tc>
      </w:tr>
      <w:tr w:rsidR="00A82082" w14:paraId="7E783F0A" w14:textId="77777777">
        <w:trPr>
          <w:jc w:val="center"/>
          <w:hidden/>
        </w:trPr>
        <w:tc>
          <w:tcPr>
            <w:tcW w:w="0" w:type="auto"/>
            <w:gridSpan w:val="3"/>
            <w:shd w:val="clear" w:color="auto" w:fill="auto"/>
          </w:tcPr>
          <w:p w14:paraId="7E783F01" w14:textId="77777777" w:rsidR="00A82082" w:rsidRDefault="00A82082">
            <w:pPr>
              <w:rPr>
                <w:rFonts w:ascii="宋体"/>
                <w:vanish/>
              </w:rPr>
            </w:pPr>
          </w:p>
        </w:tc>
        <w:tc>
          <w:tcPr>
            <w:tcW w:w="0" w:type="auto"/>
            <w:gridSpan w:val="3"/>
            <w:shd w:val="clear" w:color="auto" w:fill="auto"/>
          </w:tcPr>
          <w:p w14:paraId="7E783F02" w14:textId="77777777" w:rsidR="00A82082" w:rsidRDefault="00A82082">
            <w:pPr>
              <w:rPr>
                <w:rFonts w:ascii="宋体"/>
                <w:vanish/>
              </w:rPr>
            </w:pPr>
          </w:p>
        </w:tc>
        <w:tc>
          <w:tcPr>
            <w:tcW w:w="0" w:type="auto"/>
            <w:gridSpan w:val="3"/>
            <w:shd w:val="clear" w:color="auto" w:fill="auto"/>
          </w:tcPr>
          <w:p w14:paraId="7E783F03" w14:textId="77777777" w:rsidR="00A82082" w:rsidRDefault="00A82082">
            <w:pPr>
              <w:rPr>
                <w:rFonts w:ascii="宋体"/>
                <w:vanish/>
              </w:rPr>
            </w:pPr>
          </w:p>
        </w:tc>
        <w:tc>
          <w:tcPr>
            <w:tcW w:w="0" w:type="auto"/>
            <w:gridSpan w:val="3"/>
            <w:shd w:val="clear" w:color="auto" w:fill="auto"/>
          </w:tcPr>
          <w:p w14:paraId="7E783F04" w14:textId="77777777" w:rsidR="00A82082" w:rsidRDefault="00A82082">
            <w:pPr>
              <w:rPr>
                <w:rFonts w:ascii="宋体"/>
                <w:vanish/>
              </w:rPr>
            </w:pPr>
          </w:p>
        </w:tc>
        <w:tc>
          <w:tcPr>
            <w:tcW w:w="0" w:type="auto"/>
            <w:gridSpan w:val="3"/>
            <w:shd w:val="clear" w:color="auto" w:fill="auto"/>
          </w:tcPr>
          <w:p w14:paraId="7E783F05" w14:textId="77777777" w:rsidR="00A82082" w:rsidRDefault="00A82082">
            <w:pPr>
              <w:rPr>
                <w:rFonts w:ascii="宋体"/>
                <w:vanish/>
              </w:rPr>
            </w:pPr>
          </w:p>
        </w:tc>
        <w:tc>
          <w:tcPr>
            <w:tcW w:w="0" w:type="auto"/>
            <w:gridSpan w:val="3"/>
            <w:shd w:val="clear" w:color="auto" w:fill="auto"/>
          </w:tcPr>
          <w:p w14:paraId="7E783F06" w14:textId="77777777" w:rsidR="00A82082" w:rsidRDefault="00A82082">
            <w:pPr>
              <w:rPr>
                <w:rFonts w:ascii="宋体"/>
                <w:vanish/>
              </w:rPr>
            </w:pPr>
          </w:p>
        </w:tc>
        <w:tc>
          <w:tcPr>
            <w:tcW w:w="0" w:type="auto"/>
            <w:gridSpan w:val="3"/>
            <w:shd w:val="clear" w:color="auto" w:fill="auto"/>
          </w:tcPr>
          <w:p w14:paraId="7E783F07" w14:textId="77777777" w:rsidR="00A82082" w:rsidRDefault="00A82082">
            <w:pPr>
              <w:rPr>
                <w:rFonts w:ascii="宋体"/>
                <w:vanish/>
              </w:rPr>
            </w:pPr>
          </w:p>
        </w:tc>
        <w:tc>
          <w:tcPr>
            <w:tcW w:w="0" w:type="auto"/>
            <w:gridSpan w:val="3"/>
            <w:shd w:val="clear" w:color="auto" w:fill="auto"/>
          </w:tcPr>
          <w:p w14:paraId="7E783F08" w14:textId="77777777" w:rsidR="00A82082" w:rsidRDefault="00A82082">
            <w:pPr>
              <w:rPr>
                <w:rFonts w:ascii="宋体"/>
                <w:vanish/>
              </w:rPr>
            </w:pPr>
          </w:p>
        </w:tc>
        <w:tc>
          <w:tcPr>
            <w:tcW w:w="0" w:type="auto"/>
            <w:gridSpan w:val="3"/>
            <w:shd w:val="clear" w:color="auto" w:fill="auto"/>
          </w:tcPr>
          <w:p w14:paraId="7E783F09" w14:textId="77777777" w:rsidR="00A82082" w:rsidRDefault="00A82082">
            <w:pPr>
              <w:rPr>
                <w:rFonts w:ascii="宋体"/>
                <w:vanish/>
              </w:rPr>
            </w:pPr>
          </w:p>
        </w:tc>
      </w:tr>
      <w:tr w:rsidR="00A82082" w14:paraId="7E783F14" w14:textId="77777777">
        <w:trPr>
          <w:jc w:val="center"/>
          <w:hidden/>
        </w:trPr>
        <w:tc>
          <w:tcPr>
            <w:tcW w:w="0" w:type="auto"/>
            <w:gridSpan w:val="3"/>
            <w:shd w:val="clear" w:color="auto" w:fill="auto"/>
          </w:tcPr>
          <w:p w14:paraId="7E783F0B" w14:textId="77777777" w:rsidR="00A82082" w:rsidRDefault="00A82082">
            <w:pPr>
              <w:rPr>
                <w:rFonts w:ascii="宋体"/>
                <w:vanish/>
              </w:rPr>
            </w:pPr>
          </w:p>
        </w:tc>
        <w:tc>
          <w:tcPr>
            <w:tcW w:w="0" w:type="auto"/>
            <w:gridSpan w:val="3"/>
            <w:shd w:val="clear" w:color="auto" w:fill="auto"/>
          </w:tcPr>
          <w:p w14:paraId="7E783F0C" w14:textId="77777777" w:rsidR="00A82082" w:rsidRDefault="00A82082">
            <w:pPr>
              <w:rPr>
                <w:rFonts w:ascii="宋体"/>
                <w:vanish/>
              </w:rPr>
            </w:pPr>
          </w:p>
        </w:tc>
        <w:tc>
          <w:tcPr>
            <w:tcW w:w="0" w:type="auto"/>
            <w:gridSpan w:val="3"/>
            <w:shd w:val="clear" w:color="auto" w:fill="auto"/>
          </w:tcPr>
          <w:p w14:paraId="7E783F0D" w14:textId="77777777" w:rsidR="00A82082" w:rsidRDefault="00A82082">
            <w:pPr>
              <w:rPr>
                <w:rFonts w:ascii="宋体"/>
                <w:vanish/>
              </w:rPr>
            </w:pPr>
          </w:p>
        </w:tc>
        <w:tc>
          <w:tcPr>
            <w:tcW w:w="0" w:type="auto"/>
            <w:gridSpan w:val="3"/>
            <w:shd w:val="clear" w:color="auto" w:fill="auto"/>
          </w:tcPr>
          <w:p w14:paraId="7E783F0E" w14:textId="77777777" w:rsidR="00A82082" w:rsidRDefault="00A82082">
            <w:pPr>
              <w:rPr>
                <w:rFonts w:ascii="宋体"/>
                <w:vanish/>
              </w:rPr>
            </w:pPr>
          </w:p>
        </w:tc>
        <w:tc>
          <w:tcPr>
            <w:tcW w:w="0" w:type="auto"/>
            <w:gridSpan w:val="3"/>
            <w:shd w:val="clear" w:color="auto" w:fill="auto"/>
          </w:tcPr>
          <w:p w14:paraId="7E783F0F" w14:textId="77777777" w:rsidR="00A82082" w:rsidRDefault="00A82082">
            <w:pPr>
              <w:rPr>
                <w:rFonts w:ascii="宋体"/>
                <w:vanish/>
              </w:rPr>
            </w:pPr>
          </w:p>
        </w:tc>
        <w:tc>
          <w:tcPr>
            <w:tcW w:w="0" w:type="auto"/>
            <w:gridSpan w:val="3"/>
            <w:shd w:val="clear" w:color="auto" w:fill="auto"/>
          </w:tcPr>
          <w:p w14:paraId="7E783F10" w14:textId="77777777" w:rsidR="00A82082" w:rsidRDefault="00A82082">
            <w:pPr>
              <w:rPr>
                <w:rFonts w:ascii="宋体"/>
                <w:vanish/>
              </w:rPr>
            </w:pPr>
          </w:p>
        </w:tc>
        <w:tc>
          <w:tcPr>
            <w:tcW w:w="0" w:type="auto"/>
            <w:gridSpan w:val="3"/>
            <w:shd w:val="clear" w:color="auto" w:fill="auto"/>
          </w:tcPr>
          <w:p w14:paraId="7E783F11" w14:textId="77777777" w:rsidR="00A82082" w:rsidRDefault="00A82082">
            <w:pPr>
              <w:rPr>
                <w:rFonts w:ascii="宋体"/>
                <w:vanish/>
              </w:rPr>
            </w:pPr>
          </w:p>
        </w:tc>
        <w:tc>
          <w:tcPr>
            <w:tcW w:w="0" w:type="auto"/>
            <w:gridSpan w:val="3"/>
            <w:shd w:val="clear" w:color="auto" w:fill="auto"/>
          </w:tcPr>
          <w:p w14:paraId="7E783F12" w14:textId="77777777" w:rsidR="00A82082" w:rsidRDefault="00A82082">
            <w:pPr>
              <w:rPr>
                <w:rFonts w:ascii="宋体"/>
                <w:vanish/>
              </w:rPr>
            </w:pPr>
          </w:p>
        </w:tc>
        <w:tc>
          <w:tcPr>
            <w:tcW w:w="0" w:type="auto"/>
            <w:gridSpan w:val="3"/>
            <w:shd w:val="clear" w:color="auto" w:fill="auto"/>
          </w:tcPr>
          <w:p w14:paraId="7E783F13" w14:textId="77777777" w:rsidR="00A82082" w:rsidRDefault="00A82082">
            <w:pPr>
              <w:rPr>
                <w:rFonts w:ascii="宋体"/>
                <w:vanish/>
              </w:rPr>
            </w:pPr>
          </w:p>
        </w:tc>
      </w:tr>
      <w:tr w:rsidR="00A82082" w14:paraId="7E783F22" w14:textId="77777777">
        <w:trPr>
          <w:jc w:val="center"/>
        </w:trPr>
        <w:tc>
          <w:tcPr>
            <w:tcW w:w="0" w:type="auto"/>
            <w:gridSpan w:val="3"/>
            <w:shd w:val="clear" w:color="auto" w:fill="FFFFFF"/>
            <w:tcMar>
              <w:top w:w="40" w:type="dxa"/>
              <w:left w:w="380" w:type="dxa"/>
              <w:bottom w:w="40" w:type="dxa"/>
              <w:right w:w="20" w:type="dxa"/>
            </w:tcMar>
            <w:vAlign w:val="center"/>
          </w:tcPr>
          <w:p w14:paraId="7E783F15" w14:textId="77777777" w:rsidR="00A82082" w:rsidRDefault="00E946F9">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tcPr>
          <w:p w14:paraId="7E783F1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17" w14:textId="77777777" w:rsidR="00A82082" w:rsidRDefault="00E946F9">
            <w:pPr>
              <w:jc w:val="right"/>
              <w:textAlignment w:val="center"/>
            </w:pPr>
            <w:r>
              <w:rPr>
                <w:rFonts w:ascii="Times New Roman" w:eastAsia="宋体" w:hAnsi="Times New Roman"/>
                <w:color w:val="000000"/>
                <w:sz w:val="16"/>
                <w:szCs w:val="16"/>
              </w:rPr>
              <w:t>1.80 </w:t>
            </w:r>
          </w:p>
        </w:tc>
        <w:tc>
          <w:tcPr>
            <w:tcW w:w="0" w:type="auto"/>
            <w:shd w:val="clear" w:color="auto" w:fill="FFFFFF"/>
            <w:tcMar>
              <w:top w:w="40" w:type="dxa"/>
              <w:left w:w="0" w:type="dxa"/>
              <w:bottom w:w="40" w:type="dxa"/>
              <w:right w:w="20" w:type="dxa"/>
            </w:tcMar>
            <w:vAlign w:val="center"/>
          </w:tcPr>
          <w:p w14:paraId="7E783F1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1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1A" w14:textId="77777777" w:rsidR="00A82082" w:rsidRDefault="00E946F9">
            <w:pPr>
              <w:jc w:val="right"/>
              <w:textAlignment w:val="center"/>
            </w:pPr>
            <w:r>
              <w:rPr>
                <w:rFonts w:ascii="Times New Roman" w:eastAsia="宋体" w:hAnsi="Times New Roman"/>
                <w:color w:val="000000"/>
                <w:sz w:val="16"/>
                <w:szCs w:val="16"/>
              </w:rPr>
              <w:t>1.15 </w:t>
            </w:r>
          </w:p>
        </w:tc>
        <w:tc>
          <w:tcPr>
            <w:tcW w:w="0" w:type="auto"/>
            <w:shd w:val="clear" w:color="auto" w:fill="FFFFFF"/>
            <w:tcMar>
              <w:top w:w="40" w:type="dxa"/>
              <w:left w:w="0" w:type="dxa"/>
              <w:bottom w:w="40" w:type="dxa"/>
              <w:right w:w="20" w:type="dxa"/>
            </w:tcMar>
            <w:vAlign w:val="center"/>
          </w:tcPr>
          <w:p w14:paraId="7E783F1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1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1D" w14:textId="77777777" w:rsidR="00A82082" w:rsidRDefault="00E946F9">
            <w:pPr>
              <w:jc w:val="right"/>
              <w:textAlignment w:val="center"/>
            </w:pPr>
            <w:r>
              <w:rPr>
                <w:rFonts w:ascii="Times New Roman" w:eastAsia="宋体" w:hAnsi="Times New Roman"/>
                <w:color w:val="000000"/>
                <w:sz w:val="16"/>
                <w:szCs w:val="16"/>
              </w:rPr>
              <w:t>5.48 </w:t>
            </w:r>
          </w:p>
        </w:tc>
        <w:tc>
          <w:tcPr>
            <w:tcW w:w="0" w:type="auto"/>
            <w:shd w:val="clear" w:color="auto" w:fill="FFFFFF"/>
            <w:tcMar>
              <w:top w:w="40" w:type="dxa"/>
              <w:left w:w="0" w:type="dxa"/>
              <w:bottom w:w="40" w:type="dxa"/>
              <w:right w:w="20" w:type="dxa"/>
            </w:tcMar>
            <w:vAlign w:val="center"/>
          </w:tcPr>
          <w:p w14:paraId="7E783F1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1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20" w14:textId="77777777" w:rsidR="00A82082" w:rsidRDefault="00E946F9">
            <w:pPr>
              <w:jc w:val="right"/>
              <w:textAlignment w:val="center"/>
            </w:pPr>
            <w:r>
              <w:rPr>
                <w:rFonts w:ascii="Times New Roman" w:eastAsia="宋体" w:hAnsi="Times New Roman"/>
                <w:color w:val="000000"/>
                <w:sz w:val="16"/>
                <w:szCs w:val="16"/>
              </w:rPr>
              <w:t>3.74 </w:t>
            </w:r>
          </w:p>
        </w:tc>
        <w:tc>
          <w:tcPr>
            <w:tcW w:w="0" w:type="auto"/>
            <w:shd w:val="clear" w:color="auto" w:fill="FFFFFF"/>
            <w:tcMar>
              <w:top w:w="40" w:type="dxa"/>
              <w:left w:w="0" w:type="dxa"/>
              <w:bottom w:w="40" w:type="dxa"/>
              <w:right w:w="20" w:type="dxa"/>
            </w:tcMar>
            <w:vAlign w:val="center"/>
          </w:tcPr>
          <w:p w14:paraId="7E783F21" w14:textId="77777777" w:rsidR="00A82082" w:rsidRDefault="00A82082">
            <w:pPr>
              <w:jc w:val="right"/>
              <w:rPr>
                <w:rFonts w:ascii="宋体"/>
              </w:rPr>
            </w:pPr>
          </w:p>
        </w:tc>
      </w:tr>
      <w:tr w:rsidR="00A82082" w14:paraId="7E783F2C" w14:textId="77777777">
        <w:trPr>
          <w:trHeight w:val="220"/>
          <w:jc w:val="center"/>
        </w:trPr>
        <w:tc>
          <w:tcPr>
            <w:tcW w:w="0" w:type="auto"/>
            <w:gridSpan w:val="3"/>
            <w:shd w:val="clear" w:color="auto" w:fill="CCEEFF"/>
            <w:tcMar>
              <w:top w:w="0" w:type="dxa"/>
              <w:left w:w="20" w:type="dxa"/>
              <w:bottom w:w="0" w:type="dxa"/>
              <w:right w:w="20" w:type="dxa"/>
            </w:tcMar>
          </w:tcPr>
          <w:p w14:paraId="7E783F2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9"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2B" w14:textId="77777777" w:rsidR="00A82082" w:rsidRDefault="00A82082">
            <w:pPr>
              <w:rPr>
                <w:rFonts w:ascii="宋体"/>
              </w:rPr>
            </w:pPr>
          </w:p>
        </w:tc>
      </w:tr>
      <w:tr w:rsidR="00A82082" w14:paraId="7E783F36" w14:textId="77777777">
        <w:trPr>
          <w:jc w:val="center"/>
        </w:trPr>
        <w:tc>
          <w:tcPr>
            <w:tcW w:w="0" w:type="auto"/>
            <w:gridSpan w:val="3"/>
            <w:shd w:val="clear" w:color="auto" w:fill="FFFFFF"/>
            <w:tcMar>
              <w:top w:w="40" w:type="dxa"/>
              <w:left w:w="20" w:type="dxa"/>
              <w:bottom w:w="40" w:type="dxa"/>
              <w:right w:w="20" w:type="dxa"/>
            </w:tcMar>
            <w:vAlign w:val="center"/>
          </w:tcPr>
          <w:p w14:paraId="7E783F2D" w14:textId="77777777" w:rsidR="00A82082" w:rsidRDefault="00E946F9">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tcPr>
          <w:p w14:paraId="7E783F2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2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4"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35" w14:textId="77777777" w:rsidR="00A82082" w:rsidRDefault="00A82082">
            <w:pPr>
              <w:rPr>
                <w:rFonts w:ascii="宋体"/>
              </w:rPr>
            </w:pPr>
          </w:p>
        </w:tc>
      </w:tr>
      <w:tr w:rsidR="00A82082" w14:paraId="7E783F44" w14:textId="77777777">
        <w:trPr>
          <w:jc w:val="center"/>
        </w:trPr>
        <w:tc>
          <w:tcPr>
            <w:tcW w:w="0" w:type="auto"/>
            <w:gridSpan w:val="3"/>
            <w:shd w:val="clear" w:color="auto" w:fill="CCEEFF"/>
            <w:tcMar>
              <w:top w:w="40" w:type="dxa"/>
              <w:left w:w="380" w:type="dxa"/>
              <w:bottom w:w="40" w:type="dxa"/>
              <w:right w:w="20" w:type="dxa"/>
            </w:tcMar>
            <w:vAlign w:val="center"/>
          </w:tcPr>
          <w:p w14:paraId="7E783F37" w14:textId="77777777" w:rsidR="00A82082" w:rsidRDefault="00E946F9">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tcPr>
          <w:p w14:paraId="7E783F3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39" w14:textId="77777777" w:rsidR="00A82082" w:rsidRDefault="00E946F9">
            <w:pPr>
              <w:jc w:val="right"/>
              <w:textAlignment w:val="center"/>
            </w:pPr>
            <w:r>
              <w:rPr>
                <w:rFonts w:ascii="Times New Roman" w:eastAsia="宋体" w:hAnsi="Times New Roman"/>
                <w:color w:val="000000"/>
                <w:sz w:val="16"/>
                <w:szCs w:val="16"/>
              </w:rPr>
              <w:t>2,833 </w:t>
            </w:r>
          </w:p>
        </w:tc>
        <w:tc>
          <w:tcPr>
            <w:tcW w:w="0" w:type="auto"/>
            <w:shd w:val="clear" w:color="auto" w:fill="CCEEFF"/>
            <w:tcMar>
              <w:top w:w="40" w:type="dxa"/>
              <w:left w:w="0" w:type="dxa"/>
              <w:bottom w:w="40" w:type="dxa"/>
              <w:right w:w="20" w:type="dxa"/>
            </w:tcMar>
            <w:vAlign w:val="center"/>
          </w:tcPr>
          <w:p w14:paraId="7E783F3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3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3C" w14:textId="77777777" w:rsidR="00A82082" w:rsidRDefault="00E946F9">
            <w:pPr>
              <w:jc w:val="right"/>
              <w:textAlignment w:val="center"/>
            </w:pPr>
            <w:r>
              <w:rPr>
                <w:rFonts w:ascii="Times New Roman" w:eastAsia="宋体" w:hAnsi="Times New Roman"/>
                <w:color w:val="000000"/>
                <w:sz w:val="16"/>
                <w:szCs w:val="16"/>
              </w:rPr>
              <w:t>2,843 </w:t>
            </w:r>
          </w:p>
        </w:tc>
        <w:tc>
          <w:tcPr>
            <w:tcW w:w="0" w:type="auto"/>
            <w:shd w:val="clear" w:color="auto" w:fill="CCEEFF"/>
            <w:tcMar>
              <w:top w:w="40" w:type="dxa"/>
              <w:left w:w="0" w:type="dxa"/>
              <w:bottom w:w="40" w:type="dxa"/>
              <w:right w:w="20" w:type="dxa"/>
            </w:tcMar>
            <w:vAlign w:val="center"/>
          </w:tcPr>
          <w:p w14:paraId="7E783F3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3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3F" w14:textId="77777777" w:rsidR="00A82082" w:rsidRDefault="00E946F9">
            <w:pPr>
              <w:jc w:val="right"/>
              <w:textAlignment w:val="center"/>
            </w:pPr>
            <w:r>
              <w:rPr>
                <w:rFonts w:ascii="Times New Roman" w:eastAsia="宋体" w:hAnsi="Times New Roman"/>
                <w:color w:val="000000"/>
                <w:sz w:val="16"/>
                <w:szCs w:val="16"/>
              </w:rPr>
              <w:t>2,832 </w:t>
            </w:r>
          </w:p>
        </w:tc>
        <w:tc>
          <w:tcPr>
            <w:tcW w:w="0" w:type="auto"/>
            <w:shd w:val="clear" w:color="auto" w:fill="CCEEFF"/>
            <w:tcMar>
              <w:top w:w="40" w:type="dxa"/>
              <w:left w:w="0" w:type="dxa"/>
              <w:bottom w:w="40" w:type="dxa"/>
              <w:right w:w="20" w:type="dxa"/>
            </w:tcMar>
            <w:vAlign w:val="center"/>
          </w:tcPr>
          <w:p w14:paraId="7E783F4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4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42" w14:textId="77777777" w:rsidR="00A82082" w:rsidRDefault="00E946F9">
            <w:pPr>
              <w:jc w:val="right"/>
              <w:textAlignment w:val="center"/>
            </w:pPr>
            <w:r>
              <w:rPr>
                <w:rFonts w:ascii="Times New Roman" w:eastAsia="宋体" w:hAnsi="Times New Roman"/>
                <w:color w:val="000000"/>
                <w:sz w:val="16"/>
                <w:szCs w:val="16"/>
              </w:rPr>
              <w:t>2,855 </w:t>
            </w:r>
          </w:p>
        </w:tc>
        <w:tc>
          <w:tcPr>
            <w:tcW w:w="0" w:type="auto"/>
            <w:shd w:val="clear" w:color="auto" w:fill="CCEEFF"/>
            <w:tcMar>
              <w:top w:w="40" w:type="dxa"/>
              <w:left w:w="0" w:type="dxa"/>
              <w:bottom w:w="40" w:type="dxa"/>
              <w:right w:w="20" w:type="dxa"/>
            </w:tcMar>
            <w:vAlign w:val="center"/>
          </w:tcPr>
          <w:p w14:paraId="7E783F43" w14:textId="77777777" w:rsidR="00A82082" w:rsidRDefault="00A82082">
            <w:pPr>
              <w:jc w:val="right"/>
              <w:rPr>
                <w:rFonts w:ascii="宋体"/>
              </w:rPr>
            </w:pPr>
          </w:p>
        </w:tc>
      </w:tr>
      <w:tr w:rsidR="00A82082" w14:paraId="7E783F52" w14:textId="77777777">
        <w:trPr>
          <w:jc w:val="center"/>
        </w:trPr>
        <w:tc>
          <w:tcPr>
            <w:tcW w:w="0" w:type="auto"/>
            <w:gridSpan w:val="3"/>
            <w:shd w:val="clear" w:color="auto" w:fill="FFFFFF"/>
            <w:tcMar>
              <w:top w:w="40" w:type="dxa"/>
              <w:left w:w="380" w:type="dxa"/>
              <w:bottom w:w="40" w:type="dxa"/>
              <w:right w:w="20" w:type="dxa"/>
            </w:tcMar>
            <w:vAlign w:val="center"/>
          </w:tcPr>
          <w:p w14:paraId="7E783F45" w14:textId="77777777" w:rsidR="00A82082" w:rsidRDefault="00E946F9">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tcPr>
          <w:p w14:paraId="7E783F4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47" w14:textId="77777777" w:rsidR="00A82082" w:rsidRDefault="00E946F9">
            <w:pPr>
              <w:jc w:val="right"/>
              <w:textAlignment w:val="center"/>
            </w:pPr>
            <w:r>
              <w:rPr>
                <w:rFonts w:ascii="Times New Roman" w:eastAsia="宋体" w:hAnsi="Times New Roman"/>
                <w:color w:val="000000"/>
                <w:sz w:val="16"/>
                <w:szCs w:val="16"/>
              </w:rPr>
              <w:t>2,849 </w:t>
            </w:r>
          </w:p>
        </w:tc>
        <w:tc>
          <w:tcPr>
            <w:tcW w:w="0" w:type="auto"/>
            <w:shd w:val="clear" w:color="auto" w:fill="FFFFFF"/>
            <w:tcMar>
              <w:top w:w="40" w:type="dxa"/>
              <w:left w:w="0" w:type="dxa"/>
              <w:bottom w:w="40" w:type="dxa"/>
              <w:right w:w="20" w:type="dxa"/>
            </w:tcMar>
            <w:vAlign w:val="center"/>
          </w:tcPr>
          <w:p w14:paraId="7E783F4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4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4A" w14:textId="77777777" w:rsidR="00A82082" w:rsidRDefault="00E946F9">
            <w:pPr>
              <w:jc w:val="right"/>
              <w:textAlignment w:val="center"/>
            </w:pPr>
            <w:r>
              <w:rPr>
                <w:rFonts w:ascii="Times New Roman" w:eastAsia="宋体" w:hAnsi="Times New Roman"/>
                <w:color w:val="000000"/>
                <w:sz w:val="16"/>
                <w:szCs w:val="16"/>
              </w:rPr>
              <w:t>2,861 </w:t>
            </w:r>
          </w:p>
        </w:tc>
        <w:tc>
          <w:tcPr>
            <w:tcW w:w="0" w:type="auto"/>
            <w:shd w:val="clear" w:color="auto" w:fill="FFFFFF"/>
            <w:tcMar>
              <w:top w:w="40" w:type="dxa"/>
              <w:left w:w="0" w:type="dxa"/>
              <w:bottom w:w="40" w:type="dxa"/>
              <w:right w:w="20" w:type="dxa"/>
            </w:tcMar>
            <w:vAlign w:val="center"/>
          </w:tcPr>
          <w:p w14:paraId="7E783F4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4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4D" w14:textId="77777777" w:rsidR="00A82082" w:rsidRDefault="00E946F9">
            <w:pPr>
              <w:jc w:val="right"/>
              <w:textAlignment w:val="center"/>
            </w:pPr>
            <w:r>
              <w:rPr>
                <w:rFonts w:ascii="Times New Roman" w:eastAsia="宋体" w:hAnsi="Times New Roman"/>
                <w:color w:val="000000"/>
                <w:sz w:val="16"/>
                <w:szCs w:val="16"/>
              </w:rPr>
              <w:t>2,849 </w:t>
            </w:r>
          </w:p>
        </w:tc>
        <w:tc>
          <w:tcPr>
            <w:tcW w:w="0" w:type="auto"/>
            <w:shd w:val="clear" w:color="auto" w:fill="FFFFFF"/>
            <w:tcMar>
              <w:top w:w="40" w:type="dxa"/>
              <w:left w:w="0" w:type="dxa"/>
              <w:bottom w:w="40" w:type="dxa"/>
              <w:right w:w="20" w:type="dxa"/>
            </w:tcMar>
            <w:vAlign w:val="center"/>
          </w:tcPr>
          <w:p w14:paraId="7E783F4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4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50" w14:textId="77777777" w:rsidR="00A82082" w:rsidRDefault="00E946F9">
            <w:pPr>
              <w:jc w:val="right"/>
              <w:textAlignment w:val="center"/>
            </w:pPr>
            <w:r>
              <w:rPr>
                <w:rFonts w:ascii="Times New Roman" w:eastAsia="宋体" w:hAnsi="Times New Roman"/>
                <w:color w:val="000000"/>
                <w:sz w:val="16"/>
                <w:szCs w:val="16"/>
              </w:rPr>
              <w:t>2,872 </w:t>
            </w:r>
          </w:p>
        </w:tc>
        <w:tc>
          <w:tcPr>
            <w:tcW w:w="0" w:type="auto"/>
            <w:shd w:val="clear" w:color="auto" w:fill="FFFFFF"/>
            <w:tcMar>
              <w:top w:w="40" w:type="dxa"/>
              <w:left w:w="0" w:type="dxa"/>
              <w:bottom w:w="40" w:type="dxa"/>
              <w:right w:w="20" w:type="dxa"/>
            </w:tcMar>
            <w:vAlign w:val="center"/>
          </w:tcPr>
          <w:p w14:paraId="7E783F51" w14:textId="77777777" w:rsidR="00A82082" w:rsidRDefault="00A82082">
            <w:pPr>
              <w:jc w:val="right"/>
              <w:rPr>
                <w:rFonts w:ascii="宋体"/>
              </w:rPr>
            </w:pPr>
          </w:p>
        </w:tc>
      </w:tr>
      <w:tr w:rsidR="00A82082" w14:paraId="7E783F5C" w14:textId="77777777">
        <w:trPr>
          <w:trHeight w:val="220"/>
          <w:jc w:val="center"/>
        </w:trPr>
        <w:tc>
          <w:tcPr>
            <w:tcW w:w="0" w:type="auto"/>
            <w:gridSpan w:val="3"/>
            <w:shd w:val="clear" w:color="auto" w:fill="CCEEFF"/>
            <w:tcMar>
              <w:top w:w="0" w:type="dxa"/>
              <w:left w:w="20" w:type="dxa"/>
              <w:bottom w:w="0" w:type="dxa"/>
              <w:right w:w="20" w:type="dxa"/>
            </w:tcMar>
          </w:tcPr>
          <w:p w14:paraId="7E783F5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9"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5B" w14:textId="77777777" w:rsidR="00A82082" w:rsidRDefault="00A82082">
            <w:pPr>
              <w:rPr>
                <w:rFonts w:ascii="宋体"/>
              </w:rPr>
            </w:pPr>
          </w:p>
        </w:tc>
      </w:tr>
      <w:tr w:rsidR="00A82082" w14:paraId="7E783F6E" w14:textId="77777777">
        <w:trPr>
          <w:jc w:val="center"/>
        </w:trPr>
        <w:tc>
          <w:tcPr>
            <w:tcW w:w="0" w:type="auto"/>
            <w:gridSpan w:val="3"/>
            <w:shd w:val="clear" w:color="auto" w:fill="FFFFFF"/>
            <w:tcMar>
              <w:top w:w="40" w:type="dxa"/>
              <w:left w:w="20" w:type="dxa"/>
              <w:bottom w:w="40" w:type="dxa"/>
              <w:right w:w="20" w:type="dxa"/>
            </w:tcMar>
            <w:vAlign w:val="center"/>
          </w:tcPr>
          <w:p w14:paraId="7E783F5D" w14:textId="77777777" w:rsidR="00A82082" w:rsidRDefault="00E946F9">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tcPr>
          <w:p w14:paraId="7E783F5E"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3F5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3F6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3F6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62"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3F6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3F6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3F6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66"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3F6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3F68" w14:textId="77777777" w:rsidR="00A82082" w:rsidRDefault="00E946F9">
            <w:pPr>
              <w:jc w:val="right"/>
              <w:textAlignment w:val="center"/>
            </w:pPr>
            <w:r>
              <w:rPr>
                <w:rFonts w:ascii="Times New Roman" w:eastAsia="宋体" w:hAnsi="Times New Roman"/>
                <w:color w:val="000000"/>
                <w:sz w:val="16"/>
                <w:szCs w:val="16"/>
              </w:rPr>
              <w:t>2.16 </w:t>
            </w:r>
          </w:p>
        </w:tc>
        <w:tc>
          <w:tcPr>
            <w:tcW w:w="0" w:type="auto"/>
            <w:shd w:val="clear" w:color="auto" w:fill="FFFFFF"/>
            <w:tcMar>
              <w:top w:w="40" w:type="dxa"/>
              <w:left w:w="0" w:type="dxa"/>
              <w:bottom w:w="40" w:type="dxa"/>
              <w:right w:w="20" w:type="dxa"/>
            </w:tcMar>
            <w:vAlign w:val="center"/>
          </w:tcPr>
          <w:p w14:paraId="7E783F6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6A"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3F6B"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3F6C" w14:textId="77777777" w:rsidR="00A82082" w:rsidRDefault="00E946F9">
            <w:pPr>
              <w:jc w:val="right"/>
              <w:textAlignment w:val="center"/>
            </w:pPr>
            <w:r>
              <w:rPr>
                <w:rFonts w:ascii="Times New Roman" w:eastAsia="宋体" w:hAnsi="Times New Roman"/>
                <w:color w:val="000000"/>
                <w:sz w:val="16"/>
                <w:szCs w:val="16"/>
              </w:rPr>
              <w:t>2.12 </w:t>
            </w:r>
          </w:p>
        </w:tc>
        <w:tc>
          <w:tcPr>
            <w:tcW w:w="0" w:type="auto"/>
            <w:shd w:val="clear" w:color="auto" w:fill="FFFFFF"/>
            <w:tcMar>
              <w:top w:w="40" w:type="dxa"/>
              <w:left w:w="0" w:type="dxa"/>
              <w:bottom w:w="40" w:type="dxa"/>
              <w:right w:w="20" w:type="dxa"/>
            </w:tcMar>
            <w:vAlign w:val="center"/>
          </w:tcPr>
          <w:p w14:paraId="7E783F6D" w14:textId="77777777" w:rsidR="00A82082" w:rsidRDefault="00A82082">
            <w:pPr>
              <w:jc w:val="right"/>
              <w:rPr>
                <w:rFonts w:ascii="宋体"/>
              </w:rPr>
            </w:pPr>
          </w:p>
        </w:tc>
      </w:tr>
    </w:tbl>
    <w:p w14:paraId="7E783F6F"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3F70" w14:textId="77777777" w:rsidR="00A82082" w:rsidRDefault="00E946F9">
      <w:pPr>
        <w:jc w:val="center"/>
      </w:pPr>
      <w:r>
        <w:rPr>
          <w:rFonts w:ascii="Times New Roman" w:eastAsia="宋体" w:hAnsi="Times New Roman"/>
          <w:color w:val="000000"/>
          <w:sz w:val="20"/>
          <w:szCs w:val="20"/>
        </w:rPr>
        <w:t>3</w:t>
      </w:r>
    </w:p>
    <w:p w14:paraId="7E783F71" w14:textId="77777777" w:rsidR="00A82082" w:rsidRDefault="00E946F9">
      <w:r>
        <w:pict w14:anchorId="7E78614B">
          <v:rect id="_x0000_i1027" style="width:415.3pt;height:1.5pt" o:hralign="center" o:hrstd="t" o:hr="t" fillcolor="#a0a0a0" stroked="f"/>
        </w:pict>
      </w:r>
    </w:p>
    <w:p w14:paraId="7E783F72" w14:textId="77777777" w:rsidR="00A82082" w:rsidRDefault="00E946F9">
      <w:hyperlink r:id="rId43" w:anchor="i5c815528a95c4409b9043de534639b9a_7" w:history="1">
        <w:r>
          <w:rPr>
            <w:rStyle w:val="a5"/>
            <w:rFonts w:ascii="Times New Roman" w:eastAsia="宋体" w:hAnsi="Times New Roman"/>
            <w:sz w:val="20"/>
            <w:szCs w:val="20"/>
          </w:rPr>
          <w:t>Table of C</w:t>
        </w:r>
      </w:hyperlink>
      <w:hyperlink r:id="rId44" w:anchor="i5c815528a95c4409b9043de534639b9a_7" w:history="1">
        <w:r>
          <w:rPr>
            <w:rStyle w:val="a5"/>
            <w:rFonts w:ascii="Times New Roman" w:eastAsia="宋体" w:hAnsi="Times New Roman"/>
            <w:sz w:val="20"/>
            <w:szCs w:val="20"/>
          </w:rPr>
          <w:t>ontents</w:t>
        </w:r>
      </w:hyperlink>
    </w:p>
    <w:p w14:paraId="7E783F73" w14:textId="77777777" w:rsidR="00A82082" w:rsidRDefault="00E946F9">
      <w:pPr>
        <w:jc w:val="center"/>
      </w:pPr>
      <w:r>
        <w:rPr>
          <w:rFonts w:ascii="Times New Roman" w:eastAsia="宋体" w:hAnsi="Times New Roman"/>
          <w:b/>
          <w:bCs/>
          <w:color w:val="000000"/>
          <w:sz w:val="20"/>
          <w:szCs w:val="20"/>
        </w:rPr>
        <w:t>Walmart Inc.</w:t>
      </w:r>
    </w:p>
    <w:p w14:paraId="7E783F74" w14:textId="77777777" w:rsidR="00A82082" w:rsidRDefault="00E946F9">
      <w:pPr>
        <w:spacing w:before="60"/>
        <w:jc w:val="center"/>
      </w:pPr>
      <w:r>
        <w:rPr>
          <w:rFonts w:ascii="Times New Roman" w:eastAsia="宋体" w:hAnsi="Times New Roman"/>
          <w:b/>
          <w:bCs/>
          <w:color w:val="000000"/>
          <w:sz w:val="20"/>
          <w:szCs w:val="20"/>
        </w:rPr>
        <w:t>Condensed Consolidated Statements of Comprehensive Income</w:t>
      </w:r>
    </w:p>
    <w:p w14:paraId="7E783F75" w14:textId="77777777" w:rsidR="00A82082" w:rsidRDefault="00E946F9">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34"/>
        <w:gridCol w:w="39"/>
        <w:gridCol w:w="100"/>
        <w:gridCol w:w="452"/>
        <w:gridCol w:w="36"/>
        <w:gridCol w:w="36"/>
        <w:gridCol w:w="36"/>
        <w:gridCol w:w="36"/>
        <w:gridCol w:w="100"/>
        <w:gridCol w:w="443"/>
        <w:gridCol w:w="36"/>
        <w:gridCol w:w="36"/>
        <w:gridCol w:w="36"/>
        <w:gridCol w:w="36"/>
        <w:gridCol w:w="100"/>
        <w:gridCol w:w="480"/>
        <w:gridCol w:w="36"/>
        <w:gridCol w:w="36"/>
        <w:gridCol w:w="36"/>
        <w:gridCol w:w="36"/>
        <w:gridCol w:w="100"/>
        <w:gridCol w:w="480"/>
        <w:gridCol w:w="36"/>
      </w:tblGrid>
      <w:tr w:rsidR="00A82082" w14:paraId="7E783F8E" w14:textId="77777777">
        <w:trPr>
          <w:jc w:val="center"/>
        </w:trPr>
        <w:tc>
          <w:tcPr>
            <w:tcW w:w="50" w:type="pct"/>
            <w:shd w:val="clear" w:color="auto" w:fill="auto"/>
          </w:tcPr>
          <w:p w14:paraId="7E783F76" w14:textId="77777777" w:rsidR="00A82082" w:rsidRDefault="00A82082">
            <w:pPr>
              <w:rPr>
                <w:rFonts w:ascii="宋体"/>
              </w:rPr>
            </w:pPr>
          </w:p>
        </w:tc>
        <w:tc>
          <w:tcPr>
            <w:tcW w:w="3358" w:type="pct"/>
            <w:shd w:val="clear" w:color="auto" w:fill="auto"/>
          </w:tcPr>
          <w:p w14:paraId="7E783F77" w14:textId="77777777" w:rsidR="00A82082" w:rsidRDefault="00A82082">
            <w:pPr>
              <w:rPr>
                <w:rFonts w:ascii="宋体"/>
              </w:rPr>
            </w:pPr>
          </w:p>
        </w:tc>
        <w:tc>
          <w:tcPr>
            <w:tcW w:w="5" w:type="pct"/>
            <w:shd w:val="clear" w:color="auto" w:fill="auto"/>
          </w:tcPr>
          <w:p w14:paraId="7E783F78" w14:textId="77777777" w:rsidR="00A82082" w:rsidRDefault="00A82082">
            <w:pPr>
              <w:rPr>
                <w:rFonts w:ascii="宋体"/>
              </w:rPr>
            </w:pPr>
          </w:p>
        </w:tc>
        <w:tc>
          <w:tcPr>
            <w:tcW w:w="50" w:type="pct"/>
            <w:shd w:val="clear" w:color="auto" w:fill="auto"/>
          </w:tcPr>
          <w:p w14:paraId="7E783F79" w14:textId="77777777" w:rsidR="00A82082" w:rsidRDefault="00A82082">
            <w:pPr>
              <w:rPr>
                <w:rFonts w:ascii="宋体"/>
              </w:rPr>
            </w:pPr>
          </w:p>
        </w:tc>
        <w:tc>
          <w:tcPr>
            <w:tcW w:w="303" w:type="pct"/>
            <w:shd w:val="clear" w:color="auto" w:fill="auto"/>
          </w:tcPr>
          <w:p w14:paraId="7E783F7A" w14:textId="77777777" w:rsidR="00A82082" w:rsidRDefault="00A82082">
            <w:pPr>
              <w:rPr>
                <w:rFonts w:ascii="宋体"/>
              </w:rPr>
            </w:pPr>
          </w:p>
        </w:tc>
        <w:tc>
          <w:tcPr>
            <w:tcW w:w="5" w:type="pct"/>
            <w:shd w:val="clear" w:color="auto" w:fill="auto"/>
          </w:tcPr>
          <w:p w14:paraId="7E783F7B" w14:textId="77777777" w:rsidR="00A82082" w:rsidRDefault="00A82082">
            <w:pPr>
              <w:rPr>
                <w:rFonts w:ascii="宋体"/>
              </w:rPr>
            </w:pPr>
          </w:p>
        </w:tc>
        <w:tc>
          <w:tcPr>
            <w:tcW w:w="5" w:type="pct"/>
            <w:shd w:val="clear" w:color="auto" w:fill="auto"/>
          </w:tcPr>
          <w:p w14:paraId="7E783F7C" w14:textId="77777777" w:rsidR="00A82082" w:rsidRDefault="00A82082">
            <w:pPr>
              <w:rPr>
                <w:rFonts w:ascii="宋体"/>
              </w:rPr>
            </w:pPr>
          </w:p>
        </w:tc>
        <w:tc>
          <w:tcPr>
            <w:tcW w:w="41" w:type="pct"/>
            <w:shd w:val="clear" w:color="auto" w:fill="auto"/>
          </w:tcPr>
          <w:p w14:paraId="7E783F7D" w14:textId="77777777" w:rsidR="00A82082" w:rsidRDefault="00A82082">
            <w:pPr>
              <w:rPr>
                <w:rFonts w:ascii="宋体"/>
              </w:rPr>
            </w:pPr>
          </w:p>
        </w:tc>
        <w:tc>
          <w:tcPr>
            <w:tcW w:w="5" w:type="pct"/>
            <w:shd w:val="clear" w:color="auto" w:fill="auto"/>
          </w:tcPr>
          <w:p w14:paraId="7E783F7E" w14:textId="77777777" w:rsidR="00A82082" w:rsidRDefault="00A82082">
            <w:pPr>
              <w:rPr>
                <w:rFonts w:ascii="宋体"/>
              </w:rPr>
            </w:pPr>
          </w:p>
        </w:tc>
        <w:tc>
          <w:tcPr>
            <w:tcW w:w="50" w:type="pct"/>
            <w:shd w:val="clear" w:color="auto" w:fill="auto"/>
          </w:tcPr>
          <w:p w14:paraId="7E783F7F" w14:textId="77777777" w:rsidR="00A82082" w:rsidRDefault="00A82082">
            <w:pPr>
              <w:rPr>
                <w:rFonts w:ascii="宋体"/>
              </w:rPr>
            </w:pPr>
          </w:p>
        </w:tc>
        <w:tc>
          <w:tcPr>
            <w:tcW w:w="303" w:type="pct"/>
            <w:shd w:val="clear" w:color="auto" w:fill="auto"/>
          </w:tcPr>
          <w:p w14:paraId="7E783F80" w14:textId="77777777" w:rsidR="00A82082" w:rsidRDefault="00A82082">
            <w:pPr>
              <w:rPr>
                <w:rFonts w:ascii="宋体"/>
              </w:rPr>
            </w:pPr>
          </w:p>
        </w:tc>
        <w:tc>
          <w:tcPr>
            <w:tcW w:w="5" w:type="pct"/>
            <w:shd w:val="clear" w:color="auto" w:fill="auto"/>
          </w:tcPr>
          <w:p w14:paraId="7E783F81" w14:textId="77777777" w:rsidR="00A82082" w:rsidRDefault="00A82082">
            <w:pPr>
              <w:rPr>
                <w:rFonts w:ascii="宋体"/>
              </w:rPr>
            </w:pPr>
          </w:p>
        </w:tc>
        <w:tc>
          <w:tcPr>
            <w:tcW w:w="5" w:type="pct"/>
            <w:shd w:val="clear" w:color="auto" w:fill="auto"/>
          </w:tcPr>
          <w:p w14:paraId="7E783F82" w14:textId="77777777" w:rsidR="00A82082" w:rsidRDefault="00A82082">
            <w:pPr>
              <w:rPr>
                <w:rFonts w:ascii="宋体"/>
              </w:rPr>
            </w:pPr>
          </w:p>
        </w:tc>
        <w:tc>
          <w:tcPr>
            <w:tcW w:w="41" w:type="pct"/>
            <w:shd w:val="clear" w:color="auto" w:fill="auto"/>
          </w:tcPr>
          <w:p w14:paraId="7E783F83" w14:textId="77777777" w:rsidR="00A82082" w:rsidRDefault="00A82082">
            <w:pPr>
              <w:rPr>
                <w:rFonts w:ascii="宋体"/>
              </w:rPr>
            </w:pPr>
          </w:p>
        </w:tc>
        <w:tc>
          <w:tcPr>
            <w:tcW w:w="5" w:type="pct"/>
            <w:shd w:val="clear" w:color="auto" w:fill="auto"/>
          </w:tcPr>
          <w:p w14:paraId="7E783F84" w14:textId="77777777" w:rsidR="00A82082" w:rsidRDefault="00A82082">
            <w:pPr>
              <w:rPr>
                <w:rFonts w:ascii="宋体"/>
              </w:rPr>
            </w:pPr>
          </w:p>
        </w:tc>
        <w:tc>
          <w:tcPr>
            <w:tcW w:w="50" w:type="pct"/>
            <w:shd w:val="clear" w:color="auto" w:fill="auto"/>
          </w:tcPr>
          <w:p w14:paraId="7E783F85" w14:textId="77777777" w:rsidR="00A82082" w:rsidRDefault="00A82082">
            <w:pPr>
              <w:rPr>
                <w:rFonts w:ascii="宋体"/>
              </w:rPr>
            </w:pPr>
          </w:p>
        </w:tc>
        <w:tc>
          <w:tcPr>
            <w:tcW w:w="303" w:type="pct"/>
            <w:shd w:val="clear" w:color="auto" w:fill="auto"/>
          </w:tcPr>
          <w:p w14:paraId="7E783F86" w14:textId="77777777" w:rsidR="00A82082" w:rsidRDefault="00A82082">
            <w:pPr>
              <w:rPr>
                <w:rFonts w:ascii="宋体"/>
              </w:rPr>
            </w:pPr>
          </w:p>
        </w:tc>
        <w:tc>
          <w:tcPr>
            <w:tcW w:w="5" w:type="pct"/>
            <w:shd w:val="clear" w:color="auto" w:fill="auto"/>
          </w:tcPr>
          <w:p w14:paraId="7E783F87" w14:textId="77777777" w:rsidR="00A82082" w:rsidRDefault="00A82082">
            <w:pPr>
              <w:rPr>
                <w:rFonts w:ascii="宋体"/>
              </w:rPr>
            </w:pPr>
          </w:p>
        </w:tc>
        <w:tc>
          <w:tcPr>
            <w:tcW w:w="5" w:type="pct"/>
            <w:shd w:val="clear" w:color="auto" w:fill="auto"/>
          </w:tcPr>
          <w:p w14:paraId="7E783F88" w14:textId="77777777" w:rsidR="00A82082" w:rsidRDefault="00A82082">
            <w:pPr>
              <w:rPr>
                <w:rFonts w:ascii="宋体"/>
              </w:rPr>
            </w:pPr>
          </w:p>
        </w:tc>
        <w:tc>
          <w:tcPr>
            <w:tcW w:w="41" w:type="pct"/>
            <w:shd w:val="clear" w:color="auto" w:fill="auto"/>
          </w:tcPr>
          <w:p w14:paraId="7E783F89" w14:textId="77777777" w:rsidR="00A82082" w:rsidRDefault="00A82082">
            <w:pPr>
              <w:rPr>
                <w:rFonts w:ascii="宋体"/>
              </w:rPr>
            </w:pPr>
          </w:p>
        </w:tc>
        <w:tc>
          <w:tcPr>
            <w:tcW w:w="5" w:type="pct"/>
            <w:shd w:val="clear" w:color="auto" w:fill="auto"/>
          </w:tcPr>
          <w:p w14:paraId="7E783F8A" w14:textId="77777777" w:rsidR="00A82082" w:rsidRDefault="00A82082">
            <w:pPr>
              <w:rPr>
                <w:rFonts w:ascii="宋体"/>
              </w:rPr>
            </w:pPr>
          </w:p>
        </w:tc>
        <w:tc>
          <w:tcPr>
            <w:tcW w:w="50" w:type="pct"/>
            <w:shd w:val="clear" w:color="auto" w:fill="auto"/>
          </w:tcPr>
          <w:p w14:paraId="7E783F8B" w14:textId="77777777" w:rsidR="00A82082" w:rsidRDefault="00A82082">
            <w:pPr>
              <w:rPr>
                <w:rFonts w:ascii="宋体"/>
              </w:rPr>
            </w:pPr>
          </w:p>
        </w:tc>
        <w:tc>
          <w:tcPr>
            <w:tcW w:w="303" w:type="pct"/>
            <w:shd w:val="clear" w:color="auto" w:fill="auto"/>
          </w:tcPr>
          <w:p w14:paraId="7E783F8C" w14:textId="77777777" w:rsidR="00A82082" w:rsidRDefault="00A82082">
            <w:pPr>
              <w:rPr>
                <w:rFonts w:ascii="宋体"/>
              </w:rPr>
            </w:pPr>
          </w:p>
        </w:tc>
        <w:tc>
          <w:tcPr>
            <w:tcW w:w="5" w:type="pct"/>
            <w:shd w:val="clear" w:color="auto" w:fill="auto"/>
          </w:tcPr>
          <w:p w14:paraId="7E783F8D" w14:textId="77777777" w:rsidR="00A82082" w:rsidRDefault="00A82082">
            <w:pPr>
              <w:rPr>
                <w:rFonts w:ascii="宋体"/>
              </w:rPr>
            </w:pPr>
          </w:p>
        </w:tc>
      </w:tr>
      <w:tr w:rsidR="00A82082" w14:paraId="7E783F93" w14:textId="77777777">
        <w:trPr>
          <w:jc w:val="center"/>
        </w:trPr>
        <w:tc>
          <w:tcPr>
            <w:tcW w:w="0" w:type="auto"/>
            <w:gridSpan w:val="3"/>
            <w:shd w:val="clear" w:color="auto" w:fill="auto"/>
            <w:tcMar>
              <w:top w:w="40" w:type="dxa"/>
              <w:left w:w="20" w:type="dxa"/>
              <w:bottom w:w="40" w:type="dxa"/>
              <w:right w:w="20" w:type="dxa"/>
            </w:tcMar>
            <w:vAlign w:val="bottom"/>
          </w:tcPr>
          <w:p w14:paraId="7E783F8F" w14:textId="77777777" w:rsidR="00A82082" w:rsidRDefault="00E946F9">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E783F90"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3F91"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3F92"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3F9C" w14:textId="77777777">
        <w:trPr>
          <w:jc w:val="center"/>
        </w:trPr>
        <w:tc>
          <w:tcPr>
            <w:tcW w:w="0" w:type="auto"/>
            <w:gridSpan w:val="3"/>
            <w:shd w:val="clear" w:color="auto" w:fill="auto"/>
            <w:tcMar>
              <w:top w:w="40" w:type="dxa"/>
              <w:left w:w="20" w:type="dxa"/>
              <w:bottom w:w="40" w:type="dxa"/>
              <w:right w:w="20" w:type="dxa"/>
            </w:tcMar>
            <w:vAlign w:val="bottom"/>
          </w:tcPr>
          <w:p w14:paraId="7E783F94"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F95"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3F96"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F97"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3F98"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F99"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3F9A"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3F9B"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3FAD" w14:textId="77777777">
        <w:trPr>
          <w:jc w:val="center"/>
        </w:trPr>
        <w:tc>
          <w:tcPr>
            <w:tcW w:w="0" w:type="auto"/>
            <w:gridSpan w:val="3"/>
            <w:shd w:val="clear" w:color="auto" w:fill="CCEEFF"/>
            <w:tcMar>
              <w:top w:w="40" w:type="dxa"/>
              <w:left w:w="20" w:type="dxa"/>
              <w:bottom w:w="40" w:type="dxa"/>
              <w:right w:w="20" w:type="dxa"/>
            </w:tcMar>
            <w:vAlign w:val="center"/>
          </w:tcPr>
          <w:p w14:paraId="7E783F9D" w14:textId="77777777" w:rsidR="00A82082" w:rsidRDefault="00E946F9">
            <w:pPr>
              <w:textAlignment w:val="center"/>
            </w:pPr>
            <w:r>
              <w:rPr>
                <w:rFonts w:ascii="Times New Roman" w:eastAsia="宋体" w:hAnsi="Times New Roman"/>
                <w:b/>
                <w:bCs/>
                <w:color w:val="000000"/>
                <w:sz w:val="16"/>
                <w:szCs w:val="16"/>
              </w:rPr>
              <w:t>Consolidated net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E783F9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3F9F" w14:textId="77777777" w:rsidR="00A82082" w:rsidRDefault="00E946F9">
            <w:pPr>
              <w:jc w:val="right"/>
              <w:textAlignment w:val="center"/>
            </w:pPr>
            <w:r>
              <w:rPr>
                <w:rFonts w:ascii="Times New Roman" w:eastAsia="宋体" w:hAnsi="Times New Roman"/>
                <w:color w:val="000000"/>
                <w:sz w:val="16"/>
                <w:szCs w:val="16"/>
              </w:rPr>
              <w:t>5,201 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A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A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3FA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3FA3" w14:textId="77777777" w:rsidR="00A82082" w:rsidRDefault="00E946F9">
            <w:pPr>
              <w:jc w:val="right"/>
              <w:textAlignment w:val="center"/>
            </w:pPr>
            <w:r>
              <w:rPr>
                <w:rFonts w:ascii="Times New Roman" w:eastAsia="宋体" w:hAnsi="Times New Roman"/>
                <w:color w:val="000000"/>
                <w:sz w:val="16"/>
                <w:szCs w:val="16"/>
              </w:rPr>
              <w:t>3,321 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A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A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3FA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3FA7" w14:textId="77777777" w:rsidR="00A82082" w:rsidRDefault="00E946F9">
            <w:pPr>
              <w:jc w:val="right"/>
              <w:textAlignment w:val="center"/>
            </w:pPr>
            <w:r>
              <w:rPr>
                <w:rFonts w:ascii="Times New Roman" w:eastAsia="宋体" w:hAnsi="Times New Roman"/>
                <w:color w:val="000000"/>
                <w:sz w:val="16"/>
                <w:szCs w:val="16"/>
              </w:rPr>
              <w:t>15,714 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A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A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3FA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3FAB" w14:textId="77777777" w:rsidR="00A82082" w:rsidRDefault="00E946F9">
            <w:pPr>
              <w:jc w:val="right"/>
              <w:textAlignment w:val="center"/>
            </w:pPr>
            <w:r>
              <w:rPr>
                <w:rFonts w:ascii="Times New Roman" w:eastAsia="宋体" w:hAnsi="Times New Roman"/>
                <w:color w:val="000000"/>
                <w:sz w:val="16"/>
                <w:szCs w:val="16"/>
              </w:rPr>
              <w:t>10,907 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AC" w14:textId="77777777" w:rsidR="00A82082" w:rsidRDefault="00A82082">
            <w:pPr>
              <w:jc w:val="right"/>
              <w:rPr>
                <w:rFonts w:ascii="宋体"/>
              </w:rPr>
            </w:pPr>
          </w:p>
        </w:tc>
      </w:tr>
      <w:tr w:rsidR="00A82082" w14:paraId="7E783FBA" w14:textId="77777777">
        <w:trPr>
          <w:jc w:val="center"/>
        </w:trPr>
        <w:tc>
          <w:tcPr>
            <w:tcW w:w="0" w:type="auto"/>
            <w:gridSpan w:val="3"/>
            <w:shd w:val="clear" w:color="auto" w:fill="FFFFFF"/>
            <w:tcMar>
              <w:top w:w="40" w:type="dxa"/>
              <w:left w:w="380" w:type="dxa"/>
              <w:bottom w:w="40" w:type="dxa"/>
              <w:right w:w="20" w:type="dxa"/>
            </w:tcMar>
            <w:vAlign w:val="center"/>
          </w:tcPr>
          <w:p w14:paraId="7E783FAE" w14:textId="77777777" w:rsidR="00A82082" w:rsidRDefault="00E946F9">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2"/>
            <w:shd w:val="clear" w:color="auto" w:fill="FFFFFF"/>
            <w:tcMar>
              <w:top w:w="40" w:type="dxa"/>
              <w:left w:w="20" w:type="dxa"/>
              <w:bottom w:w="40" w:type="dxa"/>
              <w:right w:w="0" w:type="dxa"/>
            </w:tcMar>
            <w:vAlign w:val="center"/>
          </w:tcPr>
          <w:p w14:paraId="7E783FAF" w14:textId="77777777" w:rsidR="00A82082" w:rsidRDefault="00E946F9">
            <w:pPr>
              <w:jc w:val="right"/>
              <w:textAlignment w:val="center"/>
            </w:pPr>
            <w:r>
              <w:rPr>
                <w:rFonts w:ascii="Times New Roman" w:eastAsia="宋体" w:hAnsi="Times New Roman"/>
                <w:color w:val="000000"/>
                <w:sz w:val="16"/>
                <w:szCs w:val="16"/>
              </w:rPr>
              <w:t>(66)</w:t>
            </w:r>
          </w:p>
        </w:tc>
        <w:tc>
          <w:tcPr>
            <w:tcW w:w="0" w:type="auto"/>
            <w:shd w:val="clear" w:color="auto" w:fill="FFFFFF"/>
            <w:tcMar>
              <w:top w:w="40" w:type="dxa"/>
              <w:left w:w="0" w:type="dxa"/>
              <w:bottom w:w="40" w:type="dxa"/>
              <w:right w:w="20" w:type="dxa"/>
            </w:tcMar>
            <w:vAlign w:val="center"/>
          </w:tcPr>
          <w:p w14:paraId="7E783FB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B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B2" w14:textId="77777777" w:rsidR="00A82082" w:rsidRDefault="00E946F9">
            <w:pPr>
              <w:jc w:val="right"/>
              <w:textAlignment w:val="center"/>
            </w:pPr>
            <w:r>
              <w:rPr>
                <w:rFonts w:ascii="Times New Roman" w:eastAsia="宋体" w:hAnsi="Times New Roman"/>
                <w:color w:val="000000"/>
                <w:sz w:val="16"/>
                <w:szCs w:val="16"/>
              </w:rPr>
              <w:t>(33)</w:t>
            </w:r>
          </w:p>
        </w:tc>
        <w:tc>
          <w:tcPr>
            <w:tcW w:w="0" w:type="auto"/>
            <w:shd w:val="clear" w:color="auto" w:fill="FFFFFF"/>
            <w:tcMar>
              <w:top w:w="40" w:type="dxa"/>
              <w:left w:w="0" w:type="dxa"/>
              <w:bottom w:w="40" w:type="dxa"/>
              <w:right w:w="20" w:type="dxa"/>
            </w:tcMar>
            <w:vAlign w:val="center"/>
          </w:tcPr>
          <w:p w14:paraId="7E783FB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B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B5" w14:textId="77777777" w:rsidR="00A82082" w:rsidRDefault="00E946F9">
            <w:pPr>
              <w:jc w:val="right"/>
              <w:textAlignment w:val="center"/>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center"/>
          </w:tcPr>
          <w:p w14:paraId="7E783FB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B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B8" w14:textId="77777777" w:rsidR="00A82082" w:rsidRDefault="00E946F9">
            <w:pPr>
              <w:jc w:val="right"/>
              <w:textAlignment w:val="center"/>
            </w:pPr>
            <w:r>
              <w:rPr>
                <w:rFonts w:ascii="Times New Roman" w:eastAsia="宋体" w:hAnsi="Times New Roman"/>
                <w:color w:val="000000"/>
                <w:sz w:val="16"/>
                <w:szCs w:val="16"/>
              </w:rPr>
              <w:t>(167)</w:t>
            </w:r>
          </w:p>
        </w:tc>
        <w:tc>
          <w:tcPr>
            <w:tcW w:w="0" w:type="auto"/>
            <w:shd w:val="clear" w:color="auto" w:fill="FFFFFF"/>
            <w:tcMar>
              <w:top w:w="40" w:type="dxa"/>
              <w:left w:w="0" w:type="dxa"/>
              <w:bottom w:w="40" w:type="dxa"/>
              <w:right w:w="20" w:type="dxa"/>
            </w:tcMar>
            <w:vAlign w:val="center"/>
          </w:tcPr>
          <w:p w14:paraId="7E783FB9" w14:textId="77777777" w:rsidR="00A82082" w:rsidRDefault="00A82082">
            <w:pPr>
              <w:jc w:val="right"/>
              <w:rPr>
                <w:rFonts w:ascii="宋体"/>
              </w:rPr>
            </w:pPr>
          </w:p>
        </w:tc>
      </w:tr>
      <w:tr w:rsidR="00A82082" w14:paraId="7E783FC3" w14:textId="77777777">
        <w:trPr>
          <w:jc w:val="center"/>
          <w:hidden/>
        </w:trPr>
        <w:tc>
          <w:tcPr>
            <w:tcW w:w="0" w:type="auto"/>
            <w:gridSpan w:val="3"/>
            <w:shd w:val="clear" w:color="auto" w:fill="auto"/>
          </w:tcPr>
          <w:p w14:paraId="7E783FBB" w14:textId="77777777" w:rsidR="00A82082" w:rsidRDefault="00A82082">
            <w:pPr>
              <w:rPr>
                <w:rFonts w:ascii="宋体"/>
                <w:vanish/>
              </w:rPr>
            </w:pPr>
          </w:p>
        </w:tc>
        <w:tc>
          <w:tcPr>
            <w:tcW w:w="0" w:type="auto"/>
            <w:gridSpan w:val="3"/>
            <w:shd w:val="clear" w:color="auto" w:fill="auto"/>
          </w:tcPr>
          <w:p w14:paraId="7E783FBC" w14:textId="77777777" w:rsidR="00A82082" w:rsidRDefault="00A82082">
            <w:pPr>
              <w:rPr>
                <w:rFonts w:ascii="宋体"/>
                <w:vanish/>
              </w:rPr>
            </w:pPr>
          </w:p>
        </w:tc>
        <w:tc>
          <w:tcPr>
            <w:tcW w:w="0" w:type="auto"/>
            <w:gridSpan w:val="3"/>
            <w:shd w:val="clear" w:color="auto" w:fill="auto"/>
          </w:tcPr>
          <w:p w14:paraId="7E783FBD" w14:textId="77777777" w:rsidR="00A82082" w:rsidRDefault="00A82082">
            <w:pPr>
              <w:rPr>
                <w:rFonts w:ascii="宋体"/>
                <w:vanish/>
              </w:rPr>
            </w:pPr>
          </w:p>
        </w:tc>
        <w:tc>
          <w:tcPr>
            <w:tcW w:w="0" w:type="auto"/>
            <w:gridSpan w:val="3"/>
            <w:shd w:val="clear" w:color="auto" w:fill="auto"/>
          </w:tcPr>
          <w:p w14:paraId="7E783FBE" w14:textId="77777777" w:rsidR="00A82082" w:rsidRDefault="00A82082">
            <w:pPr>
              <w:rPr>
                <w:rFonts w:ascii="宋体"/>
                <w:vanish/>
              </w:rPr>
            </w:pPr>
          </w:p>
        </w:tc>
        <w:tc>
          <w:tcPr>
            <w:tcW w:w="0" w:type="auto"/>
            <w:gridSpan w:val="3"/>
            <w:shd w:val="clear" w:color="auto" w:fill="auto"/>
          </w:tcPr>
          <w:p w14:paraId="7E783FBF" w14:textId="77777777" w:rsidR="00A82082" w:rsidRDefault="00A82082">
            <w:pPr>
              <w:rPr>
                <w:rFonts w:ascii="宋体"/>
                <w:vanish/>
              </w:rPr>
            </w:pPr>
          </w:p>
        </w:tc>
        <w:tc>
          <w:tcPr>
            <w:tcW w:w="0" w:type="auto"/>
            <w:gridSpan w:val="3"/>
            <w:shd w:val="clear" w:color="auto" w:fill="auto"/>
          </w:tcPr>
          <w:p w14:paraId="7E783FC0" w14:textId="77777777" w:rsidR="00A82082" w:rsidRDefault="00A82082">
            <w:pPr>
              <w:rPr>
                <w:rFonts w:ascii="宋体"/>
                <w:vanish/>
              </w:rPr>
            </w:pPr>
          </w:p>
        </w:tc>
        <w:tc>
          <w:tcPr>
            <w:tcW w:w="0" w:type="auto"/>
            <w:gridSpan w:val="3"/>
            <w:shd w:val="clear" w:color="auto" w:fill="auto"/>
          </w:tcPr>
          <w:p w14:paraId="7E783FC1" w14:textId="77777777" w:rsidR="00A82082" w:rsidRDefault="00A82082">
            <w:pPr>
              <w:rPr>
                <w:rFonts w:ascii="宋体"/>
                <w:vanish/>
              </w:rPr>
            </w:pPr>
          </w:p>
        </w:tc>
        <w:tc>
          <w:tcPr>
            <w:tcW w:w="0" w:type="auto"/>
            <w:gridSpan w:val="3"/>
            <w:shd w:val="clear" w:color="auto" w:fill="auto"/>
          </w:tcPr>
          <w:p w14:paraId="7E783FC2" w14:textId="77777777" w:rsidR="00A82082" w:rsidRDefault="00A82082">
            <w:pPr>
              <w:rPr>
                <w:rFonts w:ascii="宋体"/>
                <w:vanish/>
              </w:rPr>
            </w:pPr>
          </w:p>
        </w:tc>
      </w:tr>
      <w:tr w:rsidR="00A82082" w14:paraId="7E783FD0" w14:textId="77777777">
        <w:trPr>
          <w:jc w:val="center"/>
        </w:trPr>
        <w:tc>
          <w:tcPr>
            <w:tcW w:w="0" w:type="auto"/>
            <w:gridSpan w:val="3"/>
            <w:shd w:val="clear" w:color="auto" w:fill="CCEEFF"/>
            <w:tcMar>
              <w:top w:w="40" w:type="dxa"/>
              <w:left w:w="20" w:type="dxa"/>
              <w:bottom w:w="40" w:type="dxa"/>
              <w:right w:w="20" w:type="dxa"/>
            </w:tcMar>
            <w:vAlign w:val="center"/>
          </w:tcPr>
          <w:p w14:paraId="7E783FC4" w14:textId="77777777" w:rsidR="00A82082" w:rsidRDefault="00E946F9">
            <w:pPr>
              <w:textAlignment w:val="center"/>
            </w:pPr>
            <w:r>
              <w:rPr>
                <w:rFonts w:ascii="Times New Roman" w:eastAsia="宋体" w:hAnsi="Times New Roman"/>
                <w:b/>
                <w:bCs/>
                <w:color w:val="000000"/>
                <w:sz w:val="16"/>
                <w:szCs w:val="16"/>
              </w:rPr>
              <w:t>Consolidated net income attributable to Walmart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FC5" w14:textId="77777777" w:rsidR="00A82082" w:rsidRDefault="00E946F9">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C7"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FC8" w14:textId="77777777" w:rsidR="00A82082" w:rsidRDefault="00E946F9">
            <w:pPr>
              <w:jc w:val="right"/>
              <w:textAlignment w:val="center"/>
            </w:pPr>
            <w:r>
              <w:rPr>
                <w:rFonts w:ascii="Times New Roman" w:eastAsia="宋体" w:hAnsi="Times New Roman"/>
                <w:color w:val="000000"/>
                <w:sz w:val="16"/>
                <w:szCs w:val="16"/>
              </w:rPr>
              <w:t>3,288 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C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CA"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FCB" w14:textId="77777777" w:rsidR="00A82082" w:rsidRDefault="00E946F9">
            <w:pPr>
              <w:jc w:val="right"/>
              <w:textAlignment w:val="center"/>
            </w:pPr>
            <w:r>
              <w:rPr>
                <w:rFonts w:ascii="Times New Roman" w:eastAsia="宋体" w:hAnsi="Times New Roman"/>
                <w:color w:val="000000"/>
                <w:sz w:val="16"/>
                <w:szCs w:val="16"/>
              </w:rPr>
              <w:t>15,601 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C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CD"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3FCE" w14:textId="77777777" w:rsidR="00A82082" w:rsidRDefault="00E946F9">
            <w:pPr>
              <w:jc w:val="right"/>
              <w:textAlignment w:val="center"/>
            </w:pPr>
            <w:r>
              <w:rPr>
                <w:rFonts w:ascii="Times New Roman" w:eastAsia="宋体" w:hAnsi="Times New Roman"/>
                <w:color w:val="000000"/>
                <w:sz w:val="16"/>
                <w:szCs w:val="16"/>
              </w:rPr>
              <w:t>10,740 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3FCF" w14:textId="77777777" w:rsidR="00A82082" w:rsidRDefault="00A82082">
            <w:pPr>
              <w:jc w:val="right"/>
              <w:rPr>
                <w:rFonts w:ascii="宋体"/>
              </w:rPr>
            </w:pPr>
          </w:p>
        </w:tc>
      </w:tr>
      <w:tr w:rsidR="00A82082" w14:paraId="7E783FD9" w14:textId="77777777">
        <w:trPr>
          <w:trHeight w:val="220"/>
          <w:jc w:val="center"/>
        </w:trPr>
        <w:tc>
          <w:tcPr>
            <w:tcW w:w="0" w:type="auto"/>
            <w:gridSpan w:val="3"/>
            <w:shd w:val="clear" w:color="auto" w:fill="FFFFFF"/>
            <w:tcMar>
              <w:top w:w="0" w:type="dxa"/>
              <w:left w:w="20" w:type="dxa"/>
              <w:bottom w:w="0" w:type="dxa"/>
              <w:right w:w="20" w:type="dxa"/>
            </w:tcMar>
          </w:tcPr>
          <w:p w14:paraId="7E783FD1" w14:textId="77777777" w:rsidR="00A82082" w:rsidRDefault="00A8208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783FD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D3" w14:textId="77777777" w:rsidR="00A82082" w:rsidRDefault="00A8208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783FD4"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D5" w14:textId="77777777" w:rsidR="00A82082" w:rsidRDefault="00A8208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783FD6"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3FD7" w14:textId="77777777" w:rsidR="00A82082" w:rsidRDefault="00A8208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783FD8" w14:textId="77777777" w:rsidR="00A82082" w:rsidRDefault="00A82082">
            <w:pPr>
              <w:rPr>
                <w:rFonts w:ascii="宋体"/>
              </w:rPr>
            </w:pPr>
          </w:p>
        </w:tc>
      </w:tr>
      <w:tr w:rsidR="00A82082" w14:paraId="7E783FE2" w14:textId="77777777">
        <w:trPr>
          <w:jc w:val="center"/>
        </w:trPr>
        <w:tc>
          <w:tcPr>
            <w:tcW w:w="0" w:type="auto"/>
            <w:gridSpan w:val="3"/>
            <w:shd w:val="clear" w:color="auto" w:fill="CCEEFF"/>
            <w:tcMar>
              <w:top w:w="40" w:type="dxa"/>
              <w:left w:w="20" w:type="dxa"/>
              <w:bottom w:w="40" w:type="dxa"/>
              <w:right w:w="20" w:type="dxa"/>
            </w:tcMar>
            <w:vAlign w:val="center"/>
          </w:tcPr>
          <w:p w14:paraId="7E783FDA" w14:textId="77777777" w:rsidR="00A82082" w:rsidRDefault="00E946F9">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tcPr>
          <w:p w14:paraId="7E783FDB"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DC"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DD"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DE"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DF"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E0"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3FE1" w14:textId="77777777" w:rsidR="00A82082" w:rsidRDefault="00A82082">
            <w:pPr>
              <w:rPr>
                <w:rFonts w:ascii="宋体"/>
              </w:rPr>
            </w:pPr>
          </w:p>
        </w:tc>
      </w:tr>
      <w:tr w:rsidR="00A82082" w14:paraId="7E783FEF" w14:textId="77777777">
        <w:trPr>
          <w:jc w:val="center"/>
        </w:trPr>
        <w:tc>
          <w:tcPr>
            <w:tcW w:w="0" w:type="auto"/>
            <w:gridSpan w:val="3"/>
            <w:shd w:val="clear" w:color="auto" w:fill="FFFFFF"/>
            <w:tcMar>
              <w:top w:w="40" w:type="dxa"/>
              <w:left w:w="380" w:type="dxa"/>
              <w:bottom w:w="40" w:type="dxa"/>
              <w:right w:w="20" w:type="dxa"/>
            </w:tcMar>
            <w:vAlign w:val="center"/>
          </w:tcPr>
          <w:p w14:paraId="7E783FE3" w14:textId="77777777" w:rsidR="00A82082" w:rsidRDefault="00E946F9">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7E783FE4" w14:textId="77777777" w:rsidR="00A82082" w:rsidRDefault="00E946F9">
            <w:pPr>
              <w:jc w:val="right"/>
              <w:textAlignment w:val="center"/>
            </w:pPr>
            <w:r>
              <w:rPr>
                <w:rFonts w:ascii="Times New Roman" w:eastAsia="宋体" w:hAnsi="Times New Roman"/>
                <w:color w:val="000000"/>
                <w:sz w:val="16"/>
                <w:szCs w:val="16"/>
              </w:rPr>
              <w:t>1,262 </w:t>
            </w:r>
          </w:p>
        </w:tc>
        <w:tc>
          <w:tcPr>
            <w:tcW w:w="0" w:type="auto"/>
            <w:shd w:val="clear" w:color="auto" w:fill="FFFFFF"/>
            <w:tcMar>
              <w:top w:w="40" w:type="dxa"/>
              <w:left w:w="0" w:type="dxa"/>
              <w:bottom w:w="40" w:type="dxa"/>
              <w:right w:w="20" w:type="dxa"/>
            </w:tcMar>
            <w:vAlign w:val="center"/>
          </w:tcPr>
          <w:p w14:paraId="7E783FE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E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E7" w14:textId="77777777" w:rsidR="00A82082" w:rsidRDefault="00E946F9">
            <w:pPr>
              <w:jc w:val="right"/>
              <w:textAlignment w:val="center"/>
            </w:pPr>
            <w:r>
              <w:rPr>
                <w:rFonts w:ascii="Times New Roman" w:eastAsia="宋体" w:hAnsi="Times New Roman"/>
                <w:color w:val="000000"/>
                <w:sz w:val="16"/>
                <w:szCs w:val="16"/>
              </w:rPr>
              <w:t>(1,188)</w:t>
            </w:r>
          </w:p>
        </w:tc>
        <w:tc>
          <w:tcPr>
            <w:tcW w:w="0" w:type="auto"/>
            <w:shd w:val="clear" w:color="auto" w:fill="FFFFFF"/>
            <w:tcMar>
              <w:top w:w="40" w:type="dxa"/>
              <w:left w:w="0" w:type="dxa"/>
              <w:bottom w:w="40" w:type="dxa"/>
              <w:right w:w="20" w:type="dxa"/>
            </w:tcMar>
            <w:vAlign w:val="center"/>
          </w:tcPr>
          <w:p w14:paraId="7E783FE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E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EA" w14:textId="77777777" w:rsidR="00A82082" w:rsidRDefault="00E946F9">
            <w:pPr>
              <w:jc w:val="right"/>
              <w:textAlignment w:val="center"/>
            </w:pPr>
            <w:r>
              <w:rPr>
                <w:rFonts w:ascii="Times New Roman" w:eastAsia="宋体" w:hAnsi="Times New Roman"/>
                <w:color w:val="000000"/>
                <w:sz w:val="16"/>
                <w:szCs w:val="16"/>
              </w:rPr>
              <w:t>(2,408)</w:t>
            </w:r>
          </w:p>
        </w:tc>
        <w:tc>
          <w:tcPr>
            <w:tcW w:w="0" w:type="auto"/>
            <w:shd w:val="clear" w:color="auto" w:fill="FFFFFF"/>
            <w:tcMar>
              <w:top w:w="40" w:type="dxa"/>
              <w:left w:w="0" w:type="dxa"/>
              <w:bottom w:w="40" w:type="dxa"/>
              <w:right w:w="20" w:type="dxa"/>
            </w:tcMar>
            <w:vAlign w:val="center"/>
          </w:tcPr>
          <w:p w14:paraId="7E783FE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3FE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3FED" w14:textId="77777777" w:rsidR="00A82082" w:rsidRDefault="00E946F9">
            <w:pPr>
              <w:jc w:val="right"/>
              <w:textAlignment w:val="center"/>
            </w:pPr>
            <w:r>
              <w:rPr>
                <w:rFonts w:ascii="Times New Roman" w:eastAsia="宋体" w:hAnsi="Times New Roman"/>
                <w:color w:val="000000"/>
                <w:sz w:val="16"/>
                <w:szCs w:val="16"/>
              </w:rPr>
              <w:t>(762)</w:t>
            </w:r>
          </w:p>
        </w:tc>
        <w:tc>
          <w:tcPr>
            <w:tcW w:w="0" w:type="auto"/>
            <w:shd w:val="clear" w:color="auto" w:fill="FFFFFF"/>
            <w:tcMar>
              <w:top w:w="40" w:type="dxa"/>
              <w:left w:w="0" w:type="dxa"/>
              <w:bottom w:w="40" w:type="dxa"/>
              <w:right w:w="20" w:type="dxa"/>
            </w:tcMar>
            <w:vAlign w:val="center"/>
          </w:tcPr>
          <w:p w14:paraId="7E783FEE" w14:textId="77777777" w:rsidR="00A82082" w:rsidRDefault="00A82082">
            <w:pPr>
              <w:jc w:val="right"/>
              <w:rPr>
                <w:rFonts w:ascii="宋体"/>
              </w:rPr>
            </w:pPr>
          </w:p>
        </w:tc>
      </w:tr>
      <w:tr w:rsidR="00A82082" w14:paraId="7E783FFC" w14:textId="77777777">
        <w:trPr>
          <w:jc w:val="center"/>
        </w:trPr>
        <w:tc>
          <w:tcPr>
            <w:tcW w:w="0" w:type="auto"/>
            <w:gridSpan w:val="3"/>
            <w:shd w:val="clear" w:color="auto" w:fill="CCEEFF"/>
            <w:tcMar>
              <w:top w:w="40" w:type="dxa"/>
              <w:left w:w="380" w:type="dxa"/>
              <w:bottom w:w="40" w:type="dxa"/>
              <w:right w:w="20" w:type="dxa"/>
            </w:tcMar>
            <w:vAlign w:val="center"/>
          </w:tcPr>
          <w:p w14:paraId="7E783FF0" w14:textId="77777777" w:rsidR="00A82082" w:rsidRDefault="00E946F9">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7E783FF1"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7E783FF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F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F4" w14:textId="77777777" w:rsidR="00A82082" w:rsidRDefault="00E946F9">
            <w:pPr>
              <w:jc w:val="right"/>
              <w:textAlignment w:val="center"/>
            </w:pPr>
            <w:r>
              <w:rPr>
                <w:rFonts w:ascii="Times New Roman" w:eastAsia="宋体" w:hAnsi="Times New Roman"/>
                <w:color w:val="000000"/>
                <w:sz w:val="16"/>
                <w:szCs w:val="16"/>
              </w:rPr>
              <w:t>(113)</w:t>
            </w:r>
          </w:p>
        </w:tc>
        <w:tc>
          <w:tcPr>
            <w:tcW w:w="0" w:type="auto"/>
            <w:shd w:val="clear" w:color="auto" w:fill="CCEEFF"/>
            <w:tcMar>
              <w:top w:w="40" w:type="dxa"/>
              <w:left w:w="0" w:type="dxa"/>
              <w:bottom w:w="40" w:type="dxa"/>
              <w:right w:w="20" w:type="dxa"/>
            </w:tcMar>
            <w:vAlign w:val="center"/>
          </w:tcPr>
          <w:p w14:paraId="7E783FF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F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F7" w14:textId="77777777" w:rsidR="00A82082" w:rsidRDefault="00E946F9">
            <w:pPr>
              <w:jc w:val="right"/>
              <w:textAlignment w:val="center"/>
            </w:pPr>
            <w:r>
              <w:rPr>
                <w:rFonts w:ascii="Times New Roman" w:eastAsia="宋体" w:hAnsi="Times New Roman"/>
                <w:color w:val="000000"/>
                <w:sz w:val="16"/>
                <w:szCs w:val="16"/>
              </w:rPr>
              <w:t>(35)</w:t>
            </w:r>
          </w:p>
        </w:tc>
        <w:tc>
          <w:tcPr>
            <w:tcW w:w="0" w:type="auto"/>
            <w:shd w:val="clear" w:color="auto" w:fill="CCEEFF"/>
            <w:tcMar>
              <w:top w:w="40" w:type="dxa"/>
              <w:left w:w="0" w:type="dxa"/>
              <w:bottom w:w="40" w:type="dxa"/>
              <w:right w:w="20" w:type="dxa"/>
            </w:tcMar>
            <w:vAlign w:val="center"/>
          </w:tcPr>
          <w:p w14:paraId="7E783FF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3FF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3FFA" w14:textId="77777777" w:rsidR="00A82082" w:rsidRDefault="00E946F9">
            <w:pPr>
              <w:jc w:val="right"/>
              <w:textAlignment w:val="center"/>
            </w:pPr>
            <w:r>
              <w:rPr>
                <w:rFonts w:ascii="Times New Roman" w:eastAsia="宋体" w:hAnsi="Times New Roman"/>
                <w:color w:val="000000"/>
                <w:sz w:val="16"/>
                <w:szCs w:val="16"/>
              </w:rPr>
              <w:t>135 </w:t>
            </w:r>
          </w:p>
        </w:tc>
        <w:tc>
          <w:tcPr>
            <w:tcW w:w="0" w:type="auto"/>
            <w:shd w:val="clear" w:color="auto" w:fill="CCEEFF"/>
            <w:tcMar>
              <w:top w:w="40" w:type="dxa"/>
              <w:left w:w="0" w:type="dxa"/>
              <w:bottom w:w="40" w:type="dxa"/>
              <w:right w:w="20" w:type="dxa"/>
            </w:tcMar>
            <w:vAlign w:val="center"/>
          </w:tcPr>
          <w:p w14:paraId="7E783FFB" w14:textId="77777777" w:rsidR="00A82082" w:rsidRDefault="00A82082">
            <w:pPr>
              <w:jc w:val="right"/>
              <w:rPr>
                <w:rFonts w:ascii="宋体"/>
              </w:rPr>
            </w:pPr>
          </w:p>
        </w:tc>
      </w:tr>
      <w:tr w:rsidR="00A82082" w14:paraId="7E784009" w14:textId="77777777">
        <w:trPr>
          <w:jc w:val="center"/>
        </w:trPr>
        <w:tc>
          <w:tcPr>
            <w:tcW w:w="0" w:type="auto"/>
            <w:gridSpan w:val="3"/>
            <w:shd w:val="clear" w:color="auto" w:fill="FFFFFF"/>
            <w:tcMar>
              <w:top w:w="40" w:type="dxa"/>
              <w:left w:w="380" w:type="dxa"/>
              <w:bottom w:w="40" w:type="dxa"/>
              <w:right w:w="20" w:type="dxa"/>
            </w:tcMar>
            <w:vAlign w:val="center"/>
          </w:tcPr>
          <w:p w14:paraId="7E783FFD" w14:textId="77777777" w:rsidR="00A82082" w:rsidRDefault="00E946F9">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7E783FF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3FF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0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01" w14:textId="77777777" w:rsidR="00A82082" w:rsidRDefault="00E946F9">
            <w:pPr>
              <w:jc w:val="right"/>
              <w:textAlignment w:val="center"/>
            </w:pPr>
            <w:r>
              <w:rPr>
                <w:rFonts w:ascii="Times New Roman" w:eastAsia="宋体" w:hAnsi="Times New Roman"/>
                <w:color w:val="000000"/>
                <w:sz w:val="16"/>
                <w:szCs w:val="16"/>
              </w:rPr>
              <w:t>(12)</w:t>
            </w:r>
          </w:p>
        </w:tc>
        <w:tc>
          <w:tcPr>
            <w:tcW w:w="0" w:type="auto"/>
            <w:shd w:val="clear" w:color="auto" w:fill="FFFFFF"/>
            <w:tcMar>
              <w:top w:w="40" w:type="dxa"/>
              <w:left w:w="0" w:type="dxa"/>
              <w:bottom w:w="40" w:type="dxa"/>
              <w:right w:w="20" w:type="dxa"/>
            </w:tcMar>
            <w:vAlign w:val="center"/>
          </w:tcPr>
          <w:p w14:paraId="7E78400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0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04" w14:textId="77777777" w:rsidR="00A82082" w:rsidRDefault="00E946F9">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7E78400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0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07" w14:textId="77777777" w:rsidR="00A82082" w:rsidRDefault="00E946F9">
            <w:pPr>
              <w:jc w:val="right"/>
              <w:textAlignment w:val="center"/>
            </w:pPr>
            <w:r>
              <w:rPr>
                <w:rFonts w:ascii="Times New Roman" w:eastAsia="宋体" w:hAnsi="Times New Roman"/>
                <w:color w:val="000000"/>
                <w:sz w:val="16"/>
                <w:szCs w:val="16"/>
              </w:rPr>
              <w:t>(301)</w:t>
            </w:r>
          </w:p>
        </w:tc>
        <w:tc>
          <w:tcPr>
            <w:tcW w:w="0" w:type="auto"/>
            <w:shd w:val="clear" w:color="auto" w:fill="FFFFFF"/>
            <w:tcMar>
              <w:top w:w="40" w:type="dxa"/>
              <w:left w:w="0" w:type="dxa"/>
              <w:bottom w:w="40" w:type="dxa"/>
              <w:right w:w="20" w:type="dxa"/>
            </w:tcMar>
            <w:vAlign w:val="center"/>
          </w:tcPr>
          <w:p w14:paraId="7E784008" w14:textId="77777777" w:rsidR="00A82082" w:rsidRDefault="00A82082">
            <w:pPr>
              <w:jc w:val="right"/>
              <w:rPr>
                <w:rFonts w:ascii="宋体"/>
              </w:rPr>
            </w:pPr>
          </w:p>
        </w:tc>
      </w:tr>
      <w:tr w:rsidR="00A82082" w14:paraId="7E784016" w14:textId="77777777">
        <w:trPr>
          <w:jc w:val="center"/>
        </w:trPr>
        <w:tc>
          <w:tcPr>
            <w:tcW w:w="0" w:type="auto"/>
            <w:gridSpan w:val="3"/>
            <w:shd w:val="clear" w:color="auto" w:fill="CCEEFF"/>
            <w:tcMar>
              <w:top w:w="40" w:type="dxa"/>
              <w:left w:w="380" w:type="dxa"/>
              <w:bottom w:w="40" w:type="dxa"/>
              <w:right w:w="20" w:type="dxa"/>
            </w:tcMar>
            <w:vAlign w:val="center"/>
          </w:tcPr>
          <w:p w14:paraId="7E78400A" w14:textId="77777777" w:rsidR="00A82082" w:rsidRDefault="00E946F9">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7E78400B" w14:textId="77777777" w:rsidR="00A82082" w:rsidRDefault="00E946F9">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7E78400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0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0E" w14:textId="77777777" w:rsidR="00A82082" w:rsidRDefault="00E946F9">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7E78400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1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11" w14:textId="77777777" w:rsidR="00A82082" w:rsidRDefault="00E946F9">
            <w:pPr>
              <w:jc w:val="right"/>
              <w:textAlignment w:val="center"/>
            </w:pPr>
            <w:r>
              <w:rPr>
                <w:rFonts w:ascii="Times New Roman" w:eastAsia="宋体" w:hAnsi="Times New Roman"/>
                <w:color w:val="000000"/>
                <w:sz w:val="16"/>
                <w:szCs w:val="16"/>
              </w:rPr>
              <w:t>47 </w:t>
            </w:r>
          </w:p>
        </w:tc>
        <w:tc>
          <w:tcPr>
            <w:tcW w:w="0" w:type="auto"/>
            <w:shd w:val="clear" w:color="auto" w:fill="CCEEFF"/>
            <w:tcMar>
              <w:top w:w="40" w:type="dxa"/>
              <w:left w:w="0" w:type="dxa"/>
              <w:bottom w:w="40" w:type="dxa"/>
              <w:right w:w="20" w:type="dxa"/>
            </w:tcMar>
            <w:vAlign w:val="center"/>
          </w:tcPr>
          <w:p w14:paraId="7E78401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1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14"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7E784015" w14:textId="77777777" w:rsidR="00A82082" w:rsidRDefault="00A82082">
            <w:pPr>
              <w:jc w:val="right"/>
              <w:rPr>
                <w:rFonts w:ascii="宋体"/>
              </w:rPr>
            </w:pPr>
          </w:p>
        </w:tc>
      </w:tr>
      <w:tr w:rsidR="00A82082" w14:paraId="7E78401F" w14:textId="77777777">
        <w:trPr>
          <w:jc w:val="center"/>
          <w:hidden/>
        </w:trPr>
        <w:tc>
          <w:tcPr>
            <w:tcW w:w="0" w:type="auto"/>
            <w:gridSpan w:val="3"/>
            <w:shd w:val="clear" w:color="auto" w:fill="auto"/>
          </w:tcPr>
          <w:p w14:paraId="7E784017" w14:textId="77777777" w:rsidR="00A82082" w:rsidRDefault="00A82082">
            <w:pPr>
              <w:rPr>
                <w:rFonts w:ascii="宋体"/>
                <w:vanish/>
              </w:rPr>
            </w:pPr>
          </w:p>
        </w:tc>
        <w:tc>
          <w:tcPr>
            <w:tcW w:w="0" w:type="auto"/>
            <w:gridSpan w:val="3"/>
            <w:shd w:val="clear" w:color="auto" w:fill="auto"/>
          </w:tcPr>
          <w:p w14:paraId="7E784018" w14:textId="77777777" w:rsidR="00A82082" w:rsidRDefault="00A82082">
            <w:pPr>
              <w:rPr>
                <w:rFonts w:ascii="宋体"/>
                <w:vanish/>
              </w:rPr>
            </w:pPr>
          </w:p>
        </w:tc>
        <w:tc>
          <w:tcPr>
            <w:tcW w:w="0" w:type="auto"/>
            <w:gridSpan w:val="3"/>
            <w:shd w:val="clear" w:color="auto" w:fill="auto"/>
          </w:tcPr>
          <w:p w14:paraId="7E784019" w14:textId="77777777" w:rsidR="00A82082" w:rsidRDefault="00A82082">
            <w:pPr>
              <w:rPr>
                <w:rFonts w:ascii="宋体"/>
                <w:vanish/>
              </w:rPr>
            </w:pPr>
          </w:p>
        </w:tc>
        <w:tc>
          <w:tcPr>
            <w:tcW w:w="0" w:type="auto"/>
            <w:gridSpan w:val="3"/>
            <w:shd w:val="clear" w:color="auto" w:fill="auto"/>
          </w:tcPr>
          <w:p w14:paraId="7E78401A" w14:textId="77777777" w:rsidR="00A82082" w:rsidRDefault="00A82082">
            <w:pPr>
              <w:rPr>
                <w:rFonts w:ascii="宋体"/>
                <w:vanish/>
              </w:rPr>
            </w:pPr>
          </w:p>
        </w:tc>
        <w:tc>
          <w:tcPr>
            <w:tcW w:w="0" w:type="auto"/>
            <w:gridSpan w:val="3"/>
            <w:shd w:val="clear" w:color="auto" w:fill="auto"/>
          </w:tcPr>
          <w:p w14:paraId="7E78401B" w14:textId="77777777" w:rsidR="00A82082" w:rsidRDefault="00A82082">
            <w:pPr>
              <w:rPr>
                <w:rFonts w:ascii="宋体"/>
                <w:vanish/>
              </w:rPr>
            </w:pPr>
          </w:p>
        </w:tc>
        <w:tc>
          <w:tcPr>
            <w:tcW w:w="0" w:type="auto"/>
            <w:gridSpan w:val="3"/>
            <w:shd w:val="clear" w:color="auto" w:fill="auto"/>
          </w:tcPr>
          <w:p w14:paraId="7E78401C" w14:textId="77777777" w:rsidR="00A82082" w:rsidRDefault="00A82082">
            <w:pPr>
              <w:rPr>
                <w:rFonts w:ascii="宋体"/>
                <w:vanish/>
              </w:rPr>
            </w:pPr>
          </w:p>
        </w:tc>
        <w:tc>
          <w:tcPr>
            <w:tcW w:w="0" w:type="auto"/>
            <w:gridSpan w:val="3"/>
            <w:shd w:val="clear" w:color="auto" w:fill="auto"/>
          </w:tcPr>
          <w:p w14:paraId="7E78401D" w14:textId="77777777" w:rsidR="00A82082" w:rsidRDefault="00A82082">
            <w:pPr>
              <w:rPr>
                <w:rFonts w:ascii="宋体"/>
                <w:vanish/>
              </w:rPr>
            </w:pPr>
          </w:p>
        </w:tc>
        <w:tc>
          <w:tcPr>
            <w:tcW w:w="0" w:type="auto"/>
            <w:gridSpan w:val="3"/>
            <w:shd w:val="clear" w:color="auto" w:fill="auto"/>
          </w:tcPr>
          <w:p w14:paraId="7E78401E" w14:textId="77777777" w:rsidR="00A82082" w:rsidRDefault="00A82082">
            <w:pPr>
              <w:rPr>
                <w:rFonts w:ascii="宋体"/>
                <w:vanish/>
              </w:rPr>
            </w:pPr>
          </w:p>
        </w:tc>
      </w:tr>
      <w:tr w:rsidR="00A82082" w14:paraId="7E78402C" w14:textId="77777777">
        <w:trPr>
          <w:jc w:val="center"/>
        </w:trPr>
        <w:tc>
          <w:tcPr>
            <w:tcW w:w="0" w:type="auto"/>
            <w:gridSpan w:val="3"/>
            <w:shd w:val="clear" w:color="auto" w:fill="FFFFFF"/>
            <w:tcMar>
              <w:top w:w="40" w:type="dxa"/>
              <w:left w:w="20" w:type="dxa"/>
              <w:bottom w:w="40" w:type="dxa"/>
              <w:right w:w="20" w:type="dxa"/>
            </w:tcMar>
            <w:vAlign w:val="center"/>
          </w:tcPr>
          <w:p w14:paraId="7E784020" w14:textId="77777777" w:rsidR="00A82082" w:rsidRDefault="00E946F9">
            <w:pPr>
              <w:textAlignment w:val="center"/>
            </w:pPr>
            <w:r>
              <w:rPr>
                <w:rFonts w:ascii="Times New Roman" w:eastAsia="宋体" w:hAnsi="Times New Roman"/>
                <w:color w:val="000000"/>
                <w:sz w:val="16"/>
                <w:szCs w:val="16"/>
              </w:rPr>
              <w:t>Other comprehensive income (loss),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21" w14:textId="77777777" w:rsidR="00A82082" w:rsidRDefault="00E946F9">
            <w:pPr>
              <w:jc w:val="right"/>
              <w:textAlignment w:val="center"/>
            </w:pPr>
            <w:r>
              <w:rPr>
                <w:rFonts w:ascii="Times New Roman" w:eastAsia="宋体" w:hAnsi="Times New Roman"/>
                <w:color w:val="000000"/>
                <w:sz w:val="16"/>
                <w:szCs w:val="16"/>
              </w:rPr>
              <w:t>1,277 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2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23"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24" w14:textId="77777777" w:rsidR="00A82082" w:rsidRDefault="00E946F9">
            <w:pPr>
              <w:jc w:val="right"/>
              <w:textAlignment w:val="center"/>
            </w:pPr>
            <w:r>
              <w:rPr>
                <w:rFonts w:ascii="Times New Roman" w:eastAsia="宋体" w:hAnsi="Times New Roman"/>
                <w:color w:val="000000"/>
                <w:sz w:val="16"/>
                <w:szCs w:val="16"/>
              </w:rPr>
              <w:t>(1,305)</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2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26"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27" w14:textId="77777777" w:rsidR="00A82082" w:rsidRDefault="00E946F9">
            <w:pPr>
              <w:jc w:val="right"/>
              <w:textAlignment w:val="center"/>
            </w:pPr>
            <w:r>
              <w:rPr>
                <w:rFonts w:ascii="Times New Roman" w:eastAsia="宋体" w:hAnsi="Times New Roman"/>
                <w:color w:val="000000"/>
                <w:sz w:val="16"/>
                <w:szCs w:val="16"/>
              </w:rPr>
              <w:t>(2,362)</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2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29"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2A" w14:textId="77777777" w:rsidR="00A82082" w:rsidRDefault="00E946F9">
            <w:pPr>
              <w:jc w:val="right"/>
              <w:textAlignment w:val="center"/>
            </w:pPr>
            <w:r>
              <w:rPr>
                <w:rFonts w:ascii="Times New Roman" w:eastAsia="宋体" w:hAnsi="Times New Roman"/>
                <w:color w:val="000000"/>
                <w:sz w:val="16"/>
                <w:szCs w:val="16"/>
              </w:rPr>
              <w:t>(915)</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2B" w14:textId="77777777" w:rsidR="00A82082" w:rsidRDefault="00A82082">
            <w:pPr>
              <w:jc w:val="right"/>
              <w:rPr>
                <w:rFonts w:ascii="宋体"/>
              </w:rPr>
            </w:pPr>
          </w:p>
        </w:tc>
      </w:tr>
      <w:tr w:rsidR="00A82082" w14:paraId="7E784039" w14:textId="77777777">
        <w:trPr>
          <w:jc w:val="center"/>
        </w:trPr>
        <w:tc>
          <w:tcPr>
            <w:tcW w:w="0" w:type="auto"/>
            <w:gridSpan w:val="3"/>
            <w:shd w:val="clear" w:color="auto" w:fill="CCEEFF"/>
            <w:tcMar>
              <w:top w:w="40" w:type="dxa"/>
              <w:left w:w="380" w:type="dxa"/>
              <w:bottom w:w="40" w:type="dxa"/>
              <w:right w:w="20" w:type="dxa"/>
            </w:tcMar>
            <w:vAlign w:val="center"/>
          </w:tcPr>
          <w:p w14:paraId="7E78402D" w14:textId="77777777" w:rsidR="00A82082" w:rsidRDefault="00E946F9">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7E78402E" w14:textId="77777777" w:rsidR="00A82082" w:rsidRDefault="00E946F9">
            <w:pPr>
              <w:jc w:val="right"/>
              <w:textAlignment w:val="center"/>
            </w:pPr>
            <w:r>
              <w:rPr>
                <w:rFonts w:ascii="Times New Roman" w:eastAsia="宋体" w:hAnsi="Times New Roman"/>
                <w:color w:val="000000"/>
                <w:sz w:val="16"/>
                <w:szCs w:val="16"/>
              </w:rPr>
              <w:t>(109)</w:t>
            </w:r>
          </w:p>
        </w:tc>
        <w:tc>
          <w:tcPr>
            <w:tcW w:w="0" w:type="auto"/>
            <w:shd w:val="clear" w:color="auto" w:fill="CCEEFF"/>
            <w:tcMar>
              <w:top w:w="40" w:type="dxa"/>
              <w:left w:w="0" w:type="dxa"/>
              <w:bottom w:w="40" w:type="dxa"/>
              <w:right w:w="20" w:type="dxa"/>
            </w:tcMar>
            <w:vAlign w:val="center"/>
          </w:tcPr>
          <w:p w14:paraId="7E78402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3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31" w14:textId="77777777" w:rsidR="00A82082" w:rsidRDefault="00E946F9">
            <w:pPr>
              <w:jc w:val="right"/>
              <w:textAlignment w:val="center"/>
            </w:pPr>
            <w:r>
              <w:rPr>
                <w:rFonts w:ascii="Times New Roman" w:eastAsia="宋体" w:hAnsi="Times New Roman"/>
                <w:color w:val="000000"/>
                <w:sz w:val="16"/>
                <w:szCs w:val="16"/>
              </w:rPr>
              <w:t>193 </w:t>
            </w:r>
          </w:p>
        </w:tc>
        <w:tc>
          <w:tcPr>
            <w:tcW w:w="0" w:type="auto"/>
            <w:shd w:val="clear" w:color="auto" w:fill="CCEEFF"/>
            <w:tcMar>
              <w:top w:w="40" w:type="dxa"/>
              <w:left w:w="0" w:type="dxa"/>
              <w:bottom w:w="40" w:type="dxa"/>
              <w:right w:w="20" w:type="dxa"/>
            </w:tcMar>
            <w:vAlign w:val="center"/>
          </w:tcPr>
          <w:p w14:paraId="7E78403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3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34" w14:textId="77777777" w:rsidR="00A82082" w:rsidRDefault="00E946F9">
            <w:pPr>
              <w:jc w:val="right"/>
              <w:textAlignment w:val="center"/>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center"/>
          </w:tcPr>
          <w:p w14:paraId="7E78403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3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37" w14:textId="77777777" w:rsidR="00A82082" w:rsidRDefault="00E946F9">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7E784038" w14:textId="77777777" w:rsidR="00A82082" w:rsidRDefault="00A82082">
            <w:pPr>
              <w:jc w:val="right"/>
              <w:rPr>
                <w:rFonts w:ascii="宋体"/>
              </w:rPr>
            </w:pPr>
          </w:p>
        </w:tc>
      </w:tr>
      <w:tr w:rsidR="00A82082" w14:paraId="7E784042" w14:textId="77777777">
        <w:trPr>
          <w:jc w:val="center"/>
          <w:hidden/>
        </w:trPr>
        <w:tc>
          <w:tcPr>
            <w:tcW w:w="0" w:type="auto"/>
            <w:gridSpan w:val="3"/>
            <w:shd w:val="clear" w:color="auto" w:fill="auto"/>
          </w:tcPr>
          <w:p w14:paraId="7E78403A" w14:textId="77777777" w:rsidR="00A82082" w:rsidRDefault="00A82082">
            <w:pPr>
              <w:rPr>
                <w:rFonts w:ascii="宋体"/>
                <w:vanish/>
              </w:rPr>
            </w:pPr>
          </w:p>
        </w:tc>
        <w:tc>
          <w:tcPr>
            <w:tcW w:w="0" w:type="auto"/>
            <w:gridSpan w:val="3"/>
            <w:shd w:val="clear" w:color="auto" w:fill="auto"/>
          </w:tcPr>
          <w:p w14:paraId="7E78403B" w14:textId="77777777" w:rsidR="00A82082" w:rsidRDefault="00A82082">
            <w:pPr>
              <w:rPr>
                <w:rFonts w:ascii="宋体"/>
                <w:vanish/>
              </w:rPr>
            </w:pPr>
          </w:p>
        </w:tc>
        <w:tc>
          <w:tcPr>
            <w:tcW w:w="0" w:type="auto"/>
            <w:gridSpan w:val="3"/>
            <w:shd w:val="clear" w:color="auto" w:fill="auto"/>
          </w:tcPr>
          <w:p w14:paraId="7E78403C" w14:textId="77777777" w:rsidR="00A82082" w:rsidRDefault="00A82082">
            <w:pPr>
              <w:rPr>
                <w:rFonts w:ascii="宋体"/>
                <w:vanish/>
              </w:rPr>
            </w:pPr>
          </w:p>
        </w:tc>
        <w:tc>
          <w:tcPr>
            <w:tcW w:w="0" w:type="auto"/>
            <w:gridSpan w:val="3"/>
            <w:shd w:val="clear" w:color="auto" w:fill="auto"/>
          </w:tcPr>
          <w:p w14:paraId="7E78403D" w14:textId="77777777" w:rsidR="00A82082" w:rsidRDefault="00A82082">
            <w:pPr>
              <w:rPr>
                <w:rFonts w:ascii="宋体"/>
                <w:vanish/>
              </w:rPr>
            </w:pPr>
          </w:p>
        </w:tc>
        <w:tc>
          <w:tcPr>
            <w:tcW w:w="0" w:type="auto"/>
            <w:gridSpan w:val="3"/>
            <w:shd w:val="clear" w:color="auto" w:fill="auto"/>
          </w:tcPr>
          <w:p w14:paraId="7E78403E" w14:textId="77777777" w:rsidR="00A82082" w:rsidRDefault="00A82082">
            <w:pPr>
              <w:rPr>
                <w:rFonts w:ascii="宋体"/>
                <w:vanish/>
              </w:rPr>
            </w:pPr>
          </w:p>
        </w:tc>
        <w:tc>
          <w:tcPr>
            <w:tcW w:w="0" w:type="auto"/>
            <w:gridSpan w:val="3"/>
            <w:shd w:val="clear" w:color="auto" w:fill="auto"/>
          </w:tcPr>
          <w:p w14:paraId="7E78403F" w14:textId="77777777" w:rsidR="00A82082" w:rsidRDefault="00A82082">
            <w:pPr>
              <w:rPr>
                <w:rFonts w:ascii="宋体"/>
                <w:vanish/>
              </w:rPr>
            </w:pPr>
          </w:p>
        </w:tc>
        <w:tc>
          <w:tcPr>
            <w:tcW w:w="0" w:type="auto"/>
            <w:gridSpan w:val="3"/>
            <w:shd w:val="clear" w:color="auto" w:fill="auto"/>
          </w:tcPr>
          <w:p w14:paraId="7E784040" w14:textId="77777777" w:rsidR="00A82082" w:rsidRDefault="00A82082">
            <w:pPr>
              <w:rPr>
                <w:rFonts w:ascii="宋体"/>
                <w:vanish/>
              </w:rPr>
            </w:pPr>
          </w:p>
        </w:tc>
        <w:tc>
          <w:tcPr>
            <w:tcW w:w="0" w:type="auto"/>
            <w:gridSpan w:val="3"/>
            <w:shd w:val="clear" w:color="auto" w:fill="auto"/>
          </w:tcPr>
          <w:p w14:paraId="7E784041" w14:textId="77777777" w:rsidR="00A82082" w:rsidRDefault="00A82082">
            <w:pPr>
              <w:rPr>
                <w:rFonts w:ascii="宋体"/>
                <w:vanish/>
              </w:rPr>
            </w:pPr>
          </w:p>
        </w:tc>
      </w:tr>
      <w:tr w:rsidR="00A82082" w14:paraId="7E78404F" w14:textId="77777777">
        <w:trPr>
          <w:jc w:val="center"/>
        </w:trPr>
        <w:tc>
          <w:tcPr>
            <w:tcW w:w="0" w:type="auto"/>
            <w:gridSpan w:val="3"/>
            <w:shd w:val="clear" w:color="auto" w:fill="FFFFFF"/>
            <w:tcMar>
              <w:top w:w="40" w:type="dxa"/>
              <w:left w:w="20" w:type="dxa"/>
              <w:bottom w:w="40" w:type="dxa"/>
              <w:right w:w="20" w:type="dxa"/>
            </w:tcMar>
            <w:vAlign w:val="center"/>
          </w:tcPr>
          <w:p w14:paraId="7E784043" w14:textId="77777777" w:rsidR="00A82082" w:rsidRDefault="00E946F9">
            <w:pPr>
              <w:textAlignment w:val="center"/>
            </w:pPr>
            <w:r>
              <w:rPr>
                <w:rFonts w:ascii="Times New Roman" w:eastAsia="宋体" w:hAnsi="Times New Roman"/>
                <w:b/>
                <w:bCs/>
                <w:color w:val="000000"/>
                <w:sz w:val="16"/>
                <w:szCs w:val="16"/>
              </w:rPr>
              <w:t>Other comprehensive income (loss) attributable to Walmart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44" w14:textId="77777777" w:rsidR="00A82082" w:rsidRDefault="00E946F9">
            <w:pPr>
              <w:jc w:val="right"/>
              <w:textAlignment w:val="center"/>
            </w:pPr>
            <w:r>
              <w:rPr>
                <w:rFonts w:ascii="Times New Roman" w:eastAsia="宋体" w:hAnsi="Times New Roman"/>
                <w:color w:val="000000"/>
                <w:sz w:val="16"/>
                <w:szCs w:val="16"/>
              </w:rPr>
              <w:t>1,168 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4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46"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47" w14:textId="77777777" w:rsidR="00A82082" w:rsidRDefault="00E946F9">
            <w:pPr>
              <w:jc w:val="right"/>
              <w:textAlignment w:val="center"/>
            </w:pPr>
            <w:r>
              <w:rPr>
                <w:rFonts w:ascii="Times New Roman" w:eastAsia="宋体" w:hAnsi="Times New Roman"/>
                <w:color w:val="000000"/>
                <w:sz w:val="16"/>
                <w:szCs w:val="16"/>
              </w:rPr>
              <w:t>(1,112)</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4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49"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4A" w14:textId="77777777" w:rsidR="00A82082" w:rsidRDefault="00E946F9">
            <w:pPr>
              <w:jc w:val="right"/>
              <w:textAlignment w:val="center"/>
            </w:pPr>
            <w:r>
              <w:rPr>
                <w:rFonts w:ascii="Times New Roman" w:eastAsia="宋体" w:hAnsi="Times New Roman"/>
                <w:color w:val="000000"/>
                <w:sz w:val="16"/>
                <w:szCs w:val="16"/>
              </w:rPr>
              <w:t>(1,811)</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4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4C"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04D" w14:textId="77777777" w:rsidR="00A82082" w:rsidRDefault="00E946F9">
            <w:pPr>
              <w:jc w:val="right"/>
              <w:textAlignment w:val="center"/>
            </w:pPr>
            <w:r>
              <w:rPr>
                <w:rFonts w:ascii="Times New Roman" w:eastAsia="宋体" w:hAnsi="Times New Roman"/>
                <w:color w:val="000000"/>
                <w:sz w:val="16"/>
                <w:szCs w:val="16"/>
              </w:rPr>
              <w:t>(840)</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04E" w14:textId="77777777" w:rsidR="00A82082" w:rsidRDefault="00A82082">
            <w:pPr>
              <w:jc w:val="right"/>
              <w:rPr>
                <w:rFonts w:ascii="宋体"/>
              </w:rPr>
            </w:pPr>
          </w:p>
        </w:tc>
      </w:tr>
      <w:tr w:rsidR="00A82082" w14:paraId="7E784058" w14:textId="77777777">
        <w:trPr>
          <w:trHeight w:val="220"/>
          <w:jc w:val="center"/>
        </w:trPr>
        <w:tc>
          <w:tcPr>
            <w:tcW w:w="0" w:type="auto"/>
            <w:gridSpan w:val="3"/>
            <w:shd w:val="clear" w:color="auto" w:fill="CCEEFF"/>
            <w:tcMar>
              <w:top w:w="0" w:type="dxa"/>
              <w:left w:w="20" w:type="dxa"/>
              <w:bottom w:w="0" w:type="dxa"/>
              <w:right w:w="20" w:type="dxa"/>
            </w:tcMar>
          </w:tcPr>
          <w:p w14:paraId="7E784050"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05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052"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05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054"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05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056"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057" w14:textId="77777777" w:rsidR="00A82082" w:rsidRDefault="00A82082">
            <w:pPr>
              <w:rPr>
                <w:rFonts w:ascii="宋体"/>
              </w:rPr>
            </w:pPr>
          </w:p>
        </w:tc>
      </w:tr>
      <w:tr w:rsidR="00A82082" w14:paraId="7E784065" w14:textId="77777777">
        <w:trPr>
          <w:jc w:val="center"/>
        </w:trPr>
        <w:tc>
          <w:tcPr>
            <w:tcW w:w="0" w:type="auto"/>
            <w:gridSpan w:val="3"/>
            <w:shd w:val="clear" w:color="auto" w:fill="FFFFFF"/>
            <w:tcMar>
              <w:top w:w="40" w:type="dxa"/>
              <w:left w:w="20" w:type="dxa"/>
              <w:bottom w:w="40" w:type="dxa"/>
              <w:right w:w="20" w:type="dxa"/>
            </w:tcMar>
            <w:vAlign w:val="center"/>
          </w:tcPr>
          <w:p w14:paraId="7E784059" w14:textId="77777777" w:rsidR="00A82082" w:rsidRDefault="00E946F9">
            <w:pPr>
              <w:textAlignment w:val="center"/>
            </w:pPr>
            <w:r>
              <w:rPr>
                <w:rFonts w:ascii="Times New Roman" w:eastAsia="宋体" w:hAnsi="Times New Roman"/>
                <w:color w:val="000000"/>
                <w:sz w:val="16"/>
                <w:szCs w:val="16"/>
              </w:rPr>
              <w:t>Comprehensive income, net of income taxes</w:t>
            </w:r>
          </w:p>
        </w:tc>
        <w:tc>
          <w:tcPr>
            <w:tcW w:w="0" w:type="auto"/>
            <w:gridSpan w:val="2"/>
            <w:shd w:val="clear" w:color="auto" w:fill="FFFFFF"/>
            <w:tcMar>
              <w:top w:w="40" w:type="dxa"/>
              <w:left w:w="20" w:type="dxa"/>
              <w:bottom w:w="40" w:type="dxa"/>
              <w:right w:w="0" w:type="dxa"/>
            </w:tcMar>
            <w:vAlign w:val="center"/>
          </w:tcPr>
          <w:p w14:paraId="7E78405A" w14:textId="77777777" w:rsidR="00A82082" w:rsidRDefault="00E946F9">
            <w:pPr>
              <w:jc w:val="right"/>
              <w:textAlignment w:val="center"/>
            </w:pPr>
            <w:r>
              <w:rPr>
                <w:rFonts w:ascii="Times New Roman" w:eastAsia="宋体" w:hAnsi="Times New Roman"/>
                <w:color w:val="000000"/>
                <w:sz w:val="16"/>
                <w:szCs w:val="16"/>
              </w:rPr>
              <w:t>6,478 </w:t>
            </w:r>
          </w:p>
        </w:tc>
        <w:tc>
          <w:tcPr>
            <w:tcW w:w="0" w:type="auto"/>
            <w:shd w:val="clear" w:color="auto" w:fill="FFFFFF"/>
            <w:tcMar>
              <w:top w:w="40" w:type="dxa"/>
              <w:left w:w="0" w:type="dxa"/>
              <w:bottom w:w="40" w:type="dxa"/>
              <w:right w:w="20" w:type="dxa"/>
            </w:tcMar>
            <w:vAlign w:val="center"/>
          </w:tcPr>
          <w:p w14:paraId="7E78405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5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5D" w14:textId="77777777" w:rsidR="00A82082" w:rsidRDefault="00E946F9">
            <w:pPr>
              <w:jc w:val="right"/>
              <w:textAlignment w:val="center"/>
            </w:pPr>
            <w:r>
              <w:rPr>
                <w:rFonts w:ascii="Times New Roman" w:eastAsia="宋体" w:hAnsi="Times New Roman"/>
                <w:color w:val="000000"/>
                <w:sz w:val="16"/>
                <w:szCs w:val="16"/>
              </w:rPr>
              <w:t>2,016 </w:t>
            </w:r>
          </w:p>
        </w:tc>
        <w:tc>
          <w:tcPr>
            <w:tcW w:w="0" w:type="auto"/>
            <w:shd w:val="clear" w:color="auto" w:fill="FFFFFF"/>
            <w:tcMar>
              <w:top w:w="40" w:type="dxa"/>
              <w:left w:w="0" w:type="dxa"/>
              <w:bottom w:w="40" w:type="dxa"/>
              <w:right w:w="20" w:type="dxa"/>
            </w:tcMar>
            <w:vAlign w:val="center"/>
          </w:tcPr>
          <w:p w14:paraId="7E78405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5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60" w14:textId="77777777" w:rsidR="00A82082" w:rsidRDefault="00E946F9">
            <w:pPr>
              <w:jc w:val="right"/>
              <w:textAlignment w:val="center"/>
            </w:pPr>
            <w:r>
              <w:rPr>
                <w:rFonts w:ascii="Times New Roman" w:eastAsia="宋体" w:hAnsi="Times New Roman"/>
                <w:color w:val="000000"/>
                <w:sz w:val="16"/>
                <w:szCs w:val="16"/>
              </w:rPr>
              <w:t>13,352 </w:t>
            </w:r>
          </w:p>
        </w:tc>
        <w:tc>
          <w:tcPr>
            <w:tcW w:w="0" w:type="auto"/>
            <w:shd w:val="clear" w:color="auto" w:fill="FFFFFF"/>
            <w:tcMar>
              <w:top w:w="40" w:type="dxa"/>
              <w:left w:w="0" w:type="dxa"/>
              <w:bottom w:w="40" w:type="dxa"/>
              <w:right w:w="20" w:type="dxa"/>
            </w:tcMar>
            <w:vAlign w:val="center"/>
          </w:tcPr>
          <w:p w14:paraId="7E78406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6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63" w14:textId="77777777" w:rsidR="00A82082" w:rsidRDefault="00E946F9">
            <w:pPr>
              <w:jc w:val="right"/>
              <w:textAlignment w:val="center"/>
            </w:pPr>
            <w:r>
              <w:rPr>
                <w:rFonts w:ascii="Times New Roman" w:eastAsia="宋体" w:hAnsi="Times New Roman"/>
                <w:color w:val="000000"/>
                <w:sz w:val="16"/>
                <w:szCs w:val="16"/>
              </w:rPr>
              <w:t>9,992 </w:t>
            </w:r>
          </w:p>
        </w:tc>
        <w:tc>
          <w:tcPr>
            <w:tcW w:w="0" w:type="auto"/>
            <w:shd w:val="clear" w:color="auto" w:fill="FFFFFF"/>
            <w:tcMar>
              <w:top w:w="40" w:type="dxa"/>
              <w:left w:w="0" w:type="dxa"/>
              <w:bottom w:w="40" w:type="dxa"/>
              <w:right w:w="20" w:type="dxa"/>
            </w:tcMar>
            <w:vAlign w:val="center"/>
          </w:tcPr>
          <w:p w14:paraId="7E784064" w14:textId="77777777" w:rsidR="00A82082" w:rsidRDefault="00A82082">
            <w:pPr>
              <w:jc w:val="right"/>
              <w:rPr>
                <w:rFonts w:ascii="宋体"/>
              </w:rPr>
            </w:pPr>
          </w:p>
        </w:tc>
      </w:tr>
      <w:tr w:rsidR="00A82082" w14:paraId="7E784072" w14:textId="77777777">
        <w:trPr>
          <w:jc w:val="center"/>
        </w:trPr>
        <w:tc>
          <w:tcPr>
            <w:tcW w:w="0" w:type="auto"/>
            <w:gridSpan w:val="3"/>
            <w:shd w:val="clear" w:color="auto" w:fill="CCEEFF"/>
            <w:tcMar>
              <w:top w:w="40" w:type="dxa"/>
              <w:left w:w="380" w:type="dxa"/>
              <w:bottom w:w="40" w:type="dxa"/>
              <w:right w:w="20" w:type="dxa"/>
            </w:tcMar>
            <w:vAlign w:val="center"/>
          </w:tcPr>
          <w:p w14:paraId="7E784066" w14:textId="77777777" w:rsidR="00A82082" w:rsidRDefault="00E946F9">
            <w:pPr>
              <w:textAlignment w:val="center"/>
            </w:pPr>
            <w:r>
              <w:rPr>
                <w:rFonts w:ascii="Times New Roman" w:eastAsia="宋体" w:hAnsi="Times New Roman"/>
                <w:color w:val="000000"/>
                <w:sz w:val="16"/>
                <w:szCs w:val="16"/>
              </w:rPr>
              <w:t>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7E784067" w14:textId="77777777" w:rsidR="00A82082" w:rsidRDefault="00E946F9">
            <w:pPr>
              <w:jc w:val="right"/>
              <w:textAlignment w:val="center"/>
            </w:pPr>
            <w:r>
              <w:rPr>
                <w:rFonts w:ascii="Times New Roman" w:eastAsia="宋体" w:hAnsi="Times New Roman"/>
                <w:color w:val="000000"/>
                <w:sz w:val="16"/>
                <w:szCs w:val="16"/>
              </w:rPr>
              <w:t>(175)</w:t>
            </w:r>
          </w:p>
        </w:tc>
        <w:tc>
          <w:tcPr>
            <w:tcW w:w="0" w:type="auto"/>
            <w:shd w:val="clear" w:color="auto" w:fill="CCEEFF"/>
            <w:tcMar>
              <w:top w:w="40" w:type="dxa"/>
              <w:left w:w="0" w:type="dxa"/>
              <w:bottom w:w="40" w:type="dxa"/>
              <w:right w:w="20" w:type="dxa"/>
            </w:tcMar>
            <w:vAlign w:val="center"/>
          </w:tcPr>
          <w:p w14:paraId="7E78406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6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6A" w14:textId="77777777" w:rsidR="00A82082" w:rsidRDefault="00E946F9">
            <w:pPr>
              <w:jc w:val="right"/>
              <w:textAlignment w:val="center"/>
            </w:pPr>
            <w:r>
              <w:rPr>
                <w:rFonts w:ascii="Times New Roman" w:eastAsia="宋体" w:hAnsi="Times New Roman"/>
                <w:color w:val="000000"/>
                <w:sz w:val="16"/>
                <w:szCs w:val="16"/>
              </w:rPr>
              <w:t>160 </w:t>
            </w:r>
          </w:p>
        </w:tc>
        <w:tc>
          <w:tcPr>
            <w:tcW w:w="0" w:type="auto"/>
            <w:shd w:val="clear" w:color="auto" w:fill="CCEEFF"/>
            <w:tcMar>
              <w:top w:w="40" w:type="dxa"/>
              <w:left w:w="0" w:type="dxa"/>
              <w:bottom w:w="40" w:type="dxa"/>
              <w:right w:w="20" w:type="dxa"/>
            </w:tcMar>
            <w:vAlign w:val="center"/>
          </w:tcPr>
          <w:p w14:paraId="7E78406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6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6D" w14:textId="77777777" w:rsidR="00A82082" w:rsidRDefault="00E946F9">
            <w:pPr>
              <w:jc w:val="right"/>
              <w:textAlignment w:val="center"/>
            </w:pPr>
            <w:r>
              <w:rPr>
                <w:rFonts w:ascii="Times New Roman" w:eastAsia="宋体" w:hAnsi="Times New Roman"/>
                <w:color w:val="000000"/>
                <w:sz w:val="16"/>
                <w:szCs w:val="16"/>
              </w:rPr>
              <w:t>438 </w:t>
            </w:r>
          </w:p>
        </w:tc>
        <w:tc>
          <w:tcPr>
            <w:tcW w:w="0" w:type="auto"/>
            <w:shd w:val="clear" w:color="auto" w:fill="CCEEFF"/>
            <w:tcMar>
              <w:top w:w="40" w:type="dxa"/>
              <w:left w:w="0" w:type="dxa"/>
              <w:bottom w:w="40" w:type="dxa"/>
              <w:right w:w="20" w:type="dxa"/>
            </w:tcMar>
            <w:vAlign w:val="center"/>
          </w:tcPr>
          <w:p w14:paraId="7E78406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6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70" w14:textId="77777777" w:rsidR="00A82082" w:rsidRDefault="00E946F9">
            <w:pPr>
              <w:jc w:val="right"/>
              <w:textAlignment w:val="center"/>
            </w:pPr>
            <w:r>
              <w:rPr>
                <w:rFonts w:ascii="Times New Roman" w:eastAsia="宋体" w:hAnsi="Times New Roman"/>
                <w:color w:val="000000"/>
                <w:sz w:val="16"/>
                <w:szCs w:val="16"/>
              </w:rPr>
              <w:t>(92)</w:t>
            </w:r>
          </w:p>
        </w:tc>
        <w:tc>
          <w:tcPr>
            <w:tcW w:w="0" w:type="auto"/>
            <w:shd w:val="clear" w:color="auto" w:fill="CCEEFF"/>
            <w:tcMar>
              <w:top w:w="40" w:type="dxa"/>
              <w:left w:w="0" w:type="dxa"/>
              <w:bottom w:w="40" w:type="dxa"/>
              <w:right w:w="20" w:type="dxa"/>
            </w:tcMar>
            <w:vAlign w:val="center"/>
          </w:tcPr>
          <w:p w14:paraId="7E784071" w14:textId="77777777" w:rsidR="00A82082" w:rsidRDefault="00A82082">
            <w:pPr>
              <w:jc w:val="right"/>
              <w:rPr>
                <w:rFonts w:ascii="宋体"/>
              </w:rPr>
            </w:pPr>
          </w:p>
        </w:tc>
      </w:tr>
      <w:tr w:rsidR="00A82082" w14:paraId="7E78407B" w14:textId="77777777">
        <w:trPr>
          <w:jc w:val="center"/>
          <w:hidden/>
        </w:trPr>
        <w:tc>
          <w:tcPr>
            <w:tcW w:w="0" w:type="auto"/>
            <w:gridSpan w:val="3"/>
            <w:shd w:val="clear" w:color="auto" w:fill="auto"/>
          </w:tcPr>
          <w:p w14:paraId="7E784073" w14:textId="77777777" w:rsidR="00A82082" w:rsidRDefault="00A82082">
            <w:pPr>
              <w:rPr>
                <w:rFonts w:ascii="宋体"/>
                <w:vanish/>
              </w:rPr>
            </w:pPr>
          </w:p>
        </w:tc>
        <w:tc>
          <w:tcPr>
            <w:tcW w:w="0" w:type="auto"/>
            <w:gridSpan w:val="3"/>
            <w:shd w:val="clear" w:color="auto" w:fill="auto"/>
          </w:tcPr>
          <w:p w14:paraId="7E784074" w14:textId="77777777" w:rsidR="00A82082" w:rsidRDefault="00A82082">
            <w:pPr>
              <w:rPr>
                <w:rFonts w:ascii="宋体"/>
                <w:vanish/>
              </w:rPr>
            </w:pPr>
          </w:p>
        </w:tc>
        <w:tc>
          <w:tcPr>
            <w:tcW w:w="0" w:type="auto"/>
            <w:gridSpan w:val="3"/>
            <w:shd w:val="clear" w:color="auto" w:fill="auto"/>
          </w:tcPr>
          <w:p w14:paraId="7E784075" w14:textId="77777777" w:rsidR="00A82082" w:rsidRDefault="00A82082">
            <w:pPr>
              <w:rPr>
                <w:rFonts w:ascii="宋体"/>
                <w:vanish/>
              </w:rPr>
            </w:pPr>
          </w:p>
        </w:tc>
        <w:tc>
          <w:tcPr>
            <w:tcW w:w="0" w:type="auto"/>
            <w:gridSpan w:val="3"/>
            <w:shd w:val="clear" w:color="auto" w:fill="auto"/>
          </w:tcPr>
          <w:p w14:paraId="7E784076" w14:textId="77777777" w:rsidR="00A82082" w:rsidRDefault="00A82082">
            <w:pPr>
              <w:rPr>
                <w:rFonts w:ascii="宋体"/>
                <w:vanish/>
              </w:rPr>
            </w:pPr>
          </w:p>
        </w:tc>
        <w:tc>
          <w:tcPr>
            <w:tcW w:w="0" w:type="auto"/>
            <w:gridSpan w:val="3"/>
            <w:shd w:val="clear" w:color="auto" w:fill="auto"/>
          </w:tcPr>
          <w:p w14:paraId="7E784077" w14:textId="77777777" w:rsidR="00A82082" w:rsidRDefault="00A82082">
            <w:pPr>
              <w:rPr>
                <w:rFonts w:ascii="宋体"/>
                <w:vanish/>
              </w:rPr>
            </w:pPr>
          </w:p>
        </w:tc>
        <w:tc>
          <w:tcPr>
            <w:tcW w:w="0" w:type="auto"/>
            <w:gridSpan w:val="3"/>
            <w:shd w:val="clear" w:color="auto" w:fill="auto"/>
          </w:tcPr>
          <w:p w14:paraId="7E784078" w14:textId="77777777" w:rsidR="00A82082" w:rsidRDefault="00A82082">
            <w:pPr>
              <w:rPr>
                <w:rFonts w:ascii="宋体"/>
                <w:vanish/>
              </w:rPr>
            </w:pPr>
          </w:p>
        </w:tc>
        <w:tc>
          <w:tcPr>
            <w:tcW w:w="0" w:type="auto"/>
            <w:gridSpan w:val="3"/>
            <w:shd w:val="clear" w:color="auto" w:fill="auto"/>
          </w:tcPr>
          <w:p w14:paraId="7E784079" w14:textId="77777777" w:rsidR="00A82082" w:rsidRDefault="00A82082">
            <w:pPr>
              <w:rPr>
                <w:rFonts w:ascii="宋体"/>
                <w:vanish/>
              </w:rPr>
            </w:pPr>
          </w:p>
        </w:tc>
        <w:tc>
          <w:tcPr>
            <w:tcW w:w="0" w:type="auto"/>
            <w:gridSpan w:val="3"/>
            <w:shd w:val="clear" w:color="auto" w:fill="auto"/>
          </w:tcPr>
          <w:p w14:paraId="7E78407A" w14:textId="77777777" w:rsidR="00A82082" w:rsidRDefault="00A82082">
            <w:pPr>
              <w:rPr>
                <w:rFonts w:ascii="宋体"/>
                <w:vanish/>
              </w:rPr>
            </w:pPr>
          </w:p>
        </w:tc>
      </w:tr>
      <w:tr w:rsidR="00A82082" w14:paraId="7E78408C" w14:textId="77777777">
        <w:trPr>
          <w:jc w:val="center"/>
        </w:trPr>
        <w:tc>
          <w:tcPr>
            <w:tcW w:w="0" w:type="auto"/>
            <w:gridSpan w:val="3"/>
            <w:shd w:val="clear" w:color="auto" w:fill="FFFFFF"/>
            <w:tcMar>
              <w:top w:w="40" w:type="dxa"/>
              <w:left w:w="20" w:type="dxa"/>
              <w:bottom w:w="40" w:type="dxa"/>
              <w:right w:w="20" w:type="dxa"/>
            </w:tcMar>
            <w:vAlign w:val="center"/>
          </w:tcPr>
          <w:p w14:paraId="7E78407C" w14:textId="77777777" w:rsidR="00A82082" w:rsidRDefault="00E946F9">
            <w:pPr>
              <w:textAlignment w:val="center"/>
            </w:pPr>
            <w:r>
              <w:rPr>
                <w:rFonts w:ascii="Times New Roman" w:eastAsia="宋体" w:hAnsi="Times New Roman"/>
                <w:b/>
                <w:bCs/>
                <w:color w:val="000000"/>
                <w:sz w:val="16"/>
                <w:szCs w:val="16"/>
              </w:rPr>
              <w:t>Comprehensive income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07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07E" w14:textId="77777777" w:rsidR="00A82082" w:rsidRDefault="00E946F9">
            <w:pPr>
              <w:jc w:val="right"/>
              <w:textAlignment w:val="center"/>
            </w:pPr>
            <w:r>
              <w:rPr>
                <w:rFonts w:ascii="Times New Roman" w:eastAsia="宋体" w:hAnsi="Times New Roman"/>
                <w:color w:val="000000"/>
                <w:sz w:val="16"/>
                <w:szCs w:val="16"/>
              </w:rPr>
              <w:t>6,303 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07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80"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08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082" w14:textId="77777777" w:rsidR="00A82082" w:rsidRDefault="00E946F9">
            <w:pPr>
              <w:jc w:val="right"/>
              <w:textAlignment w:val="center"/>
            </w:pPr>
            <w:r>
              <w:rPr>
                <w:rFonts w:ascii="Times New Roman" w:eastAsia="宋体" w:hAnsi="Times New Roman"/>
                <w:color w:val="000000"/>
                <w:sz w:val="16"/>
                <w:szCs w:val="16"/>
              </w:rPr>
              <w:t>2,176 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08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84"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08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086" w14:textId="77777777" w:rsidR="00A82082" w:rsidRDefault="00E946F9">
            <w:pPr>
              <w:jc w:val="right"/>
              <w:textAlignment w:val="center"/>
            </w:pPr>
            <w:r>
              <w:rPr>
                <w:rFonts w:ascii="Times New Roman" w:eastAsia="宋体" w:hAnsi="Times New Roman"/>
                <w:color w:val="000000"/>
                <w:sz w:val="16"/>
                <w:szCs w:val="16"/>
              </w:rPr>
              <w:t>13,790 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08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88"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08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08A" w14:textId="77777777" w:rsidR="00A82082" w:rsidRDefault="00E946F9">
            <w:pPr>
              <w:jc w:val="right"/>
              <w:textAlignment w:val="center"/>
            </w:pPr>
            <w:r>
              <w:rPr>
                <w:rFonts w:ascii="Times New Roman" w:eastAsia="宋体" w:hAnsi="Times New Roman"/>
                <w:color w:val="000000"/>
                <w:sz w:val="16"/>
                <w:szCs w:val="16"/>
              </w:rPr>
              <w:t>9,900 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08B" w14:textId="77777777" w:rsidR="00A82082" w:rsidRDefault="00A82082">
            <w:pPr>
              <w:jc w:val="right"/>
              <w:rPr>
                <w:rFonts w:ascii="宋体"/>
              </w:rPr>
            </w:pPr>
          </w:p>
        </w:tc>
      </w:tr>
    </w:tbl>
    <w:p w14:paraId="7E78408D"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408E" w14:textId="77777777" w:rsidR="00A82082" w:rsidRDefault="00E946F9">
      <w:pPr>
        <w:jc w:val="center"/>
      </w:pPr>
      <w:r>
        <w:rPr>
          <w:rFonts w:ascii="Times New Roman" w:eastAsia="宋体" w:hAnsi="Times New Roman"/>
          <w:color w:val="000000"/>
          <w:sz w:val="20"/>
          <w:szCs w:val="20"/>
        </w:rPr>
        <w:t>4</w:t>
      </w:r>
    </w:p>
    <w:p w14:paraId="7E78408F" w14:textId="77777777" w:rsidR="00A82082" w:rsidRDefault="00E946F9">
      <w:r>
        <w:pict w14:anchorId="7E78614C">
          <v:rect id="_x0000_i1028" style="width:415.3pt;height:1.5pt" o:hralign="center" o:hrstd="t" o:hr="t" fillcolor="#a0a0a0" stroked="f"/>
        </w:pict>
      </w:r>
    </w:p>
    <w:p w14:paraId="7E784090" w14:textId="77777777" w:rsidR="00A82082" w:rsidRDefault="00E946F9">
      <w:hyperlink r:id="rId45" w:anchor="i5c815528a95c4409b9043de534639b9a_7" w:history="1">
        <w:r>
          <w:rPr>
            <w:rStyle w:val="a5"/>
            <w:rFonts w:ascii="Times New Roman" w:eastAsia="宋体" w:hAnsi="Times New Roman"/>
            <w:sz w:val="20"/>
            <w:szCs w:val="20"/>
          </w:rPr>
          <w:t>Table of C</w:t>
        </w:r>
      </w:hyperlink>
      <w:hyperlink r:id="rId46" w:anchor="i5c815528a95c4409b9043de534639b9a_7" w:history="1">
        <w:r>
          <w:rPr>
            <w:rStyle w:val="a5"/>
            <w:rFonts w:ascii="Times New Roman" w:eastAsia="宋体" w:hAnsi="Times New Roman"/>
            <w:sz w:val="20"/>
            <w:szCs w:val="20"/>
          </w:rPr>
          <w:t>ontents</w:t>
        </w:r>
      </w:hyperlink>
    </w:p>
    <w:p w14:paraId="7E784091" w14:textId="77777777" w:rsidR="00A82082" w:rsidRDefault="00E946F9">
      <w:pPr>
        <w:jc w:val="center"/>
      </w:pPr>
      <w:r>
        <w:rPr>
          <w:rFonts w:ascii="Times New Roman" w:eastAsia="宋体" w:hAnsi="Times New Roman"/>
          <w:b/>
          <w:bCs/>
          <w:color w:val="000000"/>
          <w:sz w:val="20"/>
          <w:szCs w:val="20"/>
        </w:rPr>
        <w:t>Walmart Inc.</w:t>
      </w:r>
    </w:p>
    <w:p w14:paraId="7E784092" w14:textId="77777777" w:rsidR="00A82082" w:rsidRDefault="00E946F9">
      <w:pPr>
        <w:spacing w:before="60"/>
        <w:jc w:val="center"/>
      </w:pPr>
      <w:r>
        <w:rPr>
          <w:rFonts w:ascii="Times New Roman" w:eastAsia="宋体" w:hAnsi="Times New Roman"/>
          <w:b/>
          <w:bCs/>
          <w:color w:val="000000"/>
          <w:sz w:val="20"/>
          <w:szCs w:val="20"/>
        </w:rPr>
        <w:t>Condensed Consolidated Balance Sheets</w:t>
      </w:r>
    </w:p>
    <w:p w14:paraId="7E784093" w14:textId="77777777" w:rsidR="00A82082" w:rsidRDefault="00E946F9">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40"/>
        <w:gridCol w:w="36"/>
        <w:gridCol w:w="36"/>
        <w:gridCol w:w="36"/>
        <w:gridCol w:w="100"/>
        <w:gridCol w:w="795"/>
        <w:gridCol w:w="36"/>
        <w:gridCol w:w="36"/>
        <w:gridCol w:w="36"/>
        <w:gridCol w:w="36"/>
        <w:gridCol w:w="100"/>
        <w:gridCol w:w="796"/>
        <w:gridCol w:w="36"/>
        <w:gridCol w:w="36"/>
        <w:gridCol w:w="36"/>
        <w:gridCol w:w="36"/>
        <w:gridCol w:w="100"/>
        <w:gridCol w:w="797"/>
        <w:gridCol w:w="36"/>
      </w:tblGrid>
      <w:tr w:rsidR="00A82082" w14:paraId="7E7840A9" w14:textId="77777777">
        <w:trPr>
          <w:jc w:val="center"/>
        </w:trPr>
        <w:tc>
          <w:tcPr>
            <w:tcW w:w="50" w:type="pct"/>
            <w:shd w:val="clear" w:color="auto" w:fill="auto"/>
          </w:tcPr>
          <w:p w14:paraId="7E784094" w14:textId="77777777" w:rsidR="00A82082" w:rsidRDefault="00A82082">
            <w:pPr>
              <w:rPr>
                <w:rFonts w:ascii="宋体"/>
              </w:rPr>
            </w:pPr>
          </w:p>
        </w:tc>
        <w:tc>
          <w:tcPr>
            <w:tcW w:w="3102" w:type="pct"/>
            <w:shd w:val="clear" w:color="auto" w:fill="auto"/>
          </w:tcPr>
          <w:p w14:paraId="7E784095" w14:textId="77777777" w:rsidR="00A82082" w:rsidRDefault="00A82082">
            <w:pPr>
              <w:rPr>
                <w:rFonts w:ascii="宋体"/>
              </w:rPr>
            </w:pPr>
          </w:p>
        </w:tc>
        <w:tc>
          <w:tcPr>
            <w:tcW w:w="5" w:type="pct"/>
            <w:shd w:val="clear" w:color="auto" w:fill="auto"/>
          </w:tcPr>
          <w:p w14:paraId="7E784096" w14:textId="77777777" w:rsidR="00A82082" w:rsidRDefault="00A82082">
            <w:pPr>
              <w:rPr>
                <w:rFonts w:ascii="宋体"/>
              </w:rPr>
            </w:pPr>
          </w:p>
        </w:tc>
        <w:tc>
          <w:tcPr>
            <w:tcW w:w="5" w:type="pct"/>
            <w:shd w:val="clear" w:color="auto" w:fill="auto"/>
          </w:tcPr>
          <w:p w14:paraId="7E784097" w14:textId="77777777" w:rsidR="00A82082" w:rsidRDefault="00A82082">
            <w:pPr>
              <w:rPr>
                <w:rFonts w:ascii="宋体"/>
              </w:rPr>
            </w:pPr>
          </w:p>
        </w:tc>
        <w:tc>
          <w:tcPr>
            <w:tcW w:w="26" w:type="pct"/>
            <w:shd w:val="clear" w:color="auto" w:fill="auto"/>
          </w:tcPr>
          <w:p w14:paraId="7E784098" w14:textId="77777777" w:rsidR="00A82082" w:rsidRDefault="00A82082">
            <w:pPr>
              <w:rPr>
                <w:rFonts w:ascii="宋体"/>
              </w:rPr>
            </w:pPr>
          </w:p>
        </w:tc>
        <w:tc>
          <w:tcPr>
            <w:tcW w:w="5" w:type="pct"/>
            <w:shd w:val="clear" w:color="auto" w:fill="auto"/>
          </w:tcPr>
          <w:p w14:paraId="7E784099" w14:textId="77777777" w:rsidR="00A82082" w:rsidRDefault="00A82082">
            <w:pPr>
              <w:rPr>
                <w:rFonts w:ascii="宋体"/>
              </w:rPr>
            </w:pPr>
          </w:p>
        </w:tc>
        <w:tc>
          <w:tcPr>
            <w:tcW w:w="50" w:type="pct"/>
            <w:shd w:val="clear" w:color="auto" w:fill="auto"/>
          </w:tcPr>
          <w:p w14:paraId="7E78409A" w14:textId="77777777" w:rsidR="00A82082" w:rsidRDefault="00A82082">
            <w:pPr>
              <w:rPr>
                <w:rFonts w:ascii="宋体"/>
              </w:rPr>
            </w:pPr>
          </w:p>
        </w:tc>
        <w:tc>
          <w:tcPr>
            <w:tcW w:w="522" w:type="pct"/>
            <w:shd w:val="clear" w:color="auto" w:fill="auto"/>
          </w:tcPr>
          <w:p w14:paraId="7E78409B" w14:textId="77777777" w:rsidR="00A82082" w:rsidRDefault="00A82082">
            <w:pPr>
              <w:rPr>
                <w:rFonts w:ascii="宋体"/>
              </w:rPr>
            </w:pPr>
          </w:p>
        </w:tc>
        <w:tc>
          <w:tcPr>
            <w:tcW w:w="5" w:type="pct"/>
            <w:shd w:val="clear" w:color="auto" w:fill="auto"/>
          </w:tcPr>
          <w:p w14:paraId="7E78409C" w14:textId="77777777" w:rsidR="00A82082" w:rsidRDefault="00A82082">
            <w:pPr>
              <w:rPr>
                <w:rFonts w:ascii="宋体"/>
              </w:rPr>
            </w:pPr>
          </w:p>
        </w:tc>
        <w:tc>
          <w:tcPr>
            <w:tcW w:w="5" w:type="pct"/>
            <w:shd w:val="clear" w:color="auto" w:fill="auto"/>
          </w:tcPr>
          <w:p w14:paraId="7E78409D" w14:textId="77777777" w:rsidR="00A82082" w:rsidRDefault="00A82082">
            <w:pPr>
              <w:rPr>
                <w:rFonts w:ascii="宋体"/>
              </w:rPr>
            </w:pPr>
          </w:p>
        </w:tc>
        <w:tc>
          <w:tcPr>
            <w:tcW w:w="26" w:type="pct"/>
            <w:shd w:val="clear" w:color="auto" w:fill="auto"/>
          </w:tcPr>
          <w:p w14:paraId="7E78409E" w14:textId="77777777" w:rsidR="00A82082" w:rsidRDefault="00A82082">
            <w:pPr>
              <w:rPr>
                <w:rFonts w:ascii="宋体"/>
              </w:rPr>
            </w:pPr>
          </w:p>
        </w:tc>
        <w:tc>
          <w:tcPr>
            <w:tcW w:w="5" w:type="pct"/>
            <w:shd w:val="clear" w:color="auto" w:fill="auto"/>
          </w:tcPr>
          <w:p w14:paraId="7E78409F" w14:textId="77777777" w:rsidR="00A82082" w:rsidRDefault="00A82082">
            <w:pPr>
              <w:rPr>
                <w:rFonts w:ascii="宋体"/>
              </w:rPr>
            </w:pPr>
          </w:p>
        </w:tc>
        <w:tc>
          <w:tcPr>
            <w:tcW w:w="50" w:type="pct"/>
            <w:shd w:val="clear" w:color="auto" w:fill="auto"/>
          </w:tcPr>
          <w:p w14:paraId="7E7840A0" w14:textId="77777777" w:rsidR="00A82082" w:rsidRDefault="00A82082">
            <w:pPr>
              <w:rPr>
                <w:rFonts w:ascii="宋体"/>
              </w:rPr>
            </w:pPr>
          </w:p>
        </w:tc>
        <w:tc>
          <w:tcPr>
            <w:tcW w:w="522" w:type="pct"/>
            <w:shd w:val="clear" w:color="auto" w:fill="auto"/>
          </w:tcPr>
          <w:p w14:paraId="7E7840A1" w14:textId="77777777" w:rsidR="00A82082" w:rsidRDefault="00A82082">
            <w:pPr>
              <w:rPr>
                <w:rFonts w:ascii="宋体"/>
              </w:rPr>
            </w:pPr>
          </w:p>
        </w:tc>
        <w:tc>
          <w:tcPr>
            <w:tcW w:w="5" w:type="pct"/>
            <w:shd w:val="clear" w:color="auto" w:fill="auto"/>
          </w:tcPr>
          <w:p w14:paraId="7E7840A2" w14:textId="77777777" w:rsidR="00A82082" w:rsidRDefault="00A82082">
            <w:pPr>
              <w:rPr>
                <w:rFonts w:ascii="宋体"/>
              </w:rPr>
            </w:pPr>
          </w:p>
        </w:tc>
        <w:tc>
          <w:tcPr>
            <w:tcW w:w="5" w:type="pct"/>
            <w:shd w:val="clear" w:color="auto" w:fill="auto"/>
          </w:tcPr>
          <w:p w14:paraId="7E7840A3" w14:textId="77777777" w:rsidR="00A82082" w:rsidRDefault="00A82082">
            <w:pPr>
              <w:rPr>
                <w:rFonts w:ascii="宋体"/>
              </w:rPr>
            </w:pPr>
          </w:p>
        </w:tc>
        <w:tc>
          <w:tcPr>
            <w:tcW w:w="26" w:type="pct"/>
            <w:shd w:val="clear" w:color="auto" w:fill="auto"/>
          </w:tcPr>
          <w:p w14:paraId="7E7840A4" w14:textId="77777777" w:rsidR="00A82082" w:rsidRDefault="00A82082">
            <w:pPr>
              <w:rPr>
                <w:rFonts w:ascii="宋体"/>
              </w:rPr>
            </w:pPr>
          </w:p>
        </w:tc>
        <w:tc>
          <w:tcPr>
            <w:tcW w:w="5" w:type="pct"/>
            <w:shd w:val="clear" w:color="auto" w:fill="auto"/>
          </w:tcPr>
          <w:p w14:paraId="7E7840A5" w14:textId="77777777" w:rsidR="00A82082" w:rsidRDefault="00A82082">
            <w:pPr>
              <w:rPr>
                <w:rFonts w:ascii="宋体"/>
              </w:rPr>
            </w:pPr>
          </w:p>
        </w:tc>
        <w:tc>
          <w:tcPr>
            <w:tcW w:w="50" w:type="pct"/>
            <w:shd w:val="clear" w:color="auto" w:fill="auto"/>
          </w:tcPr>
          <w:p w14:paraId="7E7840A6" w14:textId="77777777" w:rsidR="00A82082" w:rsidRDefault="00A82082">
            <w:pPr>
              <w:rPr>
                <w:rFonts w:ascii="宋体"/>
              </w:rPr>
            </w:pPr>
          </w:p>
        </w:tc>
        <w:tc>
          <w:tcPr>
            <w:tcW w:w="522" w:type="pct"/>
            <w:shd w:val="clear" w:color="auto" w:fill="auto"/>
          </w:tcPr>
          <w:p w14:paraId="7E7840A7" w14:textId="77777777" w:rsidR="00A82082" w:rsidRDefault="00A82082">
            <w:pPr>
              <w:rPr>
                <w:rFonts w:ascii="宋体"/>
              </w:rPr>
            </w:pPr>
          </w:p>
        </w:tc>
        <w:tc>
          <w:tcPr>
            <w:tcW w:w="5" w:type="pct"/>
            <w:shd w:val="clear" w:color="auto" w:fill="auto"/>
          </w:tcPr>
          <w:p w14:paraId="7E7840A8" w14:textId="77777777" w:rsidR="00A82082" w:rsidRDefault="00A82082">
            <w:pPr>
              <w:rPr>
                <w:rFonts w:ascii="宋体"/>
              </w:rPr>
            </w:pPr>
          </w:p>
        </w:tc>
      </w:tr>
      <w:tr w:rsidR="00A82082" w14:paraId="7E7840B1" w14:textId="77777777">
        <w:trPr>
          <w:jc w:val="center"/>
        </w:trPr>
        <w:tc>
          <w:tcPr>
            <w:tcW w:w="0" w:type="auto"/>
            <w:gridSpan w:val="3"/>
            <w:shd w:val="clear" w:color="auto" w:fill="auto"/>
            <w:tcMar>
              <w:top w:w="0" w:type="dxa"/>
              <w:left w:w="20" w:type="dxa"/>
              <w:bottom w:w="0" w:type="dxa"/>
              <w:right w:w="20" w:type="dxa"/>
            </w:tcMar>
          </w:tcPr>
          <w:p w14:paraId="7E7840A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A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AC" w14:textId="77777777" w:rsidR="00A82082" w:rsidRDefault="00E946F9">
            <w:pPr>
              <w:jc w:val="center"/>
              <w:textAlignment w:val="bottom"/>
            </w:pPr>
            <w:r>
              <w:rPr>
                <w:rFonts w:ascii="Times New Roman" w:eastAsia="宋体" w:hAnsi="Times New Roman"/>
                <w:b/>
                <w:bCs/>
                <w:color w:val="000000"/>
                <w:sz w:val="16"/>
                <w:szCs w:val="16"/>
              </w:rPr>
              <w:t>October 3</w:t>
            </w:r>
            <w:r>
              <w:rPr>
                <w:rFonts w:ascii="Times New Roman" w:eastAsia="宋体" w:hAnsi="Times New Roman"/>
                <w:b/>
                <w:bCs/>
                <w:color w:val="000000"/>
                <w:sz w:val="16"/>
                <w:szCs w:val="16"/>
              </w:rPr>
              <w:t>1,</w:t>
            </w:r>
          </w:p>
        </w:tc>
        <w:tc>
          <w:tcPr>
            <w:tcW w:w="0" w:type="auto"/>
            <w:gridSpan w:val="3"/>
            <w:shd w:val="clear" w:color="auto" w:fill="auto"/>
            <w:tcMar>
              <w:top w:w="0" w:type="dxa"/>
              <w:left w:w="20" w:type="dxa"/>
              <w:bottom w:w="0" w:type="dxa"/>
              <w:right w:w="20" w:type="dxa"/>
            </w:tcMar>
          </w:tcPr>
          <w:p w14:paraId="7E7840A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AE" w14:textId="77777777" w:rsidR="00A82082" w:rsidRDefault="00E946F9">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tcPr>
          <w:p w14:paraId="7E7840A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B0" w14:textId="77777777" w:rsidR="00A82082" w:rsidRDefault="00E946F9">
            <w:pPr>
              <w:jc w:val="center"/>
              <w:textAlignment w:val="bottom"/>
            </w:pPr>
            <w:r>
              <w:rPr>
                <w:rFonts w:ascii="Times New Roman" w:eastAsia="宋体" w:hAnsi="Times New Roman"/>
                <w:b/>
                <w:bCs/>
                <w:color w:val="000000"/>
                <w:sz w:val="16"/>
                <w:szCs w:val="16"/>
              </w:rPr>
              <w:t>October 31,</w:t>
            </w:r>
          </w:p>
        </w:tc>
      </w:tr>
      <w:tr w:rsidR="00A82082" w14:paraId="7E7840B9" w14:textId="77777777">
        <w:trPr>
          <w:jc w:val="center"/>
        </w:trPr>
        <w:tc>
          <w:tcPr>
            <w:tcW w:w="0" w:type="auto"/>
            <w:gridSpan w:val="3"/>
            <w:shd w:val="clear" w:color="auto" w:fill="auto"/>
            <w:tcMar>
              <w:top w:w="40" w:type="dxa"/>
              <w:left w:w="20" w:type="dxa"/>
              <w:bottom w:w="40" w:type="dxa"/>
              <w:right w:w="20" w:type="dxa"/>
            </w:tcMar>
            <w:vAlign w:val="bottom"/>
          </w:tcPr>
          <w:p w14:paraId="7E7840B2"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40B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B4"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40B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B6"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40B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0B8"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40C1" w14:textId="77777777">
        <w:trPr>
          <w:jc w:val="center"/>
        </w:trPr>
        <w:tc>
          <w:tcPr>
            <w:tcW w:w="0" w:type="auto"/>
            <w:gridSpan w:val="3"/>
            <w:shd w:val="clear" w:color="auto" w:fill="auto"/>
            <w:tcMar>
              <w:top w:w="40" w:type="dxa"/>
              <w:left w:w="20" w:type="dxa"/>
              <w:bottom w:w="40" w:type="dxa"/>
              <w:right w:w="20" w:type="dxa"/>
            </w:tcMar>
            <w:vAlign w:val="center"/>
          </w:tcPr>
          <w:p w14:paraId="7E7840BA" w14:textId="77777777" w:rsidR="00A82082" w:rsidRDefault="00E946F9">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tcPr>
          <w:p w14:paraId="7E7840BB"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0B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BD"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0B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BF"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0C0" w14:textId="77777777" w:rsidR="00A82082" w:rsidRDefault="00A82082">
            <w:pPr>
              <w:rPr>
                <w:rFonts w:ascii="宋体"/>
              </w:rPr>
            </w:pPr>
          </w:p>
        </w:tc>
      </w:tr>
      <w:tr w:rsidR="00A82082" w14:paraId="7E7840C9" w14:textId="77777777">
        <w:trPr>
          <w:jc w:val="center"/>
        </w:trPr>
        <w:tc>
          <w:tcPr>
            <w:tcW w:w="0" w:type="auto"/>
            <w:gridSpan w:val="3"/>
            <w:shd w:val="clear" w:color="auto" w:fill="auto"/>
            <w:tcMar>
              <w:top w:w="40" w:type="dxa"/>
              <w:left w:w="20" w:type="dxa"/>
              <w:bottom w:w="40" w:type="dxa"/>
              <w:right w:w="20" w:type="dxa"/>
            </w:tcMar>
            <w:vAlign w:val="center"/>
          </w:tcPr>
          <w:p w14:paraId="7E7840C2" w14:textId="77777777" w:rsidR="00A82082" w:rsidRDefault="00E946F9">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tcPr>
          <w:p w14:paraId="7E7840C3"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C4"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C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C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C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0C8" w14:textId="77777777" w:rsidR="00A82082" w:rsidRDefault="00A82082">
            <w:pPr>
              <w:rPr>
                <w:rFonts w:ascii="宋体"/>
              </w:rPr>
            </w:pPr>
          </w:p>
        </w:tc>
      </w:tr>
      <w:tr w:rsidR="00A82082" w14:paraId="7E7840D7" w14:textId="77777777">
        <w:trPr>
          <w:jc w:val="center"/>
        </w:trPr>
        <w:tc>
          <w:tcPr>
            <w:tcW w:w="0" w:type="auto"/>
            <w:gridSpan w:val="3"/>
            <w:shd w:val="clear" w:color="auto" w:fill="CCEEFF"/>
            <w:tcMar>
              <w:top w:w="40" w:type="dxa"/>
              <w:left w:w="380" w:type="dxa"/>
              <w:bottom w:w="40" w:type="dxa"/>
              <w:right w:w="20" w:type="dxa"/>
            </w:tcMar>
            <w:vAlign w:val="center"/>
          </w:tcPr>
          <w:p w14:paraId="7E7840CA" w14:textId="77777777" w:rsidR="00A82082" w:rsidRDefault="00E946F9">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tcPr>
          <w:p w14:paraId="7E7840CB"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0C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0CD" w14:textId="77777777" w:rsidR="00A82082" w:rsidRDefault="00E946F9">
            <w:pPr>
              <w:jc w:val="right"/>
              <w:textAlignment w:val="center"/>
            </w:pPr>
            <w:r>
              <w:rPr>
                <w:rFonts w:ascii="Times New Roman" w:eastAsia="宋体" w:hAnsi="Times New Roman"/>
                <w:color w:val="000000"/>
                <w:sz w:val="16"/>
                <w:szCs w:val="16"/>
              </w:rPr>
              <w:t>14,325 </w:t>
            </w:r>
          </w:p>
        </w:tc>
        <w:tc>
          <w:tcPr>
            <w:tcW w:w="0" w:type="auto"/>
            <w:shd w:val="clear" w:color="auto" w:fill="CCEEFF"/>
            <w:tcMar>
              <w:top w:w="40" w:type="dxa"/>
              <w:left w:w="0" w:type="dxa"/>
              <w:bottom w:w="40" w:type="dxa"/>
              <w:right w:w="20" w:type="dxa"/>
            </w:tcMar>
            <w:vAlign w:val="center"/>
          </w:tcPr>
          <w:p w14:paraId="7E7840C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CF"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0D0"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0D1" w14:textId="77777777" w:rsidR="00A82082" w:rsidRDefault="00E946F9">
            <w:pPr>
              <w:jc w:val="right"/>
              <w:textAlignment w:val="center"/>
            </w:pPr>
            <w:r>
              <w:rPr>
                <w:rFonts w:ascii="Times New Roman" w:eastAsia="宋体" w:hAnsi="Times New Roman"/>
                <w:color w:val="000000"/>
                <w:sz w:val="16"/>
                <w:szCs w:val="16"/>
              </w:rPr>
              <w:t>9,465 </w:t>
            </w:r>
          </w:p>
        </w:tc>
        <w:tc>
          <w:tcPr>
            <w:tcW w:w="0" w:type="auto"/>
            <w:shd w:val="clear" w:color="auto" w:fill="CCEEFF"/>
            <w:tcMar>
              <w:top w:w="40" w:type="dxa"/>
              <w:left w:w="0" w:type="dxa"/>
              <w:bottom w:w="40" w:type="dxa"/>
              <w:right w:w="20" w:type="dxa"/>
            </w:tcMar>
            <w:vAlign w:val="center"/>
          </w:tcPr>
          <w:p w14:paraId="7E7840D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D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0D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0D5" w14:textId="77777777" w:rsidR="00A82082" w:rsidRDefault="00E946F9">
            <w:pPr>
              <w:jc w:val="right"/>
              <w:textAlignment w:val="center"/>
            </w:pPr>
            <w:r>
              <w:rPr>
                <w:rFonts w:ascii="Times New Roman" w:eastAsia="宋体" w:hAnsi="Times New Roman"/>
                <w:color w:val="000000"/>
                <w:sz w:val="16"/>
                <w:szCs w:val="16"/>
              </w:rPr>
              <w:t>8,606 </w:t>
            </w:r>
          </w:p>
        </w:tc>
        <w:tc>
          <w:tcPr>
            <w:tcW w:w="0" w:type="auto"/>
            <w:shd w:val="clear" w:color="auto" w:fill="CCEEFF"/>
            <w:tcMar>
              <w:top w:w="40" w:type="dxa"/>
              <w:left w:w="0" w:type="dxa"/>
              <w:bottom w:w="40" w:type="dxa"/>
              <w:right w:w="20" w:type="dxa"/>
            </w:tcMar>
            <w:vAlign w:val="center"/>
          </w:tcPr>
          <w:p w14:paraId="7E7840D6" w14:textId="77777777" w:rsidR="00A82082" w:rsidRDefault="00A82082">
            <w:pPr>
              <w:jc w:val="right"/>
              <w:rPr>
                <w:rFonts w:ascii="宋体"/>
              </w:rPr>
            </w:pPr>
          </w:p>
        </w:tc>
      </w:tr>
      <w:tr w:rsidR="00A82082" w14:paraId="7E7840E2" w14:textId="77777777">
        <w:trPr>
          <w:jc w:val="center"/>
        </w:trPr>
        <w:tc>
          <w:tcPr>
            <w:tcW w:w="0" w:type="auto"/>
            <w:gridSpan w:val="3"/>
            <w:shd w:val="clear" w:color="auto" w:fill="FFFFFF"/>
            <w:tcMar>
              <w:top w:w="40" w:type="dxa"/>
              <w:left w:w="380" w:type="dxa"/>
              <w:bottom w:w="40" w:type="dxa"/>
              <w:right w:w="20" w:type="dxa"/>
            </w:tcMar>
            <w:vAlign w:val="center"/>
          </w:tcPr>
          <w:p w14:paraId="7E7840D8" w14:textId="77777777" w:rsidR="00A82082" w:rsidRDefault="00E946F9">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tcPr>
          <w:p w14:paraId="7E7840D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DA" w14:textId="77777777" w:rsidR="00A82082" w:rsidRDefault="00E946F9">
            <w:pPr>
              <w:jc w:val="right"/>
              <w:textAlignment w:val="center"/>
            </w:pPr>
            <w:r>
              <w:rPr>
                <w:rFonts w:ascii="Times New Roman" w:eastAsia="宋体" w:hAnsi="Times New Roman"/>
                <w:color w:val="000000"/>
                <w:sz w:val="16"/>
                <w:szCs w:val="16"/>
              </w:rPr>
              <w:t>5,770 </w:t>
            </w:r>
          </w:p>
        </w:tc>
        <w:tc>
          <w:tcPr>
            <w:tcW w:w="0" w:type="auto"/>
            <w:shd w:val="clear" w:color="auto" w:fill="FFFFFF"/>
            <w:tcMar>
              <w:top w:w="40" w:type="dxa"/>
              <w:left w:w="0" w:type="dxa"/>
              <w:bottom w:w="40" w:type="dxa"/>
              <w:right w:w="20" w:type="dxa"/>
            </w:tcMar>
            <w:vAlign w:val="center"/>
          </w:tcPr>
          <w:p w14:paraId="7E7840D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D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DD" w14:textId="77777777" w:rsidR="00A82082" w:rsidRDefault="00E946F9">
            <w:pPr>
              <w:jc w:val="right"/>
              <w:textAlignment w:val="center"/>
            </w:pPr>
            <w:r>
              <w:rPr>
                <w:rFonts w:ascii="Times New Roman" w:eastAsia="宋体" w:hAnsi="Times New Roman"/>
                <w:color w:val="000000"/>
                <w:sz w:val="16"/>
                <w:szCs w:val="16"/>
              </w:rPr>
              <w:t>6,284 </w:t>
            </w:r>
          </w:p>
        </w:tc>
        <w:tc>
          <w:tcPr>
            <w:tcW w:w="0" w:type="auto"/>
            <w:shd w:val="clear" w:color="auto" w:fill="FFFFFF"/>
            <w:tcMar>
              <w:top w:w="40" w:type="dxa"/>
              <w:left w:w="0" w:type="dxa"/>
              <w:bottom w:w="40" w:type="dxa"/>
              <w:right w:w="20" w:type="dxa"/>
            </w:tcMar>
            <w:vAlign w:val="center"/>
          </w:tcPr>
          <w:p w14:paraId="7E7840D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D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E0" w14:textId="77777777" w:rsidR="00A82082" w:rsidRDefault="00E946F9">
            <w:pPr>
              <w:jc w:val="right"/>
              <w:textAlignment w:val="center"/>
            </w:pPr>
            <w:r>
              <w:rPr>
                <w:rFonts w:ascii="Times New Roman" w:eastAsia="宋体" w:hAnsi="Times New Roman"/>
                <w:color w:val="000000"/>
                <w:sz w:val="16"/>
                <w:szCs w:val="16"/>
              </w:rPr>
              <w:t>5,612 </w:t>
            </w:r>
          </w:p>
        </w:tc>
        <w:tc>
          <w:tcPr>
            <w:tcW w:w="0" w:type="auto"/>
            <w:shd w:val="clear" w:color="auto" w:fill="FFFFFF"/>
            <w:tcMar>
              <w:top w:w="40" w:type="dxa"/>
              <w:left w:w="0" w:type="dxa"/>
              <w:bottom w:w="40" w:type="dxa"/>
              <w:right w:w="20" w:type="dxa"/>
            </w:tcMar>
            <w:vAlign w:val="center"/>
          </w:tcPr>
          <w:p w14:paraId="7E7840E1" w14:textId="77777777" w:rsidR="00A82082" w:rsidRDefault="00A82082">
            <w:pPr>
              <w:jc w:val="right"/>
              <w:rPr>
                <w:rFonts w:ascii="宋体"/>
              </w:rPr>
            </w:pPr>
          </w:p>
        </w:tc>
      </w:tr>
      <w:tr w:rsidR="00A82082" w14:paraId="7E7840ED" w14:textId="77777777">
        <w:trPr>
          <w:jc w:val="center"/>
        </w:trPr>
        <w:tc>
          <w:tcPr>
            <w:tcW w:w="0" w:type="auto"/>
            <w:gridSpan w:val="3"/>
            <w:shd w:val="clear" w:color="auto" w:fill="CCEEFF"/>
            <w:tcMar>
              <w:top w:w="40" w:type="dxa"/>
              <w:left w:w="380" w:type="dxa"/>
              <w:bottom w:w="40" w:type="dxa"/>
              <w:right w:w="20" w:type="dxa"/>
            </w:tcMar>
            <w:vAlign w:val="center"/>
          </w:tcPr>
          <w:p w14:paraId="7E7840E3" w14:textId="77777777" w:rsidR="00A82082" w:rsidRDefault="00E946F9">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tcPr>
          <w:p w14:paraId="7E7840E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E5" w14:textId="77777777" w:rsidR="00A82082" w:rsidRDefault="00E946F9">
            <w:pPr>
              <w:jc w:val="right"/>
              <w:textAlignment w:val="center"/>
            </w:pPr>
            <w:r>
              <w:rPr>
                <w:rFonts w:ascii="Times New Roman" w:eastAsia="宋体" w:hAnsi="Times New Roman"/>
                <w:color w:val="000000"/>
                <w:sz w:val="16"/>
                <w:szCs w:val="16"/>
              </w:rPr>
              <w:t>51,842 </w:t>
            </w:r>
          </w:p>
        </w:tc>
        <w:tc>
          <w:tcPr>
            <w:tcW w:w="0" w:type="auto"/>
            <w:shd w:val="clear" w:color="auto" w:fill="CCEEFF"/>
            <w:tcMar>
              <w:top w:w="40" w:type="dxa"/>
              <w:left w:w="0" w:type="dxa"/>
              <w:bottom w:w="40" w:type="dxa"/>
              <w:right w:w="20" w:type="dxa"/>
            </w:tcMar>
            <w:vAlign w:val="center"/>
          </w:tcPr>
          <w:p w14:paraId="7E7840E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E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E8" w14:textId="77777777" w:rsidR="00A82082" w:rsidRDefault="00E946F9">
            <w:pPr>
              <w:jc w:val="right"/>
              <w:textAlignment w:val="center"/>
            </w:pPr>
            <w:r>
              <w:rPr>
                <w:rFonts w:ascii="Times New Roman" w:eastAsia="宋体" w:hAnsi="Times New Roman"/>
                <w:color w:val="000000"/>
                <w:sz w:val="16"/>
                <w:szCs w:val="16"/>
              </w:rPr>
              <w:t>44,435 </w:t>
            </w:r>
          </w:p>
        </w:tc>
        <w:tc>
          <w:tcPr>
            <w:tcW w:w="0" w:type="auto"/>
            <w:shd w:val="clear" w:color="auto" w:fill="CCEEFF"/>
            <w:tcMar>
              <w:top w:w="40" w:type="dxa"/>
              <w:left w:w="0" w:type="dxa"/>
              <w:bottom w:w="40" w:type="dxa"/>
              <w:right w:w="20" w:type="dxa"/>
            </w:tcMar>
            <w:vAlign w:val="center"/>
          </w:tcPr>
          <w:p w14:paraId="7E7840E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0E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0EB" w14:textId="77777777" w:rsidR="00A82082" w:rsidRDefault="00E946F9">
            <w:pPr>
              <w:jc w:val="right"/>
              <w:textAlignment w:val="center"/>
            </w:pPr>
            <w:r>
              <w:rPr>
                <w:rFonts w:ascii="Times New Roman" w:eastAsia="宋体" w:hAnsi="Times New Roman"/>
                <w:color w:val="000000"/>
                <w:sz w:val="16"/>
                <w:szCs w:val="16"/>
              </w:rPr>
              <w:t>51,546 </w:t>
            </w:r>
          </w:p>
        </w:tc>
        <w:tc>
          <w:tcPr>
            <w:tcW w:w="0" w:type="auto"/>
            <w:shd w:val="clear" w:color="auto" w:fill="CCEEFF"/>
            <w:tcMar>
              <w:top w:w="40" w:type="dxa"/>
              <w:left w:w="0" w:type="dxa"/>
              <w:bottom w:w="40" w:type="dxa"/>
              <w:right w:w="20" w:type="dxa"/>
            </w:tcMar>
            <w:vAlign w:val="center"/>
          </w:tcPr>
          <w:p w14:paraId="7E7840EC" w14:textId="77777777" w:rsidR="00A82082" w:rsidRDefault="00A82082">
            <w:pPr>
              <w:jc w:val="right"/>
              <w:rPr>
                <w:rFonts w:ascii="宋体"/>
              </w:rPr>
            </w:pPr>
          </w:p>
        </w:tc>
      </w:tr>
      <w:tr w:rsidR="00A82082" w14:paraId="7E7840F8" w14:textId="77777777">
        <w:trPr>
          <w:jc w:val="center"/>
        </w:trPr>
        <w:tc>
          <w:tcPr>
            <w:tcW w:w="0" w:type="auto"/>
            <w:gridSpan w:val="3"/>
            <w:shd w:val="clear" w:color="auto" w:fill="FFFFFF"/>
            <w:tcMar>
              <w:top w:w="40" w:type="dxa"/>
              <w:left w:w="380" w:type="dxa"/>
              <w:bottom w:w="40" w:type="dxa"/>
              <w:right w:w="20" w:type="dxa"/>
            </w:tcMar>
            <w:vAlign w:val="center"/>
          </w:tcPr>
          <w:p w14:paraId="7E7840EE" w14:textId="77777777" w:rsidR="00A82082" w:rsidRDefault="00E946F9">
            <w:pPr>
              <w:textAlignment w:val="center"/>
            </w:pPr>
            <w:r>
              <w:rPr>
                <w:rFonts w:ascii="Times New Roman" w:eastAsia="宋体" w:hAnsi="Times New Roman"/>
                <w:color w:val="000000"/>
                <w:sz w:val="16"/>
                <w:szCs w:val="16"/>
              </w:rPr>
              <w:t>Prepai</w:t>
            </w:r>
            <w:r>
              <w:rPr>
                <w:rFonts w:ascii="Times New Roman" w:eastAsia="宋体" w:hAnsi="Times New Roman"/>
                <w:color w:val="000000"/>
                <w:sz w:val="16"/>
                <w:szCs w:val="16"/>
              </w:rPr>
              <w:t>d expenses and other</w:t>
            </w:r>
          </w:p>
        </w:tc>
        <w:tc>
          <w:tcPr>
            <w:tcW w:w="0" w:type="auto"/>
            <w:gridSpan w:val="3"/>
            <w:shd w:val="clear" w:color="auto" w:fill="FFFFFF"/>
            <w:tcMar>
              <w:top w:w="0" w:type="dxa"/>
              <w:left w:w="20" w:type="dxa"/>
              <w:bottom w:w="0" w:type="dxa"/>
              <w:right w:w="20" w:type="dxa"/>
            </w:tcMar>
          </w:tcPr>
          <w:p w14:paraId="7E7840E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F0" w14:textId="77777777" w:rsidR="00A82082" w:rsidRDefault="00E946F9">
            <w:pPr>
              <w:jc w:val="right"/>
              <w:textAlignment w:val="center"/>
            </w:pPr>
            <w:r>
              <w:rPr>
                <w:rFonts w:ascii="Times New Roman" w:eastAsia="宋体" w:hAnsi="Times New Roman"/>
                <w:color w:val="000000"/>
                <w:sz w:val="16"/>
                <w:szCs w:val="16"/>
              </w:rPr>
              <w:t>1,665 </w:t>
            </w:r>
          </w:p>
        </w:tc>
        <w:tc>
          <w:tcPr>
            <w:tcW w:w="0" w:type="auto"/>
            <w:shd w:val="clear" w:color="auto" w:fill="FFFFFF"/>
            <w:tcMar>
              <w:top w:w="40" w:type="dxa"/>
              <w:left w:w="0" w:type="dxa"/>
              <w:bottom w:w="40" w:type="dxa"/>
              <w:right w:w="20" w:type="dxa"/>
            </w:tcMar>
            <w:vAlign w:val="center"/>
          </w:tcPr>
          <w:p w14:paraId="7E7840F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F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F3" w14:textId="77777777" w:rsidR="00A82082" w:rsidRDefault="00E946F9">
            <w:pPr>
              <w:jc w:val="right"/>
              <w:textAlignment w:val="center"/>
            </w:pPr>
            <w:r>
              <w:rPr>
                <w:rFonts w:ascii="Times New Roman" w:eastAsia="宋体" w:hAnsi="Times New Roman"/>
                <w:color w:val="000000"/>
                <w:sz w:val="16"/>
                <w:szCs w:val="16"/>
              </w:rPr>
              <w:t>1,622 </w:t>
            </w:r>
          </w:p>
        </w:tc>
        <w:tc>
          <w:tcPr>
            <w:tcW w:w="0" w:type="auto"/>
            <w:shd w:val="clear" w:color="auto" w:fill="FFFFFF"/>
            <w:tcMar>
              <w:top w:w="40" w:type="dxa"/>
              <w:left w:w="0" w:type="dxa"/>
              <w:bottom w:w="40" w:type="dxa"/>
              <w:right w:w="20" w:type="dxa"/>
            </w:tcMar>
            <w:vAlign w:val="center"/>
          </w:tcPr>
          <w:p w14:paraId="7E7840F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0F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0F6" w14:textId="77777777" w:rsidR="00A82082" w:rsidRDefault="00E946F9">
            <w:pPr>
              <w:jc w:val="right"/>
              <w:textAlignment w:val="center"/>
            </w:pPr>
            <w:r>
              <w:rPr>
                <w:rFonts w:ascii="Times New Roman" w:eastAsia="宋体" w:hAnsi="Times New Roman"/>
                <w:color w:val="000000"/>
                <w:sz w:val="16"/>
                <w:szCs w:val="16"/>
              </w:rPr>
              <w:t>2,148 </w:t>
            </w:r>
          </w:p>
        </w:tc>
        <w:tc>
          <w:tcPr>
            <w:tcW w:w="0" w:type="auto"/>
            <w:shd w:val="clear" w:color="auto" w:fill="FFFFFF"/>
            <w:tcMar>
              <w:top w:w="40" w:type="dxa"/>
              <w:left w:w="0" w:type="dxa"/>
              <w:bottom w:w="40" w:type="dxa"/>
              <w:right w:w="20" w:type="dxa"/>
            </w:tcMar>
            <w:vAlign w:val="center"/>
          </w:tcPr>
          <w:p w14:paraId="7E7840F7" w14:textId="77777777" w:rsidR="00A82082" w:rsidRDefault="00A82082">
            <w:pPr>
              <w:jc w:val="right"/>
              <w:rPr>
                <w:rFonts w:ascii="宋体"/>
              </w:rPr>
            </w:pPr>
          </w:p>
        </w:tc>
      </w:tr>
      <w:tr w:rsidR="00A82082" w14:paraId="7E784100" w14:textId="77777777">
        <w:trPr>
          <w:jc w:val="center"/>
          <w:hidden/>
        </w:trPr>
        <w:tc>
          <w:tcPr>
            <w:tcW w:w="0" w:type="auto"/>
            <w:gridSpan w:val="3"/>
            <w:shd w:val="clear" w:color="auto" w:fill="auto"/>
          </w:tcPr>
          <w:p w14:paraId="7E7840F9" w14:textId="77777777" w:rsidR="00A82082" w:rsidRDefault="00A82082">
            <w:pPr>
              <w:rPr>
                <w:rFonts w:ascii="宋体"/>
                <w:vanish/>
              </w:rPr>
            </w:pPr>
          </w:p>
        </w:tc>
        <w:tc>
          <w:tcPr>
            <w:tcW w:w="0" w:type="auto"/>
            <w:gridSpan w:val="3"/>
            <w:shd w:val="clear" w:color="auto" w:fill="auto"/>
          </w:tcPr>
          <w:p w14:paraId="7E7840FA" w14:textId="77777777" w:rsidR="00A82082" w:rsidRDefault="00A82082">
            <w:pPr>
              <w:rPr>
                <w:rFonts w:ascii="宋体"/>
                <w:vanish/>
              </w:rPr>
            </w:pPr>
          </w:p>
        </w:tc>
        <w:tc>
          <w:tcPr>
            <w:tcW w:w="0" w:type="auto"/>
            <w:gridSpan w:val="3"/>
            <w:shd w:val="clear" w:color="auto" w:fill="auto"/>
          </w:tcPr>
          <w:p w14:paraId="7E7840FB" w14:textId="77777777" w:rsidR="00A82082" w:rsidRDefault="00A82082">
            <w:pPr>
              <w:rPr>
                <w:rFonts w:ascii="宋体"/>
                <w:vanish/>
              </w:rPr>
            </w:pPr>
          </w:p>
        </w:tc>
        <w:tc>
          <w:tcPr>
            <w:tcW w:w="0" w:type="auto"/>
            <w:gridSpan w:val="3"/>
            <w:shd w:val="clear" w:color="auto" w:fill="auto"/>
          </w:tcPr>
          <w:p w14:paraId="7E7840FC" w14:textId="77777777" w:rsidR="00A82082" w:rsidRDefault="00A82082">
            <w:pPr>
              <w:rPr>
                <w:rFonts w:ascii="宋体"/>
                <w:vanish/>
              </w:rPr>
            </w:pPr>
          </w:p>
        </w:tc>
        <w:tc>
          <w:tcPr>
            <w:tcW w:w="0" w:type="auto"/>
            <w:gridSpan w:val="3"/>
            <w:shd w:val="clear" w:color="auto" w:fill="auto"/>
          </w:tcPr>
          <w:p w14:paraId="7E7840FD" w14:textId="77777777" w:rsidR="00A82082" w:rsidRDefault="00A82082">
            <w:pPr>
              <w:rPr>
                <w:rFonts w:ascii="宋体"/>
                <w:vanish/>
              </w:rPr>
            </w:pPr>
          </w:p>
        </w:tc>
        <w:tc>
          <w:tcPr>
            <w:tcW w:w="0" w:type="auto"/>
            <w:gridSpan w:val="3"/>
            <w:shd w:val="clear" w:color="auto" w:fill="auto"/>
          </w:tcPr>
          <w:p w14:paraId="7E7840FE" w14:textId="77777777" w:rsidR="00A82082" w:rsidRDefault="00A82082">
            <w:pPr>
              <w:rPr>
                <w:rFonts w:ascii="宋体"/>
                <w:vanish/>
              </w:rPr>
            </w:pPr>
          </w:p>
        </w:tc>
        <w:tc>
          <w:tcPr>
            <w:tcW w:w="0" w:type="auto"/>
            <w:gridSpan w:val="3"/>
            <w:shd w:val="clear" w:color="auto" w:fill="auto"/>
          </w:tcPr>
          <w:p w14:paraId="7E7840FF" w14:textId="77777777" w:rsidR="00A82082" w:rsidRDefault="00A82082">
            <w:pPr>
              <w:rPr>
                <w:rFonts w:ascii="宋体"/>
                <w:vanish/>
              </w:rPr>
            </w:pPr>
          </w:p>
        </w:tc>
      </w:tr>
      <w:tr w:rsidR="00A82082" w14:paraId="7E78410B" w14:textId="77777777">
        <w:trPr>
          <w:jc w:val="center"/>
        </w:trPr>
        <w:tc>
          <w:tcPr>
            <w:tcW w:w="0" w:type="auto"/>
            <w:gridSpan w:val="3"/>
            <w:shd w:val="clear" w:color="auto" w:fill="CCEEFF"/>
            <w:tcMar>
              <w:top w:w="40" w:type="dxa"/>
              <w:left w:w="740" w:type="dxa"/>
              <w:bottom w:w="40" w:type="dxa"/>
              <w:right w:w="20" w:type="dxa"/>
            </w:tcMar>
            <w:vAlign w:val="center"/>
          </w:tcPr>
          <w:p w14:paraId="7E784101" w14:textId="77777777" w:rsidR="00A82082" w:rsidRDefault="00E946F9">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tcPr>
          <w:p w14:paraId="7E784102"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103" w14:textId="77777777" w:rsidR="00A82082" w:rsidRDefault="00E946F9">
            <w:pPr>
              <w:jc w:val="right"/>
              <w:textAlignment w:val="center"/>
            </w:pPr>
            <w:r>
              <w:rPr>
                <w:rFonts w:ascii="Times New Roman" w:eastAsia="宋体" w:hAnsi="Times New Roman"/>
                <w:color w:val="000000"/>
                <w:sz w:val="16"/>
                <w:szCs w:val="16"/>
              </w:rPr>
              <w:t>73,602 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10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05"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106" w14:textId="77777777" w:rsidR="00A82082" w:rsidRDefault="00E946F9">
            <w:pPr>
              <w:jc w:val="right"/>
              <w:textAlignment w:val="center"/>
            </w:pPr>
            <w:r>
              <w:rPr>
                <w:rFonts w:ascii="Times New Roman" w:eastAsia="宋体" w:hAnsi="Times New Roman"/>
                <w:color w:val="000000"/>
                <w:sz w:val="16"/>
                <w:szCs w:val="16"/>
              </w:rPr>
              <w:t>61,806 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10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08"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109" w14:textId="77777777" w:rsidR="00A82082" w:rsidRDefault="00E946F9">
            <w:pPr>
              <w:jc w:val="right"/>
              <w:textAlignment w:val="center"/>
            </w:pPr>
            <w:r>
              <w:rPr>
                <w:rFonts w:ascii="Times New Roman" w:eastAsia="宋体" w:hAnsi="Times New Roman"/>
                <w:color w:val="000000"/>
                <w:sz w:val="16"/>
                <w:szCs w:val="16"/>
              </w:rPr>
              <w:t>67,912 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10A" w14:textId="77777777" w:rsidR="00A82082" w:rsidRDefault="00A82082">
            <w:pPr>
              <w:jc w:val="right"/>
              <w:rPr>
                <w:rFonts w:ascii="宋体"/>
              </w:rPr>
            </w:pPr>
          </w:p>
        </w:tc>
      </w:tr>
      <w:tr w:rsidR="00A82082" w14:paraId="7E784113" w14:textId="77777777">
        <w:trPr>
          <w:trHeight w:val="240"/>
          <w:jc w:val="center"/>
        </w:trPr>
        <w:tc>
          <w:tcPr>
            <w:tcW w:w="0" w:type="auto"/>
            <w:gridSpan w:val="3"/>
            <w:shd w:val="clear" w:color="auto" w:fill="FFFFFF"/>
            <w:tcMar>
              <w:top w:w="0" w:type="dxa"/>
              <w:left w:w="20" w:type="dxa"/>
              <w:bottom w:w="0" w:type="dxa"/>
              <w:right w:w="20" w:type="dxa"/>
            </w:tcMar>
          </w:tcPr>
          <w:p w14:paraId="7E78410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0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0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0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1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1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12" w14:textId="77777777" w:rsidR="00A82082" w:rsidRDefault="00A82082">
            <w:pPr>
              <w:rPr>
                <w:rFonts w:ascii="宋体"/>
              </w:rPr>
            </w:pPr>
          </w:p>
        </w:tc>
      </w:tr>
      <w:tr w:rsidR="00A82082" w14:paraId="7E78411B" w14:textId="77777777">
        <w:trPr>
          <w:jc w:val="center"/>
          <w:hidden/>
        </w:trPr>
        <w:tc>
          <w:tcPr>
            <w:tcW w:w="0" w:type="auto"/>
            <w:gridSpan w:val="3"/>
            <w:shd w:val="clear" w:color="auto" w:fill="auto"/>
          </w:tcPr>
          <w:p w14:paraId="7E784114" w14:textId="77777777" w:rsidR="00A82082" w:rsidRDefault="00A82082">
            <w:pPr>
              <w:rPr>
                <w:rFonts w:ascii="宋体"/>
                <w:vanish/>
              </w:rPr>
            </w:pPr>
          </w:p>
        </w:tc>
        <w:tc>
          <w:tcPr>
            <w:tcW w:w="0" w:type="auto"/>
            <w:gridSpan w:val="3"/>
            <w:shd w:val="clear" w:color="auto" w:fill="auto"/>
          </w:tcPr>
          <w:p w14:paraId="7E784115" w14:textId="77777777" w:rsidR="00A82082" w:rsidRDefault="00A82082">
            <w:pPr>
              <w:rPr>
                <w:rFonts w:ascii="宋体"/>
                <w:vanish/>
              </w:rPr>
            </w:pPr>
          </w:p>
        </w:tc>
        <w:tc>
          <w:tcPr>
            <w:tcW w:w="0" w:type="auto"/>
            <w:gridSpan w:val="3"/>
            <w:shd w:val="clear" w:color="auto" w:fill="auto"/>
          </w:tcPr>
          <w:p w14:paraId="7E784116" w14:textId="77777777" w:rsidR="00A82082" w:rsidRDefault="00A82082">
            <w:pPr>
              <w:rPr>
                <w:rFonts w:ascii="宋体"/>
                <w:vanish/>
              </w:rPr>
            </w:pPr>
          </w:p>
        </w:tc>
        <w:tc>
          <w:tcPr>
            <w:tcW w:w="0" w:type="auto"/>
            <w:gridSpan w:val="3"/>
            <w:shd w:val="clear" w:color="auto" w:fill="auto"/>
          </w:tcPr>
          <w:p w14:paraId="7E784117" w14:textId="77777777" w:rsidR="00A82082" w:rsidRDefault="00A82082">
            <w:pPr>
              <w:rPr>
                <w:rFonts w:ascii="宋体"/>
                <w:vanish/>
              </w:rPr>
            </w:pPr>
          </w:p>
        </w:tc>
        <w:tc>
          <w:tcPr>
            <w:tcW w:w="0" w:type="auto"/>
            <w:gridSpan w:val="3"/>
            <w:shd w:val="clear" w:color="auto" w:fill="auto"/>
          </w:tcPr>
          <w:p w14:paraId="7E784118" w14:textId="77777777" w:rsidR="00A82082" w:rsidRDefault="00A82082">
            <w:pPr>
              <w:rPr>
                <w:rFonts w:ascii="宋体"/>
                <w:vanish/>
              </w:rPr>
            </w:pPr>
          </w:p>
        </w:tc>
        <w:tc>
          <w:tcPr>
            <w:tcW w:w="0" w:type="auto"/>
            <w:gridSpan w:val="3"/>
            <w:shd w:val="clear" w:color="auto" w:fill="auto"/>
          </w:tcPr>
          <w:p w14:paraId="7E784119" w14:textId="77777777" w:rsidR="00A82082" w:rsidRDefault="00A82082">
            <w:pPr>
              <w:rPr>
                <w:rFonts w:ascii="宋体"/>
                <w:vanish/>
              </w:rPr>
            </w:pPr>
          </w:p>
        </w:tc>
        <w:tc>
          <w:tcPr>
            <w:tcW w:w="0" w:type="auto"/>
            <w:gridSpan w:val="3"/>
            <w:shd w:val="clear" w:color="auto" w:fill="auto"/>
          </w:tcPr>
          <w:p w14:paraId="7E78411A" w14:textId="77777777" w:rsidR="00A82082" w:rsidRDefault="00A82082">
            <w:pPr>
              <w:rPr>
                <w:rFonts w:ascii="宋体"/>
                <w:vanish/>
              </w:rPr>
            </w:pPr>
          </w:p>
        </w:tc>
      </w:tr>
      <w:tr w:rsidR="00A82082" w14:paraId="7E784123" w14:textId="77777777">
        <w:trPr>
          <w:jc w:val="center"/>
          <w:hidden/>
        </w:trPr>
        <w:tc>
          <w:tcPr>
            <w:tcW w:w="0" w:type="auto"/>
            <w:gridSpan w:val="3"/>
            <w:shd w:val="clear" w:color="auto" w:fill="auto"/>
          </w:tcPr>
          <w:p w14:paraId="7E78411C" w14:textId="77777777" w:rsidR="00A82082" w:rsidRDefault="00A82082">
            <w:pPr>
              <w:rPr>
                <w:rFonts w:ascii="宋体"/>
                <w:vanish/>
              </w:rPr>
            </w:pPr>
          </w:p>
        </w:tc>
        <w:tc>
          <w:tcPr>
            <w:tcW w:w="0" w:type="auto"/>
            <w:gridSpan w:val="3"/>
            <w:shd w:val="clear" w:color="auto" w:fill="auto"/>
          </w:tcPr>
          <w:p w14:paraId="7E78411D" w14:textId="77777777" w:rsidR="00A82082" w:rsidRDefault="00A82082">
            <w:pPr>
              <w:rPr>
                <w:rFonts w:ascii="宋体"/>
                <w:vanish/>
              </w:rPr>
            </w:pPr>
          </w:p>
        </w:tc>
        <w:tc>
          <w:tcPr>
            <w:tcW w:w="0" w:type="auto"/>
            <w:gridSpan w:val="3"/>
            <w:shd w:val="clear" w:color="auto" w:fill="auto"/>
          </w:tcPr>
          <w:p w14:paraId="7E78411E" w14:textId="77777777" w:rsidR="00A82082" w:rsidRDefault="00A82082">
            <w:pPr>
              <w:rPr>
                <w:rFonts w:ascii="宋体"/>
                <w:vanish/>
              </w:rPr>
            </w:pPr>
          </w:p>
        </w:tc>
        <w:tc>
          <w:tcPr>
            <w:tcW w:w="0" w:type="auto"/>
            <w:gridSpan w:val="3"/>
            <w:shd w:val="clear" w:color="auto" w:fill="auto"/>
          </w:tcPr>
          <w:p w14:paraId="7E78411F" w14:textId="77777777" w:rsidR="00A82082" w:rsidRDefault="00A82082">
            <w:pPr>
              <w:rPr>
                <w:rFonts w:ascii="宋体"/>
                <w:vanish/>
              </w:rPr>
            </w:pPr>
          </w:p>
        </w:tc>
        <w:tc>
          <w:tcPr>
            <w:tcW w:w="0" w:type="auto"/>
            <w:gridSpan w:val="3"/>
            <w:shd w:val="clear" w:color="auto" w:fill="auto"/>
          </w:tcPr>
          <w:p w14:paraId="7E784120" w14:textId="77777777" w:rsidR="00A82082" w:rsidRDefault="00A82082">
            <w:pPr>
              <w:rPr>
                <w:rFonts w:ascii="宋体"/>
                <w:vanish/>
              </w:rPr>
            </w:pPr>
          </w:p>
        </w:tc>
        <w:tc>
          <w:tcPr>
            <w:tcW w:w="0" w:type="auto"/>
            <w:gridSpan w:val="3"/>
            <w:shd w:val="clear" w:color="auto" w:fill="auto"/>
          </w:tcPr>
          <w:p w14:paraId="7E784121" w14:textId="77777777" w:rsidR="00A82082" w:rsidRDefault="00A82082">
            <w:pPr>
              <w:rPr>
                <w:rFonts w:ascii="宋体"/>
                <w:vanish/>
              </w:rPr>
            </w:pPr>
          </w:p>
        </w:tc>
        <w:tc>
          <w:tcPr>
            <w:tcW w:w="0" w:type="auto"/>
            <w:gridSpan w:val="3"/>
            <w:shd w:val="clear" w:color="auto" w:fill="auto"/>
          </w:tcPr>
          <w:p w14:paraId="7E784122" w14:textId="77777777" w:rsidR="00A82082" w:rsidRDefault="00A82082">
            <w:pPr>
              <w:rPr>
                <w:rFonts w:ascii="宋体"/>
                <w:vanish/>
              </w:rPr>
            </w:pPr>
          </w:p>
        </w:tc>
      </w:tr>
      <w:tr w:rsidR="00A82082" w14:paraId="7E78412E" w14:textId="77777777">
        <w:trPr>
          <w:jc w:val="center"/>
        </w:trPr>
        <w:tc>
          <w:tcPr>
            <w:tcW w:w="0" w:type="auto"/>
            <w:gridSpan w:val="3"/>
            <w:shd w:val="clear" w:color="auto" w:fill="CCEEFF"/>
            <w:tcMar>
              <w:top w:w="40" w:type="dxa"/>
              <w:left w:w="20" w:type="dxa"/>
              <w:bottom w:w="40" w:type="dxa"/>
              <w:right w:w="20" w:type="dxa"/>
            </w:tcMar>
            <w:vAlign w:val="center"/>
          </w:tcPr>
          <w:p w14:paraId="7E784124" w14:textId="77777777" w:rsidR="00A82082" w:rsidRDefault="00E946F9">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tcPr>
          <w:p w14:paraId="7E78412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26" w14:textId="77777777" w:rsidR="00A82082" w:rsidRDefault="00E946F9">
            <w:pPr>
              <w:jc w:val="right"/>
              <w:textAlignment w:val="center"/>
            </w:pPr>
            <w:r>
              <w:rPr>
                <w:rFonts w:ascii="Times New Roman" w:eastAsia="宋体" w:hAnsi="Times New Roman"/>
                <w:color w:val="000000"/>
                <w:sz w:val="16"/>
                <w:szCs w:val="16"/>
              </w:rPr>
              <w:t>102,232 </w:t>
            </w:r>
          </w:p>
        </w:tc>
        <w:tc>
          <w:tcPr>
            <w:tcW w:w="0" w:type="auto"/>
            <w:shd w:val="clear" w:color="auto" w:fill="CCEEFF"/>
            <w:tcMar>
              <w:top w:w="40" w:type="dxa"/>
              <w:left w:w="0" w:type="dxa"/>
              <w:bottom w:w="40" w:type="dxa"/>
              <w:right w:w="20" w:type="dxa"/>
            </w:tcMar>
            <w:vAlign w:val="center"/>
          </w:tcPr>
          <w:p w14:paraId="7E78412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2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29" w14:textId="77777777" w:rsidR="00A82082" w:rsidRDefault="00E946F9">
            <w:pPr>
              <w:jc w:val="right"/>
              <w:textAlignment w:val="center"/>
            </w:pPr>
            <w:r>
              <w:rPr>
                <w:rFonts w:ascii="Times New Roman" w:eastAsia="宋体" w:hAnsi="Times New Roman"/>
                <w:color w:val="000000"/>
                <w:sz w:val="16"/>
                <w:szCs w:val="16"/>
              </w:rPr>
              <w:t>105,208 </w:t>
            </w:r>
          </w:p>
        </w:tc>
        <w:tc>
          <w:tcPr>
            <w:tcW w:w="0" w:type="auto"/>
            <w:shd w:val="clear" w:color="auto" w:fill="CCEEFF"/>
            <w:tcMar>
              <w:top w:w="40" w:type="dxa"/>
              <w:left w:w="0" w:type="dxa"/>
              <w:bottom w:w="40" w:type="dxa"/>
              <w:right w:w="20" w:type="dxa"/>
            </w:tcMar>
            <w:vAlign w:val="center"/>
          </w:tcPr>
          <w:p w14:paraId="7E78412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2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2C" w14:textId="77777777" w:rsidR="00A82082" w:rsidRDefault="00E946F9">
            <w:pPr>
              <w:jc w:val="right"/>
              <w:textAlignment w:val="center"/>
            </w:pPr>
            <w:r>
              <w:rPr>
                <w:rFonts w:ascii="Times New Roman" w:eastAsia="宋体" w:hAnsi="Times New Roman"/>
                <w:color w:val="000000"/>
                <w:sz w:val="16"/>
                <w:szCs w:val="16"/>
              </w:rPr>
              <w:t>104,326 </w:t>
            </w:r>
          </w:p>
        </w:tc>
        <w:tc>
          <w:tcPr>
            <w:tcW w:w="0" w:type="auto"/>
            <w:shd w:val="clear" w:color="auto" w:fill="CCEEFF"/>
            <w:tcMar>
              <w:top w:w="40" w:type="dxa"/>
              <w:left w:w="0" w:type="dxa"/>
              <w:bottom w:w="40" w:type="dxa"/>
              <w:right w:w="20" w:type="dxa"/>
            </w:tcMar>
            <w:vAlign w:val="center"/>
          </w:tcPr>
          <w:p w14:paraId="7E78412D" w14:textId="77777777" w:rsidR="00A82082" w:rsidRDefault="00A82082">
            <w:pPr>
              <w:jc w:val="right"/>
              <w:rPr>
                <w:rFonts w:ascii="宋体"/>
              </w:rPr>
            </w:pPr>
          </w:p>
        </w:tc>
      </w:tr>
      <w:tr w:rsidR="00A82082" w14:paraId="7E784139" w14:textId="77777777">
        <w:trPr>
          <w:jc w:val="center"/>
        </w:trPr>
        <w:tc>
          <w:tcPr>
            <w:tcW w:w="0" w:type="auto"/>
            <w:gridSpan w:val="3"/>
            <w:shd w:val="clear" w:color="auto" w:fill="FFFFFF"/>
            <w:tcMar>
              <w:top w:w="40" w:type="dxa"/>
              <w:left w:w="20" w:type="dxa"/>
              <w:bottom w:w="40" w:type="dxa"/>
              <w:right w:w="20" w:type="dxa"/>
            </w:tcMar>
            <w:vAlign w:val="center"/>
          </w:tcPr>
          <w:p w14:paraId="7E78412F" w14:textId="77777777" w:rsidR="00A82082" w:rsidRDefault="00E946F9">
            <w:pPr>
              <w:textAlignment w:val="center"/>
            </w:pPr>
            <w:r>
              <w:rPr>
                <w:rFonts w:ascii="Times New Roman" w:eastAsia="宋体" w:hAnsi="Times New Roman"/>
                <w:color w:val="000000"/>
                <w:sz w:val="16"/>
                <w:szCs w:val="16"/>
              </w:rPr>
              <w:t>Operating l</w:t>
            </w:r>
            <w:r>
              <w:rPr>
                <w:rFonts w:ascii="Times New Roman" w:eastAsia="宋体" w:hAnsi="Times New Roman"/>
                <w:color w:val="000000"/>
                <w:sz w:val="16"/>
                <w:szCs w:val="16"/>
              </w:rPr>
              <w:t>ease right-of-use assets</w:t>
            </w:r>
          </w:p>
        </w:tc>
        <w:tc>
          <w:tcPr>
            <w:tcW w:w="0" w:type="auto"/>
            <w:gridSpan w:val="3"/>
            <w:shd w:val="clear" w:color="auto" w:fill="FFFFFF"/>
            <w:tcMar>
              <w:top w:w="0" w:type="dxa"/>
              <w:left w:w="20" w:type="dxa"/>
              <w:bottom w:w="0" w:type="dxa"/>
              <w:right w:w="20" w:type="dxa"/>
            </w:tcMar>
          </w:tcPr>
          <w:p w14:paraId="7E78413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31" w14:textId="77777777" w:rsidR="00A82082" w:rsidRDefault="00E946F9">
            <w:pPr>
              <w:jc w:val="right"/>
              <w:textAlignment w:val="center"/>
            </w:pPr>
            <w:r>
              <w:rPr>
                <w:rFonts w:ascii="Times New Roman" w:eastAsia="宋体" w:hAnsi="Times New Roman"/>
                <w:color w:val="000000"/>
                <w:sz w:val="16"/>
                <w:szCs w:val="16"/>
              </w:rPr>
              <w:t>17,128 </w:t>
            </w:r>
          </w:p>
        </w:tc>
        <w:tc>
          <w:tcPr>
            <w:tcW w:w="0" w:type="auto"/>
            <w:shd w:val="clear" w:color="auto" w:fill="FFFFFF"/>
            <w:tcMar>
              <w:top w:w="40" w:type="dxa"/>
              <w:left w:w="0" w:type="dxa"/>
              <w:bottom w:w="40" w:type="dxa"/>
              <w:right w:w="20" w:type="dxa"/>
            </w:tcMar>
            <w:vAlign w:val="center"/>
          </w:tcPr>
          <w:p w14:paraId="7E78413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3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34" w14:textId="77777777" w:rsidR="00A82082" w:rsidRDefault="00E946F9">
            <w:pPr>
              <w:jc w:val="right"/>
              <w:textAlignment w:val="center"/>
            </w:pPr>
            <w:r>
              <w:rPr>
                <w:rFonts w:ascii="Times New Roman" w:eastAsia="宋体" w:hAnsi="Times New Roman"/>
                <w:color w:val="000000"/>
                <w:sz w:val="16"/>
                <w:szCs w:val="16"/>
              </w:rPr>
              <w:t>17,424 </w:t>
            </w:r>
          </w:p>
        </w:tc>
        <w:tc>
          <w:tcPr>
            <w:tcW w:w="0" w:type="auto"/>
            <w:shd w:val="clear" w:color="auto" w:fill="FFFFFF"/>
            <w:tcMar>
              <w:top w:w="40" w:type="dxa"/>
              <w:left w:w="0" w:type="dxa"/>
              <w:bottom w:w="40" w:type="dxa"/>
              <w:right w:w="20" w:type="dxa"/>
            </w:tcMar>
            <w:vAlign w:val="center"/>
          </w:tcPr>
          <w:p w14:paraId="7E78413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3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37" w14:textId="77777777" w:rsidR="00A82082" w:rsidRDefault="00E946F9">
            <w:pPr>
              <w:jc w:val="right"/>
              <w:textAlignment w:val="center"/>
            </w:pPr>
            <w:r>
              <w:rPr>
                <w:rFonts w:ascii="Times New Roman" w:eastAsia="宋体" w:hAnsi="Times New Roman"/>
                <w:color w:val="000000"/>
                <w:sz w:val="16"/>
                <w:szCs w:val="16"/>
              </w:rPr>
              <w:t>16,944 </w:t>
            </w:r>
          </w:p>
        </w:tc>
        <w:tc>
          <w:tcPr>
            <w:tcW w:w="0" w:type="auto"/>
            <w:shd w:val="clear" w:color="auto" w:fill="FFFFFF"/>
            <w:tcMar>
              <w:top w:w="40" w:type="dxa"/>
              <w:left w:w="0" w:type="dxa"/>
              <w:bottom w:w="40" w:type="dxa"/>
              <w:right w:w="20" w:type="dxa"/>
            </w:tcMar>
            <w:vAlign w:val="center"/>
          </w:tcPr>
          <w:p w14:paraId="7E784138" w14:textId="77777777" w:rsidR="00A82082" w:rsidRDefault="00A82082">
            <w:pPr>
              <w:jc w:val="right"/>
              <w:rPr>
                <w:rFonts w:ascii="宋体"/>
              </w:rPr>
            </w:pPr>
          </w:p>
        </w:tc>
      </w:tr>
      <w:tr w:rsidR="00A82082" w14:paraId="7E784144" w14:textId="77777777">
        <w:trPr>
          <w:jc w:val="center"/>
        </w:trPr>
        <w:tc>
          <w:tcPr>
            <w:tcW w:w="0" w:type="auto"/>
            <w:gridSpan w:val="3"/>
            <w:shd w:val="clear" w:color="auto" w:fill="CCEEFF"/>
            <w:tcMar>
              <w:top w:w="40" w:type="dxa"/>
              <w:left w:w="20" w:type="dxa"/>
              <w:bottom w:w="40" w:type="dxa"/>
              <w:right w:w="20" w:type="dxa"/>
            </w:tcMar>
            <w:vAlign w:val="center"/>
          </w:tcPr>
          <w:p w14:paraId="7E78413A" w14:textId="77777777" w:rsidR="00A82082" w:rsidRDefault="00E946F9">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tcPr>
          <w:p w14:paraId="7E78413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3C" w14:textId="77777777" w:rsidR="00A82082" w:rsidRDefault="00E946F9">
            <w:pPr>
              <w:jc w:val="right"/>
              <w:textAlignment w:val="center"/>
            </w:pPr>
            <w:r>
              <w:rPr>
                <w:rFonts w:ascii="Times New Roman" w:eastAsia="宋体" w:hAnsi="Times New Roman"/>
                <w:color w:val="000000"/>
                <w:sz w:val="16"/>
                <w:szCs w:val="16"/>
              </w:rPr>
              <w:t>4,929 </w:t>
            </w:r>
          </w:p>
        </w:tc>
        <w:tc>
          <w:tcPr>
            <w:tcW w:w="0" w:type="auto"/>
            <w:shd w:val="clear" w:color="auto" w:fill="CCEEFF"/>
            <w:tcMar>
              <w:top w:w="40" w:type="dxa"/>
              <w:left w:w="0" w:type="dxa"/>
              <w:bottom w:w="40" w:type="dxa"/>
              <w:right w:w="20" w:type="dxa"/>
            </w:tcMar>
            <w:vAlign w:val="center"/>
          </w:tcPr>
          <w:p w14:paraId="7E78413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3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3F" w14:textId="77777777" w:rsidR="00A82082" w:rsidRDefault="00E946F9">
            <w:pPr>
              <w:jc w:val="right"/>
              <w:textAlignment w:val="center"/>
            </w:pPr>
            <w:r>
              <w:rPr>
                <w:rFonts w:ascii="Times New Roman" w:eastAsia="宋体" w:hAnsi="Times New Roman"/>
                <w:color w:val="000000"/>
                <w:sz w:val="16"/>
                <w:szCs w:val="16"/>
              </w:rPr>
              <w:t>4,417 </w:t>
            </w:r>
          </w:p>
        </w:tc>
        <w:tc>
          <w:tcPr>
            <w:tcW w:w="0" w:type="auto"/>
            <w:shd w:val="clear" w:color="auto" w:fill="CCEEFF"/>
            <w:tcMar>
              <w:top w:w="40" w:type="dxa"/>
              <w:left w:w="0" w:type="dxa"/>
              <w:bottom w:w="40" w:type="dxa"/>
              <w:right w:w="20" w:type="dxa"/>
            </w:tcMar>
            <w:vAlign w:val="center"/>
          </w:tcPr>
          <w:p w14:paraId="7E78414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4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42" w14:textId="77777777" w:rsidR="00A82082" w:rsidRDefault="00E946F9">
            <w:pPr>
              <w:jc w:val="right"/>
              <w:textAlignment w:val="center"/>
            </w:pPr>
            <w:r>
              <w:rPr>
                <w:rFonts w:ascii="Times New Roman" w:eastAsia="宋体" w:hAnsi="Times New Roman"/>
                <w:color w:val="000000"/>
                <w:sz w:val="16"/>
                <w:szCs w:val="16"/>
              </w:rPr>
              <w:t>4,155 </w:t>
            </w:r>
          </w:p>
        </w:tc>
        <w:tc>
          <w:tcPr>
            <w:tcW w:w="0" w:type="auto"/>
            <w:shd w:val="clear" w:color="auto" w:fill="CCEEFF"/>
            <w:tcMar>
              <w:top w:w="40" w:type="dxa"/>
              <w:left w:w="0" w:type="dxa"/>
              <w:bottom w:w="40" w:type="dxa"/>
              <w:right w:w="20" w:type="dxa"/>
            </w:tcMar>
            <w:vAlign w:val="center"/>
          </w:tcPr>
          <w:p w14:paraId="7E784143" w14:textId="77777777" w:rsidR="00A82082" w:rsidRDefault="00A82082">
            <w:pPr>
              <w:jc w:val="right"/>
              <w:rPr>
                <w:rFonts w:ascii="宋体"/>
              </w:rPr>
            </w:pPr>
          </w:p>
        </w:tc>
      </w:tr>
      <w:tr w:rsidR="00A82082" w14:paraId="7E78414C" w14:textId="77777777">
        <w:trPr>
          <w:jc w:val="center"/>
          <w:hidden/>
        </w:trPr>
        <w:tc>
          <w:tcPr>
            <w:tcW w:w="0" w:type="auto"/>
            <w:gridSpan w:val="3"/>
            <w:shd w:val="clear" w:color="auto" w:fill="auto"/>
          </w:tcPr>
          <w:p w14:paraId="7E784145" w14:textId="77777777" w:rsidR="00A82082" w:rsidRDefault="00A82082">
            <w:pPr>
              <w:rPr>
                <w:rFonts w:ascii="宋体"/>
                <w:vanish/>
              </w:rPr>
            </w:pPr>
          </w:p>
        </w:tc>
        <w:tc>
          <w:tcPr>
            <w:tcW w:w="0" w:type="auto"/>
            <w:gridSpan w:val="3"/>
            <w:shd w:val="clear" w:color="auto" w:fill="auto"/>
          </w:tcPr>
          <w:p w14:paraId="7E784146" w14:textId="77777777" w:rsidR="00A82082" w:rsidRDefault="00A82082">
            <w:pPr>
              <w:rPr>
                <w:rFonts w:ascii="宋体"/>
                <w:vanish/>
              </w:rPr>
            </w:pPr>
          </w:p>
        </w:tc>
        <w:tc>
          <w:tcPr>
            <w:tcW w:w="0" w:type="auto"/>
            <w:gridSpan w:val="3"/>
            <w:shd w:val="clear" w:color="auto" w:fill="auto"/>
          </w:tcPr>
          <w:p w14:paraId="7E784147" w14:textId="77777777" w:rsidR="00A82082" w:rsidRDefault="00A82082">
            <w:pPr>
              <w:rPr>
                <w:rFonts w:ascii="宋体"/>
                <w:vanish/>
              </w:rPr>
            </w:pPr>
          </w:p>
        </w:tc>
        <w:tc>
          <w:tcPr>
            <w:tcW w:w="0" w:type="auto"/>
            <w:gridSpan w:val="3"/>
            <w:shd w:val="clear" w:color="auto" w:fill="auto"/>
          </w:tcPr>
          <w:p w14:paraId="7E784148" w14:textId="77777777" w:rsidR="00A82082" w:rsidRDefault="00A82082">
            <w:pPr>
              <w:rPr>
                <w:rFonts w:ascii="宋体"/>
                <w:vanish/>
              </w:rPr>
            </w:pPr>
          </w:p>
        </w:tc>
        <w:tc>
          <w:tcPr>
            <w:tcW w:w="0" w:type="auto"/>
            <w:gridSpan w:val="3"/>
            <w:shd w:val="clear" w:color="auto" w:fill="auto"/>
          </w:tcPr>
          <w:p w14:paraId="7E784149" w14:textId="77777777" w:rsidR="00A82082" w:rsidRDefault="00A82082">
            <w:pPr>
              <w:rPr>
                <w:rFonts w:ascii="宋体"/>
                <w:vanish/>
              </w:rPr>
            </w:pPr>
          </w:p>
        </w:tc>
        <w:tc>
          <w:tcPr>
            <w:tcW w:w="0" w:type="auto"/>
            <w:gridSpan w:val="3"/>
            <w:shd w:val="clear" w:color="auto" w:fill="auto"/>
          </w:tcPr>
          <w:p w14:paraId="7E78414A" w14:textId="77777777" w:rsidR="00A82082" w:rsidRDefault="00A82082">
            <w:pPr>
              <w:rPr>
                <w:rFonts w:ascii="宋体"/>
                <w:vanish/>
              </w:rPr>
            </w:pPr>
          </w:p>
        </w:tc>
        <w:tc>
          <w:tcPr>
            <w:tcW w:w="0" w:type="auto"/>
            <w:gridSpan w:val="3"/>
            <w:shd w:val="clear" w:color="auto" w:fill="auto"/>
          </w:tcPr>
          <w:p w14:paraId="7E78414B" w14:textId="77777777" w:rsidR="00A82082" w:rsidRDefault="00A82082">
            <w:pPr>
              <w:rPr>
                <w:rFonts w:ascii="宋体"/>
                <w:vanish/>
              </w:rPr>
            </w:pPr>
          </w:p>
        </w:tc>
      </w:tr>
      <w:tr w:rsidR="00A82082" w14:paraId="7E784157" w14:textId="77777777">
        <w:trPr>
          <w:jc w:val="center"/>
        </w:trPr>
        <w:tc>
          <w:tcPr>
            <w:tcW w:w="0" w:type="auto"/>
            <w:gridSpan w:val="3"/>
            <w:shd w:val="clear" w:color="auto" w:fill="FFFFFF"/>
            <w:tcMar>
              <w:top w:w="40" w:type="dxa"/>
              <w:left w:w="20" w:type="dxa"/>
              <w:bottom w:w="40" w:type="dxa"/>
              <w:right w:w="20" w:type="dxa"/>
            </w:tcMar>
            <w:vAlign w:val="center"/>
          </w:tcPr>
          <w:p w14:paraId="7E78414D" w14:textId="77777777" w:rsidR="00A82082" w:rsidRDefault="00E946F9">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tcPr>
          <w:p w14:paraId="7E78414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4F" w14:textId="77777777" w:rsidR="00A82082" w:rsidRDefault="00E946F9">
            <w:pPr>
              <w:jc w:val="right"/>
              <w:textAlignment w:val="center"/>
            </w:pPr>
            <w:r>
              <w:rPr>
                <w:rFonts w:ascii="Times New Roman" w:eastAsia="宋体" w:hAnsi="Times New Roman"/>
                <w:color w:val="000000"/>
                <w:sz w:val="16"/>
                <w:szCs w:val="16"/>
              </w:rPr>
              <w:t>30,236 </w:t>
            </w:r>
          </w:p>
        </w:tc>
        <w:tc>
          <w:tcPr>
            <w:tcW w:w="0" w:type="auto"/>
            <w:shd w:val="clear" w:color="auto" w:fill="FFFFFF"/>
            <w:tcMar>
              <w:top w:w="40" w:type="dxa"/>
              <w:left w:w="0" w:type="dxa"/>
              <w:bottom w:w="40" w:type="dxa"/>
              <w:right w:w="20" w:type="dxa"/>
            </w:tcMar>
            <w:vAlign w:val="center"/>
          </w:tcPr>
          <w:p w14:paraId="7E78415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5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52" w14:textId="77777777" w:rsidR="00A82082" w:rsidRDefault="00E946F9">
            <w:pPr>
              <w:jc w:val="right"/>
              <w:textAlignment w:val="center"/>
            </w:pPr>
            <w:r>
              <w:rPr>
                <w:rFonts w:ascii="Times New Roman" w:eastAsia="宋体" w:hAnsi="Times New Roman"/>
                <w:color w:val="000000"/>
                <w:sz w:val="16"/>
                <w:szCs w:val="16"/>
              </w:rPr>
              <w:t>31,073 </w:t>
            </w:r>
          </w:p>
        </w:tc>
        <w:tc>
          <w:tcPr>
            <w:tcW w:w="0" w:type="auto"/>
            <w:shd w:val="clear" w:color="auto" w:fill="FFFFFF"/>
            <w:tcMar>
              <w:top w:w="40" w:type="dxa"/>
              <w:left w:w="0" w:type="dxa"/>
              <w:bottom w:w="40" w:type="dxa"/>
              <w:right w:w="20" w:type="dxa"/>
            </w:tcMar>
            <w:vAlign w:val="center"/>
          </w:tcPr>
          <w:p w14:paraId="7E78415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5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55" w14:textId="77777777" w:rsidR="00A82082" w:rsidRDefault="00E946F9">
            <w:pPr>
              <w:jc w:val="right"/>
              <w:textAlignment w:val="center"/>
            </w:pPr>
            <w:r>
              <w:rPr>
                <w:rFonts w:ascii="Times New Roman" w:eastAsia="宋体" w:hAnsi="Times New Roman"/>
                <w:color w:val="000000"/>
                <w:sz w:val="16"/>
                <w:szCs w:val="16"/>
              </w:rPr>
              <w:t>30,716 </w:t>
            </w:r>
          </w:p>
        </w:tc>
        <w:tc>
          <w:tcPr>
            <w:tcW w:w="0" w:type="auto"/>
            <w:shd w:val="clear" w:color="auto" w:fill="FFFFFF"/>
            <w:tcMar>
              <w:top w:w="40" w:type="dxa"/>
              <w:left w:w="0" w:type="dxa"/>
              <w:bottom w:w="40" w:type="dxa"/>
              <w:right w:w="20" w:type="dxa"/>
            </w:tcMar>
            <w:vAlign w:val="center"/>
          </w:tcPr>
          <w:p w14:paraId="7E784156" w14:textId="77777777" w:rsidR="00A82082" w:rsidRDefault="00A82082">
            <w:pPr>
              <w:jc w:val="right"/>
              <w:rPr>
                <w:rFonts w:ascii="宋体"/>
              </w:rPr>
            </w:pPr>
          </w:p>
        </w:tc>
      </w:tr>
      <w:tr w:rsidR="00A82082" w14:paraId="7E784162" w14:textId="77777777">
        <w:trPr>
          <w:jc w:val="center"/>
        </w:trPr>
        <w:tc>
          <w:tcPr>
            <w:tcW w:w="0" w:type="auto"/>
            <w:gridSpan w:val="3"/>
            <w:shd w:val="clear" w:color="auto" w:fill="CCEEFF"/>
            <w:tcMar>
              <w:top w:w="40" w:type="dxa"/>
              <w:left w:w="20" w:type="dxa"/>
              <w:bottom w:w="40" w:type="dxa"/>
              <w:right w:w="20" w:type="dxa"/>
            </w:tcMar>
            <w:vAlign w:val="center"/>
          </w:tcPr>
          <w:p w14:paraId="7E784158" w14:textId="77777777" w:rsidR="00A82082" w:rsidRDefault="00E946F9">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tcPr>
          <w:p w14:paraId="7E78415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5A" w14:textId="77777777" w:rsidR="00A82082" w:rsidRDefault="00E946F9">
            <w:pPr>
              <w:jc w:val="right"/>
              <w:textAlignment w:val="center"/>
            </w:pPr>
            <w:r>
              <w:rPr>
                <w:rFonts w:ascii="Times New Roman" w:eastAsia="宋体" w:hAnsi="Times New Roman"/>
                <w:color w:val="000000"/>
                <w:sz w:val="16"/>
                <w:szCs w:val="16"/>
              </w:rPr>
              <w:t>22,736 </w:t>
            </w:r>
          </w:p>
        </w:tc>
        <w:tc>
          <w:tcPr>
            <w:tcW w:w="0" w:type="auto"/>
            <w:shd w:val="clear" w:color="auto" w:fill="CCEEFF"/>
            <w:tcMar>
              <w:top w:w="40" w:type="dxa"/>
              <w:left w:w="0" w:type="dxa"/>
              <w:bottom w:w="40" w:type="dxa"/>
              <w:right w:w="20" w:type="dxa"/>
            </w:tcMar>
            <w:vAlign w:val="center"/>
          </w:tcPr>
          <w:p w14:paraId="7E78415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5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5D" w14:textId="77777777" w:rsidR="00A82082" w:rsidRDefault="00E946F9">
            <w:pPr>
              <w:jc w:val="right"/>
              <w:textAlignment w:val="center"/>
            </w:pPr>
            <w:r>
              <w:rPr>
                <w:rFonts w:ascii="Times New Roman" w:eastAsia="宋体" w:hAnsi="Times New Roman"/>
                <w:color w:val="000000"/>
                <w:sz w:val="16"/>
                <w:szCs w:val="16"/>
              </w:rPr>
              <w:t>16,567 </w:t>
            </w:r>
          </w:p>
        </w:tc>
        <w:tc>
          <w:tcPr>
            <w:tcW w:w="0" w:type="auto"/>
            <w:shd w:val="clear" w:color="auto" w:fill="CCEEFF"/>
            <w:tcMar>
              <w:top w:w="40" w:type="dxa"/>
              <w:left w:w="0" w:type="dxa"/>
              <w:bottom w:w="40" w:type="dxa"/>
              <w:right w:w="20" w:type="dxa"/>
            </w:tcMar>
            <w:vAlign w:val="center"/>
          </w:tcPr>
          <w:p w14:paraId="7E78415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5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60" w14:textId="77777777" w:rsidR="00A82082" w:rsidRDefault="00E946F9">
            <w:pPr>
              <w:jc w:val="right"/>
              <w:textAlignment w:val="center"/>
            </w:pPr>
            <w:r>
              <w:rPr>
                <w:rFonts w:ascii="Times New Roman" w:eastAsia="宋体" w:hAnsi="Times New Roman"/>
                <w:color w:val="000000"/>
                <w:sz w:val="16"/>
                <w:szCs w:val="16"/>
              </w:rPr>
              <w:t>15,777 </w:t>
            </w:r>
          </w:p>
        </w:tc>
        <w:tc>
          <w:tcPr>
            <w:tcW w:w="0" w:type="auto"/>
            <w:shd w:val="clear" w:color="auto" w:fill="CCEEFF"/>
            <w:tcMar>
              <w:top w:w="40" w:type="dxa"/>
              <w:left w:w="0" w:type="dxa"/>
              <w:bottom w:w="40" w:type="dxa"/>
              <w:right w:w="20" w:type="dxa"/>
            </w:tcMar>
            <w:vAlign w:val="center"/>
          </w:tcPr>
          <w:p w14:paraId="7E784161" w14:textId="77777777" w:rsidR="00A82082" w:rsidRDefault="00A82082">
            <w:pPr>
              <w:jc w:val="right"/>
              <w:rPr>
                <w:rFonts w:ascii="宋体"/>
              </w:rPr>
            </w:pPr>
          </w:p>
        </w:tc>
      </w:tr>
      <w:tr w:rsidR="00A82082" w14:paraId="7E784170" w14:textId="77777777">
        <w:trPr>
          <w:jc w:val="center"/>
        </w:trPr>
        <w:tc>
          <w:tcPr>
            <w:tcW w:w="0" w:type="auto"/>
            <w:gridSpan w:val="3"/>
            <w:shd w:val="clear" w:color="auto" w:fill="FFFFFF"/>
            <w:tcMar>
              <w:top w:w="40" w:type="dxa"/>
              <w:left w:w="20" w:type="dxa"/>
              <w:bottom w:w="40" w:type="dxa"/>
              <w:right w:w="20" w:type="dxa"/>
            </w:tcMar>
            <w:vAlign w:val="center"/>
          </w:tcPr>
          <w:p w14:paraId="7E784163" w14:textId="77777777" w:rsidR="00A82082" w:rsidRDefault="00E946F9">
            <w:pPr>
              <w:textAlignment w:val="center"/>
            </w:pPr>
            <w:r>
              <w:rPr>
                <w:rFonts w:ascii="Times New Roman" w:eastAsia="宋体" w:hAnsi="Times New Roman"/>
                <w:b/>
                <w:bCs/>
                <w:color w:val="000000"/>
                <w:sz w:val="16"/>
                <w:szCs w:val="16"/>
              </w:rPr>
              <w:t>Total asset</w:t>
            </w:r>
            <w:r>
              <w:rPr>
                <w:rFonts w:ascii="Times New Roman" w:eastAsia="宋体" w:hAnsi="Times New Roman"/>
                <w:b/>
                <w:bCs/>
                <w:color w:val="000000"/>
                <w:sz w:val="16"/>
                <w:szCs w:val="16"/>
              </w:rPr>
              <w:t>s</w:t>
            </w:r>
          </w:p>
        </w:tc>
        <w:tc>
          <w:tcPr>
            <w:tcW w:w="0" w:type="auto"/>
            <w:gridSpan w:val="3"/>
            <w:shd w:val="clear" w:color="auto" w:fill="FFFFFF"/>
            <w:tcMar>
              <w:top w:w="0" w:type="dxa"/>
              <w:left w:w="20" w:type="dxa"/>
              <w:bottom w:w="0" w:type="dxa"/>
              <w:right w:w="20" w:type="dxa"/>
            </w:tcMar>
          </w:tcPr>
          <w:p w14:paraId="7E784164"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16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166" w14:textId="77777777" w:rsidR="00A82082" w:rsidRDefault="00E946F9">
            <w:pPr>
              <w:jc w:val="right"/>
              <w:textAlignment w:val="center"/>
            </w:pPr>
            <w:r>
              <w:rPr>
                <w:rFonts w:ascii="Times New Roman" w:eastAsia="宋体" w:hAnsi="Times New Roman"/>
                <w:color w:val="000000"/>
                <w:sz w:val="16"/>
                <w:szCs w:val="16"/>
              </w:rPr>
              <w:t>250,863 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6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68"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16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16A" w14:textId="77777777" w:rsidR="00A82082" w:rsidRDefault="00E946F9">
            <w:pPr>
              <w:jc w:val="right"/>
              <w:textAlignment w:val="center"/>
            </w:pPr>
            <w:r>
              <w:rPr>
                <w:rFonts w:ascii="Times New Roman" w:eastAsia="宋体" w:hAnsi="Times New Roman"/>
                <w:color w:val="000000"/>
                <w:sz w:val="16"/>
                <w:szCs w:val="16"/>
              </w:rPr>
              <w:t>236,495 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6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6C"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16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16E" w14:textId="77777777" w:rsidR="00A82082" w:rsidRDefault="00E946F9">
            <w:pPr>
              <w:jc w:val="right"/>
              <w:textAlignment w:val="center"/>
            </w:pPr>
            <w:r>
              <w:rPr>
                <w:rFonts w:ascii="Times New Roman" w:eastAsia="宋体" w:hAnsi="Times New Roman"/>
                <w:color w:val="000000"/>
                <w:sz w:val="16"/>
                <w:szCs w:val="16"/>
              </w:rPr>
              <w:t>239,830 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6F" w14:textId="77777777" w:rsidR="00A82082" w:rsidRDefault="00A82082">
            <w:pPr>
              <w:jc w:val="right"/>
              <w:rPr>
                <w:rFonts w:ascii="宋体"/>
              </w:rPr>
            </w:pPr>
          </w:p>
        </w:tc>
      </w:tr>
      <w:tr w:rsidR="00A82082" w14:paraId="7E784178" w14:textId="77777777">
        <w:trPr>
          <w:trHeight w:val="240"/>
          <w:jc w:val="center"/>
        </w:trPr>
        <w:tc>
          <w:tcPr>
            <w:tcW w:w="0" w:type="auto"/>
            <w:gridSpan w:val="3"/>
            <w:shd w:val="clear" w:color="auto" w:fill="CCEEFF"/>
            <w:tcMar>
              <w:top w:w="0" w:type="dxa"/>
              <w:left w:w="20" w:type="dxa"/>
              <w:bottom w:w="0" w:type="dxa"/>
              <w:right w:w="20" w:type="dxa"/>
            </w:tcMar>
          </w:tcPr>
          <w:p w14:paraId="7E78417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72"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17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74"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17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76"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177" w14:textId="77777777" w:rsidR="00A82082" w:rsidRDefault="00A82082">
            <w:pPr>
              <w:rPr>
                <w:rFonts w:ascii="宋体"/>
              </w:rPr>
            </w:pPr>
          </w:p>
        </w:tc>
      </w:tr>
      <w:tr w:rsidR="00A82082" w14:paraId="7E784180" w14:textId="77777777">
        <w:trPr>
          <w:jc w:val="center"/>
        </w:trPr>
        <w:tc>
          <w:tcPr>
            <w:tcW w:w="0" w:type="auto"/>
            <w:gridSpan w:val="3"/>
            <w:shd w:val="clear" w:color="auto" w:fill="FFFFFF"/>
            <w:tcMar>
              <w:top w:w="40" w:type="dxa"/>
              <w:left w:w="20" w:type="dxa"/>
              <w:bottom w:w="40" w:type="dxa"/>
              <w:right w:w="20" w:type="dxa"/>
            </w:tcMar>
            <w:vAlign w:val="center"/>
          </w:tcPr>
          <w:p w14:paraId="7E784179" w14:textId="77777777" w:rsidR="00A82082" w:rsidRDefault="00E946F9">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tcPr>
          <w:p w14:paraId="7E78417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7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7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7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7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17F" w14:textId="77777777" w:rsidR="00A82082" w:rsidRDefault="00A82082">
            <w:pPr>
              <w:rPr>
                <w:rFonts w:ascii="宋体"/>
              </w:rPr>
            </w:pPr>
          </w:p>
        </w:tc>
      </w:tr>
      <w:tr w:rsidR="00A82082" w14:paraId="7E784188" w14:textId="77777777">
        <w:trPr>
          <w:jc w:val="center"/>
        </w:trPr>
        <w:tc>
          <w:tcPr>
            <w:tcW w:w="0" w:type="auto"/>
            <w:gridSpan w:val="3"/>
            <w:shd w:val="clear" w:color="auto" w:fill="CCEEFF"/>
            <w:tcMar>
              <w:top w:w="40" w:type="dxa"/>
              <w:left w:w="20" w:type="dxa"/>
              <w:bottom w:w="40" w:type="dxa"/>
              <w:right w:w="20" w:type="dxa"/>
            </w:tcMar>
            <w:vAlign w:val="center"/>
          </w:tcPr>
          <w:p w14:paraId="7E784181" w14:textId="77777777" w:rsidR="00A82082" w:rsidRDefault="00E946F9">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tcPr>
          <w:p w14:paraId="7E784182"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8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8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8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8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187" w14:textId="77777777" w:rsidR="00A82082" w:rsidRDefault="00A82082">
            <w:pPr>
              <w:rPr>
                <w:rFonts w:ascii="宋体"/>
              </w:rPr>
            </w:pPr>
          </w:p>
        </w:tc>
      </w:tr>
      <w:tr w:rsidR="00A82082" w14:paraId="7E784196" w14:textId="77777777">
        <w:trPr>
          <w:jc w:val="center"/>
        </w:trPr>
        <w:tc>
          <w:tcPr>
            <w:tcW w:w="0" w:type="auto"/>
            <w:gridSpan w:val="3"/>
            <w:shd w:val="clear" w:color="auto" w:fill="FFFFFF"/>
            <w:tcMar>
              <w:top w:w="40" w:type="dxa"/>
              <w:left w:w="380" w:type="dxa"/>
              <w:bottom w:w="40" w:type="dxa"/>
              <w:right w:w="20" w:type="dxa"/>
            </w:tcMar>
            <w:vAlign w:val="center"/>
          </w:tcPr>
          <w:p w14:paraId="7E784189" w14:textId="77777777" w:rsidR="00A82082" w:rsidRDefault="00E946F9">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tcPr>
          <w:p w14:paraId="7E78418A"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418B"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418C" w14:textId="77777777" w:rsidR="00A82082" w:rsidRDefault="00E946F9">
            <w:pPr>
              <w:jc w:val="right"/>
              <w:textAlignment w:val="center"/>
            </w:pPr>
            <w:r>
              <w:rPr>
                <w:rFonts w:ascii="Times New Roman" w:eastAsia="宋体" w:hAnsi="Times New Roman"/>
                <w:color w:val="000000"/>
                <w:sz w:val="16"/>
                <w:szCs w:val="16"/>
              </w:rPr>
              <w:t>240 </w:t>
            </w:r>
          </w:p>
        </w:tc>
        <w:tc>
          <w:tcPr>
            <w:tcW w:w="0" w:type="auto"/>
            <w:shd w:val="clear" w:color="auto" w:fill="FFFFFF"/>
            <w:tcMar>
              <w:top w:w="40" w:type="dxa"/>
              <w:left w:w="0" w:type="dxa"/>
              <w:bottom w:w="40" w:type="dxa"/>
              <w:right w:w="20" w:type="dxa"/>
            </w:tcMar>
            <w:vAlign w:val="center"/>
          </w:tcPr>
          <w:p w14:paraId="7E78418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8E"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418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4190" w14:textId="77777777" w:rsidR="00A82082" w:rsidRDefault="00E946F9">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7E78419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92"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419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4194" w14:textId="77777777" w:rsidR="00A82082" w:rsidRDefault="00E946F9">
            <w:pPr>
              <w:jc w:val="right"/>
              <w:textAlignment w:val="center"/>
            </w:pPr>
            <w:r>
              <w:rPr>
                <w:rFonts w:ascii="Times New Roman" w:eastAsia="宋体" w:hAnsi="Times New Roman"/>
                <w:color w:val="000000"/>
                <w:sz w:val="16"/>
                <w:szCs w:val="16"/>
              </w:rPr>
              <w:t>4,926 </w:t>
            </w:r>
          </w:p>
        </w:tc>
        <w:tc>
          <w:tcPr>
            <w:tcW w:w="0" w:type="auto"/>
            <w:shd w:val="clear" w:color="auto" w:fill="FFFFFF"/>
            <w:tcMar>
              <w:top w:w="40" w:type="dxa"/>
              <w:left w:w="0" w:type="dxa"/>
              <w:bottom w:w="40" w:type="dxa"/>
              <w:right w:w="20" w:type="dxa"/>
            </w:tcMar>
            <w:vAlign w:val="center"/>
          </w:tcPr>
          <w:p w14:paraId="7E784195" w14:textId="77777777" w:rsidR="00A82082" w:rsidRDefault="00A82082">
            <w:pPr>
              <w:jc w:val="right"/>
              <w:rPr>
                <w:rFonts w:ascii="宋体"/>
              </w:rPr>
            </w:pPr>
          </w:p>
        </w:tc>
      </w:tr>
      <w:tr w:rsidR="00A82082" w14:paraId="7E7841A1" w14:textId="77777777">
        <w:trPr>
          <w:jc w:val="center"/>
        </w:trPr>
        <w:tc>
          <w:tcPr>
            <w:tcW w:w="0" w:type="auto"/>
            <w:gridSpan w:val="3"/>
            <w:shd w:val="clear" w:color="auto" w:fill="CCEEFF"/>
            <w:tcMar>
              <w:top w:w="40" w:type="dxa"/>
              <w:left w:w="380" w:type="dxa"/>
              <w:bottom w:w="40" w:type="dxa"/>
              <w:right w:w="20" w:type="dxa"/>
            </w:tcMar>
            <w:vAlign w:val="center"/>
          </w:tcPr>
          <w:p w14:paraId="7E784197" w14:textId="77777777" w:rsidR="00A82082" w:rsidRDefault="00E946F9">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7E78419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99" w14:textId="77777777" w:rsidR="00A82082" w:rsidRDefault="00E946F9">
            <w:pPr>
              <w:jc w:val="right"/>
              <w:textAlignment w:val="center"/>
            </w:pPr>
            <w:r>
              <w:rPr>
                <w:rFonts w:ascii="Times New Roman" w:eastAsia="宋体" w:hAnsi="Times New Roman"/>
                <w:color w:val="000000"/>
                <w:sz w:val="16"/>
                <w:szCs w:val="16"/>
              </w:rPr>
              <w:t>54,152 </w:t>
            </w:r>
          </w:p>
        </w:tc>
        <w:tc>
          <w:tcPr>
            <w:tcW w:w="0" w:type="auto"/>
            <w:shd w:val="clear" w:color="auto" w:fill="CCEEFF"/>
            <w:tcMar>
              <w:top w:w="40" w:type="dxa"/>
              <w:left w:w="0" w:type="dxa"/>
              <w:bottom w:w="40" w:type="dxa"/>
              <w:right w:w="20" w:type="dxa"/>
            </w:tcMar>
            <w:vAlign w:val="center"/>
          </w:tcPr>
          <w:p w14:paraId="7E78419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9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9C" w14:textId="77777777" w:rsidR="00A82082" w:rsidRDefault="00E946F9">
            <w:pPr>
              <w:jc w:val="right"/>
              <w:textAlignment w:val="center"/>
            </w:pPr>
            <w:r>
              <w:rPr>
                <w:rFonts w:ascii="Times New Roman" w:eastAsia="宋体" w:hAnsi="Times New Roman"/>
                <w:color w:val="000000"/>
                <w:sz w:val="16"/>
                <w:szCs w:val="16"/>
              </w:rPr>
              <w:t>46,973 </w:t>
            </w:r>
          </w:p>
        </w:tc>
        <w:tc>
          <w:tcPr>
            <w:tcW w:w="0" w:type="auto"/>
            <w:shd w:val="clear" w:color="auto" w:fill="CCEEFF"/>
            <w:tcMar>
              <w:top w:w="40" w:type="dxa"/>
              <w:left w:w="0" w:type="dxa"/>
              <w:bottom w:w="40" w:type="dxa"/>
              <w:right w:w="20" w:type="dxa"/>
            </w:tcMar>
            <w:vAlign w:val="center"/>
          </w:tcPr>
          <w:p w14:paraId="7E78419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9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9F" w14:textId="77777777" w:rsidR="00A82082" w:rsidRDefault="00E946F9">
            <w:pPr>
              <w:jc w:val="right"/>
              <w:textAlignment w:val="center"/>
            </w:pPr>
            <w:r>
              <w:rPr>
                <w:rFonts w:ascii="Times New Roman" w:eastAsia="宋体" w:hAnsi="Times New Roman"/>
                <w:color w:val="000000"/>
                <w:sz w:val="16"/>
                <w:szCs w:val="16"/>
              </w:rPr>
              <w:t>49,750 </w:t>
            </w:r>
          </w:p>
        </w:tc>
        <w:tc>
          <w:tcPr>
            <w:tcW w:w="0" w:type="auto"/>
            <w:shd w:val="clear" w:color="auto" w:fill="CCEEFF"/>
            <w:tcMar>
              <w:top w:w="40" w:type="dxa"/>
              <w:left w:w="0" w:type="dxa"/>
              <w:bottom w:w="40" w:type="dxa"/>
              <w:right w:w="20" w:type="dxa"/>
            </w:tcMar>
            <w:vAlign w:val="center"/>
          </w:tcPr>
          <w:p w14:paraId="7E7841A0" w14:textId="77777777" w:rsidR="00A82082" w:rsidRDefault="00A82082">
            <w:pPr>
              <w:jc w:val="right"/>
              <w:rPr>
                <w:rFonts w:ascii="宋体"/>
              </w:rPr>
            </w:pPr>
          </w:p>
        </w:tc>
      </w:tr>
      <w:tr w:rsidR="00A82082" w14:paraId="7E7841AC" w14:textId="77777777">
        <w:trPr>
          <w:jc w:val="center"/>
        </w:trPr>
        <w:tc>
          <w:tcPr>
            <w:tcW w:w="0" w:type="auto"/>
            <w:gridSpan w:val="3"/>
            <w:shd w:val="clear" w:color="auto" w:fill="FFFFFF"/>
            <w:tcMar>
              <w:top w:w="40" w:type="dxa"/>
              <w:left w:w="380" w:type="dxa"/>
              <w:bottom w:w="40" w:type="dxa"/>
              <w:right w:w="20" w:type="dxa"/>
            </w:tcMar>
            <w:vAlign w:val="center"/>
          </w:tcPr>
          <w:p w14:paraId="7E7841A2" w14:textId="77777777" w:rsidR="00A82082" w:rsidRDefault="00E946F9">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tcPr>
          <w:p w14:paraId="7E7841A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A4" w14:textId="77777777" w:rsidR="00A82082" w:rsidRDefault="00E946F9">
            <w:pPr>
              <w:jc w:val="right"/>
              <w:textAlignment w:val="center"/>
            </w:pPr>
            <w:r>
              <w:rPr>
                <w:rFonts w:ascii="Times New Roman" w:eastAsia="宋体" w:hAnsi="Times New Roman"/>
                <w:color w:val="000000"/>
                <w:sz w:val="16"/>
                <w:szCs w:val="16"/>
              </w:rPr>
              <w:t>1,529 </w:t>
            </w:r>
          </w:p>
        </w:tc>
        <w:tc>
          <w:tcPr>
            <w:tcW w:w="0" w:type="auto"/>
            <w:shd w:val="clear" w:color="auto" w:fill="FFFFFF"/>
            <w:tcMar>
              <w:top w:w="40" w:type="dxa"/>
              <w:left w:w="0" w:type="dxa"/>
              <w:bottom w:w="40" w:type="dxa"/>
              <w:right w:w="20" w:type="dxa"/>
            </w:tcMar>
            <w:vAlign w:val="center"/>
          </w:tcPr>
          <w:p w14:paraId="7E7841A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A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A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1A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A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AA" w14:textId="77777777" w:rsidR="00A82082" w:rsidRDefault="00E946F9">
            <w:pPr>
              <w:jc w:val="right"/>
              <w:textAlignment w:val="center"/>
            </w:pPr>
            <w:r>
              <w:rPr>
                <w:rFonts w:ascii="Times New Roman" w:eastAsia="宋体" w:hAnsi="Times New Roman"/>
                <w:color w:val="000000"/>
                <w:sz w:val="16"/>
                <w:szCs w:val="16"/>
              </w:rPr>
              <w:t>1,507 </w:t>
            </w:r>
          </w:p>
        </w:tc>
        <w:tc>
          <w:tcPr>
            <w:tcW w:w="0" w:type="auto"/>
            <w:shd w:val="clear" w:color="auto" w:fill="FFFFFF"/>
            <w:tcMar>
              <w:top w:w="40" w:type="dxa"/>
              <w:left w:w="0" w:type="dxa"/>
              <w:bottom w:w="40" w:type="dxa"/>
              <w:right w:w="20" w:type="dxa"/>
            </w:tcMar>
            <w:vAlign w:val="center"/>
          </w:tcPr>
          <w:p w14:paraId="7E7841AB" w14:textId="77777777" w:rsidR="00A82082" w:rsidRDefault="00A82082">
            <w:pPr>
              <w:jc w:val="right"/>
              <w:rPr>
                <w:rFonts w:ascii="宋体"/>
              </w:rPr>
            </w:pPr>
          </w:p>
        </w:tc>
      </w:tr>
      <w:tr w:rsidR="00A82082" w14:paraId="7E7841B7" w14:textId="77777777">
        <w:trPr>
          <w:jc w:val="center"/>
        </w:trPr>
        <w:tc>
          <w:tcPr>
            <w:tcW w:w="0" w:type="auto"/>
            <w:gridSpan w:val="3"/>
            <w:shd w:val="clear" w:color="auto" w:fill="CCEEFF"/>
            <w:tcMar>
              <w:top w:w="40" w:type="dxa"/>
              <w:left w:w="380" w:type="dxa"/>
              <w:bottom w:w="40" w:type="dxa"/>
              <w:right w:w="20" w:type="dxa"/>
            </w:tcMar>
            <w:vAlign w:val="center"/>
          </w:tcPr>
          <w:p w14:paraId="7E7841AD" w14:textId="77777777" w:rsidR="00A82082" w:rsidRDefault="00E946F9">
            <w:pPr>
              <w:textAlignment w:val="center"/>
            </w:pPr>
            <w:r>
              <w:rPr>
                <w:rFonts w:ascii="Times New Roman" w:eastAsia="宋体" w:hAnsi="Times New Roman"/>
                <w:color w:val="000000"/>
                <w:sz w:val="16"/>
                <w:szCs w:val="16"/>
              </w:rPr>
              <w:t>Accrue</w:t>
            </w:r>
            <w:r>
              <w:rPr>
                <w:rFonts w:ascii="Times New Roman" w:eastAsia="宋体" w:hAnsi="Times New Roman"/>
                <w:color w:val="000000"/>
                <w:sz w:val="16"/>
                <w:szCs w:val="16"/>
              </w:rPr>
              <w:t>d liabilities</w:t>
            </w:r>
          </w:p>
        </w:tc>
        <w:tc>
          <w:tcPr>
            <w:tcW w:w="0" w:type="auto"/>
            <w:gridSpan w:val="3"/>
            <w:shd w:val="clear" w:color="auto" w:fill="CCEEFF"/>
            <w:tcMar>
              <w:top w:w="0" w:type="dxa"/>
              <w:left w:w="20" w:type="dxa"/>
              <w:bottom w:w="0" w:type="dxa"/>
              <w:right w:w="20" w:type="dxa"/>
            </w:tcMar>
          </w:tcPr>
          <w:p w14:paraId="7E7841A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AF" w14:textId="77777777" w:rsidR="00A82082" w:rsidRDefault="00E946F9">
            <w:pPr>
              <w:jc w:val="right"/>
              <w:textAlignment w:val="center"/>
            </w:pPr>
            <w:r>
              <w:rPr>
                <w:rFonts w:ascii="Times New Roman" w:eastAsia="宋体" w:hAnsi="Times New Roman"/>
                <w:color w:val="000000"/>
                <w:sz w:val="16"/>
                <w:szCs w:val="16"/>
              </w:rPr>
              <w:t>24,995 </w:t>
            </w:r>
          </w:p>
        </w:tc>
        <w:tc>
          <w:tcPr>
            <w:tcW w:w="0" w:type="auto"/>
            <w:shd w:val="clear" w:color="auto" w:fill="CCEEFF"/>
            <w:tcMar>
              <w:top w:w="40" w:type="dxa"/>
              <w:left w:w="0" w:type="dxa"/>
              <w:bottom w:w="40" w:type="dxa"/>
              <w:right w:w="20" w:type="dxa"/>
            </w:tcMar>
            <w:vAlign w:val="center"/>
          </w:tcPr>
          <w:p w14:paraId="7E7841B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B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B2" w14:textId="77777777" w:rsidR="00A82082" w:rsidRDefault="00E946F9">
            <w:pPr>
              <w:jc w:val="right"/>
              <w:textAlignment w:val="center"/>
            </w:pPr>
            <w:r>
              <w:rPr>
                <w:rFonts w:ascii="Times New Roman" w:eastAsia="宋体" w:hAnsi="Times New Roman"/>
                <w:color w:val="000000"/>
                <w:sz w:val="16"/>
                <w:szCs w:val="16"/>
              </w:rPr>
              <w:t>22,296 </w:t>
            </w:r>
          </w:p>
        </w:tc>
        <w:tc>
          <w:tcPr>
            <w:tcW w:w="0" w:type="auto"/>
            <w:shd w:val="clear" w:color="auto" w:fill="CCEEFF"/>
            <w:tcMar>
              <w:top w:w="40" w:type="dxa"/>
              <w:left w:w="0" w:type="dxa"/>
              <w:bottom w:w="40" w:type="dxa"/>
              <w:right w:w="20" w:type="dxa"/>
            </w:tcMar>
            <w:vAlign w:val="center"/>
          </w:tcPr>
          <w:p w14:paraId="7E7841B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B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B5" w14:textId="77777777" w:rsidR="00A82082" w:rsidRDefault="00E946F9">
            <w:pPr>
              <w:jc w:val="right"/>
              <w:textAlignment w:val="center"/>
            </w:pPr>
            <w:r>
              <w:rPr>
                <w:rFonts w:ascii="Times New Roman" w:eastAsia="宋体" w:hAnsi="Times New Roman"/>
                <w:color w:val="000000"/>
                <w:sz w:val="16"/>
                <w:szCs w:val="16"/>
              </w:rPr>
              <w:t>20,973 </w:t>
            </w:r>
          </w:p>
        </w:tc>
        <w:tc>
          <w:tcPr>
            <w:tcW w:w="0" w:type="auto"/>
            <w:shd w:val="clear" w:color="auto" w:fill="CCEEFF"/>
            <w:tcMar>
              <w:top w:w="40" w:type="dxa"/>
              <w:left w:w="0" w:type="dxa"/>
              <w:bottom w:w="40" w:type="dxa"/>
              <w:right w:w="20" w:type="dxa"/>
            </w:tcMar>
            <w:vAlign w:val="center"/>
          </w:tcPr>
          <w:p w14:paraId="7E7841B6" w14:textId="77777777" w:rsidR="00A82082" w:rsidRDefault="00A82082">
            <w:pPr>
              <w:jc w:val="right"/>
              <w:rPr>
                <w:rFonts w:ascii="宋体"/>
              </w:rPr>
            </w:pPr>
          </w:p>
        </w:tc>
      </w:tr>
      <w:tr w:rsidR="00A82082" w14:paraId="7E7841C2" w14:textId="77777777">
        <w:trPr>
          <w:jc w:val="center"/>
        </w:trPr>
        <w:tc>
          <w:tcPr>
            <w:tcW w:w="0" w:type="auto"/>
            <w:gridSpan w:val="3"/>
            <w:shd w:val="clear" w:color="auto" w:fill="FFFFFF"/>
            <w:tcMar>
              <w:top w:w="40" w:type="dxa"/>
              <w:left w:w="380" w:type="dxa"/>
              <w:bottom w:w="40" w:type="dxa"/>
              <w:right w:w="20" w:type="dxa"/>
            </w:tcMar>
            <w:vAlign w:val="center"/>
          </w:tcPr>
          <w:p w14:paraId="7E7841B8" w14:textId="77777777" w:rsidR="00A82082" w:rsidRDefault="00E946F9">
            <w:pPr>
              <w:textAlignment w:val="center"/>
            </w:pPr>
            <w:r>
              <w:rPr>
                <w:rFonts w:ascii="Times New Roman" w:eastAsia="宋体" w:hAnsi="Times New Roman"/>
                <w:color w:val="000000"/>
                <w:sz w:val="16"/>
                <w:szCs w:val="16"/>
              </w:rPr>
              <w:t>Accrue</w:t>
            </w:r>
            <w:r>
              <w:rPr>
                <w:rFonts w:ascii="Times New Roman" w:eastAsia="宋体" w:hAnsi="Times New Roman"/>
                <w:color w:val="000000"/>
                <w:sz w:val="16"/>
                <w:szCs w:val="16"/>
              </w:rPr>
              <w:t>d income taxes</w:t>
            </w:r>
          </w:p>
        </w:tc>
        <w:tc>
          <w:tcPr>
            <w:tcW w:w="0" w:type="auto"/>
            <w:gridSpan w:val="3"/>
            <w:shd w:val="clear" w:color="auto" w:fill="FFFFFF"/>
            <w:tcMar>
              <w:top w:w="0" w:type="dxa"/>
              <w:left w:w="20" w:type="dxa"/>
              <w:bottom w:w="0" w:type="dxa"/>
              <w:right w:w="20" w:type="dxa"/>
            </w:tcMar>
          </w:tcPr>
          <w:p w14:paraId="7E7841B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BA" w14:textId="77777777" w:rsidR="00A82082" w:rsidRDefault="00E946F9">
            <w:pPr>
              <w:jc w:val="right"/>
              <w:textAlignment w:val="center"/>
            </w:pPr>
            <w:r>
              <w:rPr>
                <w:rFonts w:ascii="Times New Roman" w:eastAsia="宋体" w:hAnsi="Times New Roman"/>
                <w:color w:val="000000"/>
                <w:sz w:val="16"/>
                <w:szCs w:val="16"/>
              </w:rPr>
              <w:t>548 </w:t>
            </w:r>
          </w:p>
        </w:tc>
        <w:tc>
          <w:tcPr>
            <w:tcW w:w="0" w:type="auto"/>
            <w:shd w:val="clear" w:color="auto" w:fill="FFFFFF"/>
            <w:tcMar>
              <w:top w:w="40" w:type="dxa"/>
              <w:left w:w="0" w:type="dxa"/>
              <w:bottom w:w="40" w:type="dxa"/>
              <w:right w:w="20" w:type="dxa"/>
            </w:tcMar>
            <w:vAlign w:val="center"/>
          </w:tcPr>
          <w:p w14:paraId="7E7841B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B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BD" w14:textId="77777777" w:rsidR="00A82082" w:rsidRDefault="00E946F9">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7E7841B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B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C0" w14:textId="77777777" w:rsidR="00A82082" w:rsidRDefault="00E946F9">
            <w:pPr>
              <w:jc w:val="right"/>
              <w:textAlignment w:val="center"/>
            </w:pPr>
            <w:r>
              <w:rPr>
                <w:rFonts w:ascii="Times New Roman" w:eastAsia="宋体" w:hAnsi="Times New Roman"/>
                <w:color w:val="000000"/>
                <w:sz w:val="16"/>
                <w:szCs w:val="16"/>
              </w:rPr>
              <w:t>327 </w:t>
            </w:r>
          </w:p>
        </w:tc>
        <w:tc>
          <w:tcPr>
            <w:tcW w:w="0" w:type="auto"/>
            <w:shd w:val="clear" w:color="auto" w:fill="FFFFFF"/>
            <w:tcMar>
              <w:top w:w="40" w:type="dxa"/>
              <w:left w:w="0" w:type="dxa"/>
              <w:bottom w:w="40" w:type="dxa"/>
              <w:right w:w="20" w:type="dxa"/>
            </w:tcMar>
            <w:vAlign w:val="center"/>
          </w:tcPr>
          <w:p w14:paraId="7E7841C1" w14:textId="77777777" w:rsidR="00A82082" w:rsidRDefault="00A82082">
            <w:pPr>
              <w:jc w:val="right"/>
              <w:rPr>
                <w:rFonts w:ascii="宋体"/>
              </w:rPr>
            </w:pPr>
          </w:p>
        </w:tc>
      </w:tr>
      <w:tr w:rsidR="00A82082" w14:paraId="7E7841CD" w14:textId="77777777">
        <w:trPr>
          <w:jc w:val="center"/>
        </w:trPr>
        <w:tc>
          <w:tcPr>
            <w:tcW w:w="0" w:type="auto"/>
            <w:gridSpan w:val="3"/>
            <w:shd w:val="clear" w:color="auto" w:fill="CCEEFF"/>
            <w:tcMar>
              <w:top w:w="40" w:type="dxa"/>
              <w:left w:w="380" w:type="dxa"/>
              <w:bottom w:w="40" w:type="dxa"/>
              <w:right w:w="20" w:type="dxa"/>
            </w:tcMar>
            <w:vAlign w:val="center"/>
          </w:tcPr>
          <w:p w14:paraId="7E7841C3" w14:textId="77777777" w:rsidR="00A82082" w:rsidRDefault="00E946F9">
            <w:pPr>
              <w:textAlignment w:val="center"/>
            </w:pPr>
            <w:r>
              <w:rPr>
                <w:rFonts w:ascii="Times New Roman" w:eastAsia="宋体" w:hAnsi="Times New Roman"/>
                <w:color w:val="000000"/>
                <w:sz w:val="16"/>
                <w:szCs w:val="16"/>
              </w:rPr>
              <w:t>Long-t</w:t>
            </w:r>
            <w:r>
              <w:rPr>
                <w:rFonts w:ascii="Times New Roman" w:eastAsia="宋体" w:hAnsi="Times New Roman"/>
                <w:color w:val="000000"/>
                <w:sz w:val="16"/>
                <w:szCs w:val="16"/>
              </w:rPr>
              <w:t>erm debt due within one year</w:t>
            </w:r>
          </w:p>
        </w:tc>
        <w:tc>
          <w:tcPr>
            <w:tcW w:w="0" w:type="auto"/>
            <w:gridSpan w:val="3"/>
            <w:shd w:val="clear" w:color="auto" w:fill="CCEEFF"/>
            <w:tcMar>
              <w:top w:w="0" w:type="dxa"/>
              <w:left w:w="20" w:type="dxa"/>
              <w:bottom w:w="0" w:type="dxa"/>
              <w:right w:w="20" w:type="dxa"/>
            </w:tcMar>
          </w:tcPr>
          <w:p w14:paraId="7E7841C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C5" w14:textId="77777777" w:rsidR="00A82082" w:rsidRDefault="00E946F9">
            <w:pPr>
              <w:jc w:val="right"/>
              <w:textAlignment w:val="center"/>
            </w:pPr>
            <w:r>
              <w:rPr>
                <w:rFonts w:ascii="Times New Roman" w:eastAsia="宋体" w:hAnsi="Times New Roman"/>
                <w:color w:val="000000"/>
                <w:sz w:val="16"/>
                <w:szCs w:val="16"/>
              </w:rPr>
              <w:t>4,358 </w:t>
            </w:r>
          </w:p>
        </w:tc>
        <w:tc>
          <w:tcPr>
            <w:tcW w:w="0" w:type="auto"/>
            <w:shd w:val="clear" w:color="auto" w:fill="CCEEFF"/>
            <w:tcMar>
              <w:top w:w="40" w:type="dxa"/>
              <w:left w:w="0" w:type="dxa"/>
              <w:bottom w:w="40" w:type="dxa"/>
              <w:right w:w="20" w:type="dxa"/>
            </w:tcMar>
            <w:vAlign w:val="center"/>
          </w:tcPr>
          <w:p w14:paraId="7E7841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C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C8" w14:textId="77777777" w:rsidR="00A82082" w:rsidRDefault="00E946F9">
            <w:pPr>
              <w:jc w:val="right"/>
              <w:textAlignment w:val="center"/>
            </w:pPr>
            <w:r>
              <w:rPr>
                <w:rFonts w:ascii="Times New Roman" w:eastAsia="宋体" w:hAnsi="Times New Roman"/>
                <w:color w:val="000000"/>
                <w:sz w:val="16"/>
                <w:szCs w:val="16"/>
              </w:rPr>
              <w:t>5,362 </w:t>
            </w:r>
          </w:p>
        </w:tc>
        <w:tc>
          <w:tcPr>
            <w:tcW w:w="0" w:type="auto"/>
            <w:shd w:val="clear" w:color="auto" w:fill="CCEEFF"/>
            <w:tcMar>
              <w:top w:w="40" w:type="dxa"/>
              <w:left w:w="0" w:type="dxa"/>
              <w:bottom w:w="40" w:type="dxa"/>
              <w:right w:w="20" w:type="dxa"/>
            </w:tcMar>
            <w:vAlign w:val="center"/>
          </w:tcPr>
          <w:p w14:paraId="7E7841C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C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CB" w14:textId="77777777" w:rsidR="00A82082" w:rsidRDefault="00E946F9">
            <w:pPr>
              <w:jc w:val="right"/>
              <w:textAlignment w:val="center"/>
            </w:pPr>
            <w:r>
              <w:rPr>
                <w:rFonts w:ascii="Times New Roman" w:eastAsia="宋体" w:hAnsi="Times New Roman"/>
                <w:color w:val="000000"/>
                <w:sz w:val="16"/>
                <w:szCs w:val="16"/>
              </w:rPr>
              <w:t>4,093 </w:t>
            </w:r>
          </w:p>
        </w:tc>
        <w:tc>
          <w:tcPr>
            <w:tcW w:w="0" w:type="auto"/>
            <w:shd w:val="clear" w:color="auto" w:fill="CCEEFF"/>
            <w:tcMar>
              <w:top w:w="40" w:type="dxa"/>
              <w:left w:w="0" w:type="dxa"/>
              <w:bottom w:w="40" w:type="dxa"/>
              <w:right w:w="20" w:type="dxa"/>
            </w:tcMar>
            <w:vAlign w:val="center"/>
          </w:tcPr>
          <w:p w14:paraId="7E7841CC" w14:textId="77777777" w:rsidR="00A82082" w:rsidRDefault="00A82082">
            <w:pPr>
              <w:jc w:val="right"/>
              <w:rPr>
                <w:rFonts w:ascii="宋体"/>
              </w:rPr>
            </w:pPr>
          </w:p>
        </w:tc>
      </w:tr>
      <w:tr w:rsidR="00A82082" w14:paraId="7E7841D8" w14:textId="77777777">
        <w:trPr>
          <w:jc w:val="center"/>
        </w:trPr>
        <w:tc>
          <w:tcPr>
            <w:tcW w:w="0" w:type="auto"/>
            <w:gridSpan w:val="3"/>
            <w:shd w:val="clear" w:color="auto" w:fill="FFFFFF"/>
            <w:tcMar>
              <w:top w:w="40" w:type="dxa"/>
              <w:left w:w="380" w:type="dxa"/>
              <w:bottom w:w="40" w:type="dxa"/>
              <w:right w:w="20" w:type="dxa"/>
            </w:tcMar>
            <w:vAlign w:val="center"/>
          </w:tcPr>
          <w:p w14:paraId="7E7841CE" w14:textId="77777777" w:rsidR="00A82082" w:rsidRDefault="00E946F9">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tcPr>
          <w:p w14:paraId="7E7841C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D0" w14:textId="77777777" w:rsidR="00A82082" w:rsidRDefault="00E946F9">
            <w:pPr>
              <w:jc w:val="right"/>
              <w:textAlignment w:val="center"/>
            </w:pPr>
            <w:r>
              <w:rPr>
                <w:rFonts w:ascii="Times New Roman" w:eastAsia="宋体" w:hAnsi="Times New Roman"/>
                <w:color w:val="000000"/>
                <w:sz w:val="16"/>
                <w:szCs w:val="16"/>
              </w:rPr>
              <w:t>1,725 </w:t>
            </w:r>
          </w:p>
        </w:tc>
        <w:tc>
          <w:tcPr>
            <w:tcW w:w="0" w:type="auto"/>
            <w:shd w:val="clear" w:color="auto" w:fill="FFFFFF"/>
            <w:tcMar>
              <w:top w:w="40" w:type="dxa"/>
              <w:left w:w="0" w:type="dxa"/>
              <w:bottom w:w="40" w:type="dxa"/>
              <w:right w:w="20" w:type="dxa"/>
            </w:tcMar>
            <w:vAlign w:val="center"/>
          </w:tcPr>
          <w:p w14:paraId="7E7841D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D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D3" w14:textId="77777777" w:rsidR="00A82082" w:rsidRDefault="00E946F9">
            <w:pPr>
              <w:jc w:val="right"/>
              <w:textAlignment w:val="center"/>
            </w:pPr>
            <w:r>
              <w:rPr>
                <w:rFonts w:ascii="Times New Roman" w:eastAsia="宋体" w:hAnsi="Times New Roman"/>
                <w:color w:val="000000"/>
                <w:sz w:val="16"/>
                <w:szCs w:val="16"/>
              </w:rPr>
              <w:t>1,793 </w:t>
            </w:r>
          </w:p>
        </w:tc>
        <w:tc>
          <w:tcPr>
            <w:tcW w:w="0" w:type="auto"/>
            <w:shd w:val="clear" w:color="auto" w:fill="FFFFFF"/>
            <w:tcMar>
              <w:top w:w="40" w:type="dxa"/>
              <w:left w:w="0" w:type="dxa"/>
              <w:bottom w:w="40" w:type="dxa"/>
              <w:right w:w="20" w:type="dxa"/>
            </w:tcMar>
            <w:vAlign w:val="center"/>
          </w:tcPr>
          <w:p w14:paraId="7E7841D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D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1D6" w14:textId="77777777" w:rsidR="00A82082" w:rsidRDefault="00E946F9">
            <w:pPr>
              <w:jc w:val="right"/>
              <w:textAlignment w:val="center"/>
            </w:pPr>
            <w:r>
              <w:rPr>
                <w:rFonts w:ascii="Times New Roman" w:eastAsia="宋体" w:hAnsi="Times New Roman"/>
                <w:color w:val="000000"/>
                <w:sz w:val="16"/>
                <w:szCs w:val="16"/>
              </w:rPr>
              <w:t>1,740 </w:t>
            </w:r>
          </w:p>
        </w:tc>
        <w:tc>
          <w:tcPr>
            <w:tcW w:w="0" w:type="auto"/>
            <w:shd w:val="clear" w:color="auto" w:fill="FFFFFF"/>
            <w:tcMar>
              <w:top w:w="40" w:type="dxa"/>
              <w:left w:w="0" w:type="dxa"/>
              <w:bottom w:w="40" w:type="dxa"/>
              <w:right w:w="20" w:type="dxa"/>
            </w:tcMar>
            <w:vAlign w:val="center"/>
          </w:tcPr>
          <w:p w14:paraId="7E7841D7" w14:textId="77777777" w:rsidR="00A82082" w:rsidRDefault="00A82082">
            <w:pPr>
              <w:jc w:val="right"/>
              <w:rPr>
                <w:rFonts w:ascii="宋体"/>
              </w:rPr>
            </w:pPr>
          </w:p>
        </w:tc>
      </w:tr>
      <w:tr w:rsidR="00A82082" w14:paraId="7E7841E3" w14:textId="77777777">
        <w:trPr>
          <w:jc w:val="center"/>
        </w:trPr>
        <w:tc>
          <w:tcPr>
            <w:tcW w:w="0" w:type="auto"/>
            <w:gridSpan w:val="3"/>
            <w:shd w:val="clear" w:color="auto" w:fill="CCEEFF"/>
            <w:tcMar>
              <w:top w:w="40" w:type="dxa"/>
              <w:left w:w="380" w:type="dxa"/>
              <w:bottom w:w="40" w:type="dxa"/>
              <w:right w:w="20" w:type="dxa"/>
            </w:tcMar>
            <w:vAlign w:val="center"/>
          </w:tcPr>
          <w:p w14:paraId="7E7841D9" w14:textId="77777777" w:rsidR="00A82082" w:rsidRDefault="00E946F9">
            <w:pPr>
              <w:textAlignment w:val="center"/>
            </w:pPr>
            <w:r>
              <w:rPr>
                <w:rFonts w:ascii="Times New Roman" w:eastAsia="宋体" w:hAnsi="Times New Roman"/>
                <w:color w:val="000000"/>
                <w:sz w:val="16"/>
                <w:szCs w:val="16"/>
              </w:rPr>
              <w:t>Financ</w:t>
            </w:r>
            <w:r>
              <w:rPr>
                <w:rFonts w:ascii="Times New Roman" w:eastAsia="宋体" w:hAnsi="Times New Roman"/>
                <w:color w:val="000000"/>
                <w:sz w:val="16"/>
                <w:szCs w:val="16"/>
              </w:rPr>
              <w:t>e lease obligations due within one year</w:t>
            </w:r>
          </w:p>
        </w:tc>
        <w:tc>
          <w:tcPr>
            <w:tcW w:w="0" w:type="auto"/>
            <w:gridSpan w:val="3"/>
            <w:shd w:val="clear" w:color="auto" w:fill="CCEEFF"/>
            <w:tcMar>
              <w:top w:w="0" w:type="dxa"/>
              <w:left w:w="20" w:type="dxa"/>
              <w:bottom w:w="0" w:type="dxa"/>
              <w:right w:w="20" w:type="dxa"/>
            </w:tcMar>
          </w:tcPr>
          <w:p w14:paraId="7E7841D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DB" w14:textId="77777777" w:rsidR="00A82082" w:rsidRDefault="00E946F9">
            <w:pPr>
              <w:jc w:val="right"/>
              <w:textAlignment w:val="center"/>
            </w:pPr>
            <w:r>
              <w:rPr>
                <w:rFonts w:ascii="Times New Roman" w:eastAsia="宋体" w:hAnsi="Times New Roman"/>
                <w:color w:val="000000"/>
                <w:sz w:val="16"/>
                <w:szCs w:val="16"/>
              </w:rPr>
              <w:t>574 </w:t>
            </w:r>
          </w:p>
        </w:tc>
        <w:tc>
          <w:tcPr>
            <w:tcW w:w="0" w:type="auto"/>
            <w:shd w:val="clear" w:color="auto" w:fill="CCEEFF"/>
            <w:tcMar>
              <w:top w:w="40" w:type="dxa"/>
              <w:left w:w="0" w:type="dxa"/>
              <w:bottom w:w="40" w:type="dxa"/>
              <w:right w:w="20" w:type="dxa"/>
            </w:tcMar>
            <w:vAlign w:val="center"/>
          </w:tcPr>
          <w:p w14:paraId="7E7841D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D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DE" w14:textId="77777777" w:rsidR="00A82082" w:rsidRDefault="00E946F9">
            <w:pPr>
              <w:jc w:val="right"/>
              <w:textAlignment w:val="center"/>
            </w:pPr>
            <w:r>
              <w:rPr>
                <w:rFonts w:ascii="Times New Roman" w:eastAsia="宋体" w:hAnsi="Times New Roman"/>
                <w:color w:val="000000"/>
                <w:sz w:val="16"/>
                <w:szCs w:val="16"/>
              </w:rPr>
              <w:t>511 </w:t>
            </w:r>
          </w:p>
        </w:tc>
        <w:tc>
          <w:tcPr>
            <w:tcW w:w="0" w:type="auto"/>
            <w:shd w:val="clear" w:color="auto" w:fill="CCEEFF"/>
            <w:tcMar>
              <w:top w:w="40" w:type="dxa"/>
              <w:left w:w="0" w:type="dxa"/>
              <w:bottom w:w="40" w:type="dxa"/>
              <w:right w:w="20" w:type="dxa"/>
            </w:tcMar>
            <w:vAlign w:val="center"/>
          </w:tcPr>
          <w:p w14:paraId="7E7841D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1E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1E1" w14:textId="77777777" w:rsidR="00A82082" w:rsidRDefault="00E946F9">
            <w:pPr>
              <w:jc w:val="right"/>
              <w:textAlignment w:val="center"/>
            </w:pPr>
            <w:r>
              <w:rPr>
                <w:rFonts w:ascii="Times New Roman" w:eastAsia="宋体" w:hAnsi="Times New Roman"/>
                <w:color w:val="000000"/>
                <w:sz w:val="16"/>
                <w:szCs w:val="16"/>
              </w:rPr>
              <w:t>468 </w:t>
            </w:r>
          </w:p>
        </w:tc>
        <w:tc>
          <w:tcPr>
            <w:tcW w:w="0" w:type="auto"/>
            <w:shd w:val="clear" w:color="auto" w:fill="CCEEFF"/>
            <w:tcMar>
              <w:top w:w="40" w:type="dxa"/>
              <w:left w:w="0" w:type="dxa"/>
              <w:bottom w:w="40" w:type="dxa"/>
              <w:right w:w="20" w:type="dxa"/>
            </w:tcMar>
            <w:vAlign w:val="center"/>
          </w:tcPr>
          <w:p w14:paraId="7E7841E2" w14:textId="77777777" w:rsidR="00A82082" w:rsidRDefault="00A82082">
            <w:pPr>
              <w:jc w:val="right"/>
              <w:rPr>
                <w:rFonts w:ascii="宋体"/>
              </w:rPr>
            </w:pPr>
          </w:p>
        </w:tc>
      </w:tr>
      <w:tr w:rsidR="00A82082" w14:paraId="7E7841EB" w14:textId="77777777">
        <w:trPr>
          <w:jc w:val="center"/>
          <w:hidden/>
        </w:trPr>
        <w:tc>
          <w:tcPr>
            <w:tcW w:w="0" w:type="auto"/>
            <w:gridSpan w:val="3"/>
            <w:shd w:val="clear" w:color="auto" w:fill="auto"/>
          </w:tcPr>
          <w:p w14:paraId="7E7841E4" w14:textId="77777777" w:rsidR="00A82082" w:rsidRDefault="00A82082">
            <w:pPr>
              <w:rPr>
                <w:rFonts w:ascii="宋体"/>
                <w:vanish/>
              </w:rPr>
            </w:pPr>
          </w:p>
        </w:tc>
        <w:tc>
          <w:tcPr>
            <w:tcW w:w="0" w:type="auto"/>
            <w:gridSpan w:val="3"/>
            <w:shd w:val="clear" w:color="auto" w:fill="auto"/>
          </w:tcPr>
          <w:p w14:paraId="7E7841E5" w14:textId="77777777" w:rsidR="00A82082" w:rsidRDefault="00A82082">
            <w:pPr>
              <w:rPr>
                <w:rFonts w:ascii="宋体"/>
                <w:vanish/>
              </w:rPr>
            </w:pPr>
          </w:p>
        </w:tc>
        <w:tc>
          <w:tcPr>
            <w:tcW w:w="0" w:type="auto"/>
            <w:gridSpan w:val="3"/>
            <w:shd w:val="clear" w:color="auto" w:fill="auto"/>
          </w:tcPr>
          <w:p w14:paraId="7E7841E6" w14:textId="77777777" w:rsidR="00A82082" w:rsidRDefault="00A82082">
            <w:pPr>
              <w:rPr>
                <w:rFonts w:ascii="宋体"/>
                <w:vanish/>
              </w:rPr>
            </w:pPr>
          </w:p>
        </w:tc>
        <w:tc>
          <w:tcPr>
            <w:tcW w:w="0" w:type="auto"/>
            <w:gridSpan w:val="3"/>
            <w:shd w:val="clear" w:color="auto" w:fill="auto"/>
          </w:tcPr>
          <w:p w14:paraId="7E7841E7" w14:textId="77777777" w:rsidR="00A82082" w:rsidRDefault="00A82082">
            <w:pPr>
              <w:rPr>
                <w:rFonts w:ascii="宋体"/>
                <w:vanish/>
              </w:rPr>
            </w:pPr>
          </w:p>
        </w:tc>
        <w:tc>
          <w:tcPr>
            <w:tcW w:w="0" w:type="auto"/>
            <w:gridSpan w:val="3"/>
            <w:shd w:val="clear" w:color="auto" w:fill="auto"/>
          </w:tcPr>
          <w:p w14:paraId="7E7841E8" w14:textId="77777777" w:rsidR="00A82082" w:rsidRDefault="00A82082">
            <w:pPr>
              <w:rPr>
                <w:rFonts w:ascii="宋体"/>
                <w:vanish/>
              </w:rPr>
            </w:pPr>
          </w:p>
        </w:tc>
        <w:tc>
          <w:tcPr>
            <w:tcW w:w="0" w:type="auto"/>
            <w:gridSpan w:val="3"/>
            <w:shd w:val="clear" w:color="auto" w:fill="auto"/>
          </w:tcPr>
          <w:p w14:paraId="7E7841E9" w14:textId="77777777" w:rsidR="00A82082" w:rsidRDefault="00A82082">
            <w:pPr>
              <w:rPr>
                <w:rFonts w:ascii="宋体"/>
                <w:vanish/>
              </w:rPr>
            </w:pPr>
          </w:p>
        </w:tc>
        <w:tc>
          <w:tcPr>
            <w:tcW w:w="0" w:type="auto"/>
            <w:gridSpan w:val="3"/>
            <w:shd w:val="clear" w:color="auto" w:fill="auto"/>
          </w:tcPr>
          <w:p w14:paraId="7E7841EA" w14:textId="77777777" w:rsidR="00A82082" w:rsidRDefault="00A82082">
            <w:pPr>
              <w:rPr>
                <w:rFonts w:ascii="宋体"/>
                <w:vanish/>
              </w:rPr>
            </w:pPr>
          </w:p>
        </w:tc>
      </w:tr>
      <w:tr w:rsidR="00A82082" w14:paraId="7E7841F3" w14:textId="77777777">
        <w:trPr>
          <w:jc w:val="center"/>
          <w:hidden/>
        </w:trPr>
        <w:tc>
          <w:tcPr>
            <w:tcW w:w="0" w:type="auto"/>
            <w:gridSpan w:val="3"/>
            <w:shd w:val="clear" w:color="auto" w:fill="auto"/>
          </w:tcPr>
          <w:p w14:paraId="7E7841EC" w14:textId="77777777" w:rsidR="00A82082" w:rsidRDefault="00A82082">
            <w:pPr>
              <w:rPr>
                <w:rFonts w:ascii="宋体"/>
                <w:vanish/>
              </w:rPr>
            </w:pPr>
          </w:p>
        </w:tc>
        <w:tc>
          <w:tcPr>
            <w:tcW w:w="0" w:type="auto"/>
            <w:gridSpan w:val="3"/>
            <w:shd w:val="clear" w:color="auto" w:fill="auto"/>
          </w:tcPr>
          <w:p w14:paraId="7E7841ED" w14:textId="77777777" w:rsidR="00A82082" w:rsidRDefault="00A82082">
            <w:pPr>
              <w:rPr>
                <w:rFonts w:ascii="宋体"/>
                <w:vanish/>
              </w:rPr>
            </w:pPr>
          </w:p>
        </w:tc>
        <w:tc>
          <w:tcPr>
            <w:tcW w:w="0" w:type="auto"/>
            <w:gridSpan w:val="3"/>
            <w:shd w:val="clear" w:color="auto" w:fill="auto"/>
          </w:tcPr>
          <w:p w14:paraId="7E7841EE" w14:textId="77777777" w:rsidR="00A82082" w:rsidRDefault="00A82082">
            <w:pPr>
              <w:rPr>
                <w:rFonts w:ascii="宋体"/>
                <w:vanish/>
              </w:rPr>
            </w:pPr>
          </w:p>
        </w:tc>
        <w:tc>
          <w:tcPr>
            <w:tcW w:w="0" w:type="auto"/>
            <w:gridSpan w:val="3"/>
            <w:shd w:val="clear" w:color="auto" w:fill="auto"/>
          </w:tcPr>
          <w:p w14:paraId="7E7841EF" w14:textId="77777777" w:rsidR="00A82082" w:rsidRDefault="00A82082">
            <w:pPr>
              <w:rPr>
                <w:rFonts w:ascii="宋体"/>
                <w:vanish/>
              </w:rPr>
            </w:pPr>
          </w:p>
        </w:tc>
        <w:tc>
          <w:tcPr>
            <w:tcW w:w="0" w:type="auto"/>
            <w:gridSpan w:val="3"/>
            <w:shd w:val="clear" w:color="auto" w:fill="auto"/>
          </w:tcPr>
          <w:p w14:paraId="7E7841F0" w14:textId="77777777" w:rsidR="00A82082" w:rsidRDefault="00A82082">
            <w:pPr>
              <w:rPr>
                <w:rFonts w:ascii="宋体"/>
                <w:vanish/>
              </w:rPr>
            </w:pPr>
          </w:p>
        </w:tc>
        <w:tc>
          <w:tcPr>
            <w:tcW w:w="0" w:type="auto"/>
            <w:gridSpan w:val="3"/>
            <w:shd w:val="clear" w:color="auto" w:fill="auto"/>
          </w:tcPr>
          <w:p w14:paraId="7E7841F1" w14:textId="77777777" w:rsidR="00A82082" w:rsidRDefault="00A82082">
            <w:pPr>
              <w:rPr>
                <w:rFonts w:ascii="宋体"/>
                <w:vanish/>
              </w:rPr>
            </w:pPr>
          </w:p>
        </w:tc>
        <w:tc>
          <w:tcPr>
            <w:tcW w:w="0" w:type="auto"/>
            <w:gridSpan w:val="3"/>
            <w:shd w:val="clear" w:color="auto" w:fill="auto"/>
          </w:tcPr>
          <w:p w14:paraId="7E7841F2" w14:textId="77777777" w:rsidR="00A82082" w:rsidRDefault="00A82082">
            <w:pPr>
              <w:rPr>
                <w:rFonts w:ascii="宋体"/>
                <w:vanish/>
              </w:rPr>
            </w:pPr>
          </w:p>
        </w:tc>
      </w:tr>
      <w:tr w:rsidR="00A82082" w14:paraId="7E7841FE" w14:textId="77777777">
        <w:trPr>
          <w:jc w:val="center"/>
        </w:trPr>
        <w:tc>
          <w:tcPr>
            <w:tcW w:w="0" w:type="auto"/>
            <w:gridSpan w:val="3"/>
            <w:shd w:val="clear" w:color="auto" w:fill="FFFFFF"/>
            <w:tcMar>
              <w:top w:w="40" w:type="dxa"/>
              <w:left w:w="740" w:type="dxa"/>
              <w:bottom w:w="40" w:type="dxa"/>
              <w:right w:w="20" w:type="dxa"/>
            </w:tcMar>
            <w:vAlign w:val="center"/>
          </w:tcPr>
          <w:p w14:paraId="7E7841F4" w14:textId="77777777" w:rsidR="00A82082" w:rsidRDefault="00E946F9">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tcPr>
          <w:p w14:paraId="7E7841F5"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1F6" w14:textId="77777777" w:rsidR="00A82082" w:rsidRDefault="00E946F9">
            <w:pPr>
              <w:jc w:val="right"/>
              <w:textAlignment w:val="center"/>
            </w:pPr>
            <w:r>
              <w:rPr>
                <w:rFonts w:ascii="Times New Roman" w:eastAsia="宋体" w:hAnsi="Times New Roman"/>
                <w:color w:val="000000"/>
                <w:sz w:val="16"/>
                <w:szCs w:val="16"/>
              </w:rPr>
              <w:t>88,121 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F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F8"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1F9" w14:textId="77777777" w:rsidR="00A82082" w:rsidRDefault="00E946F9">
            <w:pPr>
              <w:jc w:val="right"/>
              <w:textAlignment w:val="center"/>
            </w:pPr>
            <w:r>
              <w:rPr>
                <w:rFonts w:ascii="Times New Roman" w:eastAsia="宋体" w:hAnsi="Times New Roman"/>
                <w:color w:val="000000"/>
                <w:sz w:val="16"/>
                <w:szCs w:val="16"/>
              </w:rPr>
              <w:t>77,790 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F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1F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1FC" w14:textId="77777777" w:rsidR="00A82082" w:rsidRDefault="00E946F9">
            <w:pPr>
              <w:jc w:val="right"/>
              <w:textAlignment w:val="center"/>
            </w:pPr>
            <w:r>
              <w:rPr>
                <w:rFonts w:ascii="Times New Roman" w:eastAsia="宋体" w:hAnsi="Times New Roman"/>
                <w:color w:val="000000"/>
                <w:sz w:val="16"/>
                <w:szCs w:val="16"/>
              </w:rPr>
              <w:t>83,784 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1FD" w14:textId="77777777" w:rsidR="00A82082" w:rsidRDefault="00A82082">
            <w:pPr>
              <w:jc w:val="right"/>
              <w:rPr>
                <w:rFonts w:ascii="宋体"/>
              </w:rPr>
            </w:pPr>
          </w:p>
        </w:tc>
      </w:tr>
      <w:tr w:rsidR="00A82082" w14:paraId="7E784206" w14:textId="77777777">
        <w:trPr>
          <w:trHeight w:val="240"/>
          <w:jc w:val="center"/>
        </w:trPr>
        <w:tc>
          <w:tcPr>
            <w:tcW w:w="0" w:type="auto"/>
            <w:gridSpan w:val="3"/>
            <w:shd w:val="clear" w:color="auto" w:fill="CCEEFF"/>
            <w:tcMar>
              <w:top w:w="0" w:type="dxa"/>
              <w:left w:w="20" w:type="dxa"/>
              <w:bottom w:w="0" w:type="dxa"/>
              <w:right w:w="20" w:type="dxa"/>
            </w:tcMar>
          </w:tcPr>
          <w:p w14:paraId="7E7841FF"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0"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2"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05" w14:textId="77777777" w:rsidR="00A82082" w:rsidRDefault="00A82082">
            <w:pPr>
              <w:rPr>
                <w:rFonts w:ascii="宋体"/>
              </w:rPr>
            </w:pPr>
          </w:p>
        </w:tc>
      </w:tr>
      <w:tr w:rsidR="00A82082" w14:paraId="7E784211" w14:textId="77777777">
        <w:trPr>
          <w:jc w:val="center"/>
        </w:trPr>
        <w:tc>
          <w:tcPr>
            <w:tcW w:w="0" w:type="auto"/>
            <w:gridSpan w:val="3"/>
            <w:shd w:val="clear" w:color="auto" w:fill="FFFFFF"/>
            <w:tcMar>
              <w:top w:w="40" w:type="dxa"/>
              <w:left w:w="20" w:type="dxa"/>
              <w:bottom w:w="40" w:type="dxa"/>
              <w:right w:w="20" w:type="dxa"/>
            </w:tcMar>
            <w:vAlign w:val="center"/>
          </w:tcPr>
          <w:p w14:paraId="7E784207" w14:textId="77777777" w:rsidR="00A82082" w:rsidRDefault="00E946F9">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tcPr>
          <w:p w14:paraId="7E78420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09" w14:textId="77777777" w:rsidR="00A82082" w:rsidRDefault="00E946F9">
            <w:pPr>
              <w:jc w:val="right"/>
              <w:textAlignment w:val="center"/>
            </w:pPr>
            <w:r>
              <w:rPr>
                <w:rFonts w:ascii="Times New Roman" w:eastAsia="宋体" w:hAnsi="Times New Roman"/>
                <w:color w:val="000000"/>
                <w:sz w:val="16"/>
                <w:szCs w:val="16"/>
              </w:rPr>
              <w:t>40,849 </w:t>
            </w:r>
          </w:p>
        </w:tc>
        <w:tc>
          <w:tcPr>
            <w:tcW w:w="0" w:type="auto"/>
            <w:shd w:val="clear" w:color="auto" w:fill="FFFFFF"/>
            <w:tcMar>
              <w:top w:w="40" w:type="dxa"/>
              <w:left w:w="0" w:type="dxa"/>
              <w:bottom w:w="40" w:type="dxa"/>
              <w:right w:w="20" w:type="dxa"/>
            </w:tcMar>
            <w:vAlign w:val="center"/>
          </w:tcPr>
          <w:p w14:paraId="7E78420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0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0C" w14:textId="77777777" w:rsidR="00A82082" w:rsidRDefault="00E946F9">
            <w:pPr>
              <w:jc w:val="right"/>
              <w:textAlignment w:val="center"/>
            </w:pPr>
            <w:r>
              <w:rPr>
                <w:rFonts w:ascii="Times New Roman" w:eastAsia="宋体" w:hAnsi="Times New Roman"/>
                <w:color w:val="000000"/>
                <w:sz w:val="16"/>
                <w:szCs w:val="16"/>
              </w:rPr>
              <w:t>43,714 </w:t>
            </w:r>
          </w:p>
        </w:tc>
        <w:tc>
          <w:tcPr>
            <w:tcW w:w="0" w:type="auto"/>
            <w:shd w:val="clear" w:color="auto" w:fill="FFFFFF"/>
            <w:tcMar>
              <w:top w:w="40" w:type="dxa"/>
              <w:left w:w="0" w:type="dxa"/>
              <w:bottom w:w="40" w:type="dxa"/>
              <w:right w:w="20" w:type="dxa"/>
            </w:tcMar>
            <w:vAlign w:val="center"/>
          </w:tcPr>
          <w:p w14:paraId="7E78420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0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0F" w14:textId="77777777" w:rsidR="00A82082" w:rsidRDefault="00E946F9">
            <w:pPr>
              <w:jc w:val="right"/>
              <w:textAlignment w:val="center"/>
            </w:pPr>
            <w:r>
              <w:rPr>
                <w:rFonts w:ascii="Times New Roman" w:eastAsia="宋体" w:hAnsi="Times New Roman"/>
                <w:color w:val="000000"/>
                <w:sz w:val="16"/>
                <w:szCs w:val="16"/>
              </w:rPr>
              <w:t>44,912 </w:t>
            </w:r>
          </w:p>
        </w:tc>
        <w:tc>
          <w:tcPr>
            <w:tcW w:w="0" w:type="auto"/>
            <w:shd w:val="clear" w:color="auto" w:fill="FFFFFF"/>
            <w:tcMar>
              <w:top w:w="40" w:type="dxa"/>
              <w:left w:w="0" w:type="dxa"/>
              <w:bottom w:w="40" w:type="dxa"/>
              <w:right w:w="20" w:type="dxa"/>
            </w:tcMar>
            <w:vAlign w:val="center"/>
          </w:tcPr>
          <w:p w14:paraId="7E784210" w14:textId="77777777" w:rsidR="00A82082" w:rsidRDefault="00A82082">
            <w:pPr>
              <w:jc w:val="right"/>
              <w:rPr>
                <w:rFonts w:ascii="宋体"/>
              </w:rPr>
            </w:pPr>
          </w:p>
        </w:tc>
      </w:tr>
      <w:tr w:rsidR="00A82082" w14:paraId="7E78421C" w14:textId="77777777">
        <w:trPr>
          <w:jc w:val="center"/>
        </w:trPr>
        <w:tc>
          <w:tcPr>
            <w:tcW w:w="0" w:type="auto"/>
            <w:gridSpan w:val="3"/>
            <w:shd w:val="clear" w:color="auto" w:fill="CCEEFF"/>
            <w:tcMar>
              <w:top w:w="40" w:type="dxa"/>
              <w:left w:w="20" w:type="dxa"/>
              <w:bottom w:w="40" w:type="dxa"/>
              <w:right w:w="20" w:type="dxa"/>
            </w:tcMar>
            <w:vAlign w:val="center"/>
          </w:tcPr>
          <w:p w14:paraId="7E784212" w14:textId="77777777" w:rsidR="00A82082" w:rsidRDefault="00E946F9">
            <w:pPr>
              <w:textAlignment w:val="center"/>
            </w:pPr>
            <w:r>
              <w:rPr>
                <w:rFonts w:ascii="Times New Roman" w:eastAsia="宋体" w:hAnsi="Times New Roman"/>
                <w:color w:val="000000"/>
                <w:sz w:val="16"/>
                <w:szCs w:val="16"/>
              </w:rPr>
              <w:t>Long-term operating lease obligations</w:t>
            </w:r>
          </w:p>
        </w:tc>
        <w:tc>
          <w:tcPr>
            <w:tcW w:w="0" w:type="auto"/>
            <w:gridSpan w:val="3"/>
            <w:shd w:val="clear" w:color="auto" w:fill="CCEEFF"/>
            <w:tcMar>
              <w:top w:w="0" w:type="dxa"/>
              <w:left w:w="20" w:type="dxa"/>
              <w:bottom w:w="0" w:type="dxa"/>
              <w:right w:w="20" w:type="dxa"/>
            </w:tcMar>
          </w:tcPr>
          <w:p w14:paraId="7E78421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14" w14:textId="77777777" w:rsidR="00A82082" w:rsidRDefault="00E946F9">
            <w:pPr>
              <w:jc w:val="right"/>
              <w:textAlignment w:val="center"/>
            </w:pPr>
            <w:r>
              <w:rPr>
                <w:rFonts w:ascii="Times New Roman" w:eastAsia="宋体" w:hAnsi="Times New Roman"/>
                <w:color w:val="000000"/>
                <w:sz w:val="16"/>
                <w:szCs w:val="16"/>
              </w:rPr>
              <w:t>15,982 </w:t>
            </w:r>
          </w:p>
        </w:tc>
        <w:tc>
          <w:tcPr>
            <w:tcW w:w="0" w:type="auto"/>
            <w:shd w:val="clear" w:color="auto" w:fill="CCEEFF"/>
            <w:tcMar>
              <w:top w:w="40" w:type="dxa"/>
              <w:left w:w="0" w:type="dxa"/>
              <w:bottom w:w="40" w:type="dxa"/>
              <w:right w:w="20" w:type="dxa"/>
            </w:tcMar>
            <w:vAlign w:val="center"/>
          </w:tcPr>
          <w:p w14:paraId="7E78421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1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17" w14:textId="77777777" w:rsidR="00A82082" w:rsidRDefault="00E946F9">
            <w:pPr>
              <w:jc w:val="right"/>
              <w:textAlignment w:val="center"/>
            </w:pPr>
            <w:r>
              <w:rPr>
                <w:rFonts w:ascii="Times New Roman" w:eastAsia="宋体" w:hAnsi="Times New Roman"/>
                <w:color w:val="000000"/>
                <w:sz w:val="16"/>
                <w:szCs w:val="16"/>
              </w:rPr>
              <w:t>16,171 </w:t>
            </w:r>
          </w:p>
        </w:tc>
        <w:tc>
          <w:tcPr>
            <w:tcW w:w="0" w:type="auto"/>
            <w:shd w:val="clear" w:color="auto" w:fill="CCEEFF"/>
            <w:tcMar>
              <w:top w:w="40" w:type="dxa"/>
              <w:left w:w="0" w:type="dxa"/>
              <w:bottom w:w="40" w:type="dxa"/>
              <w:right w:w="20" w:type="dxa"/>
            </w:tcMar>
            <w:vAlign w:val="center"/>
          </w:tcPr>
          <w:p w14:paraId="7E78421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1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1A" w14:textId="77777777" w:rsidR="00A82082" w:rsidRDefault="00E946F9">
            <w:pPr>
              <w:jc w:val="right"/>
              <w:textAlignment w:val="center"/>
            </w:pPr>
            <w:r>
              <w:rPr>
                <w:rFonts w:ascii="Times New Roman" w:eastAsia="宋体" w:hAnsi="Times New Roman"/>
                <w:color w:val="000000"/>
                <w:sz w:val="16"/>
                <w:szCs w:val="16"/>
              </w:rPr>
              <w:t>15,741 </w:t>
            </w:r>
          </w:p>
        </w:tc>
        <w:tc>
          <w:tcPr>
            <w:tcW w:w="0" w:type="auto"/>
            <w:shd w:val="clear" w:color="auto" w:fill="CCEEFF"/>
            <w:tcMar>
              <w:top w:w="40" w:type="dxa"/>
              <w:left w:w="0" w:type="dxa"/>
              <w:bottom w:w="40" w:type="dxa"/>
              <w:right w:w="20" w:type="dxa"/>
            </w:tcMar>
            <w:vAlign w:val="center"/>
          </w:tcPr>
          <w:p w14:paraId="7E78421B" w14:textId="77777777" w:rsidR="00A82082" w:rsidRDefault="00A82082">
            <w:pPr>
              <w:jc w:val="right"/>
              <w:rPr>
                <w:rFonts w:ascii="宋体"/>
              </w:rPr>
            </w:pPr>
          </w:p>
        </w:tc>
      </w:tr>
      <w:tr w:rsidR="00A82082" w14:paraId="7E784227" w14:textId="77777777">
        <w:trPr>
          <w:jc w:val="center"/>
        </w:trPr>
        <w:tc>
          <w:tcPr>
            <w:tcW w:w="0" w:type="auto"/>
            <w:gridSpan w:val="3"/>
            <w:shd w:val="clear" w:color="auto" w:fill="FFFFFF"/>
            <w:tcMar>
              <w:top w:w="40" w:type="dxa"/>
              <w:left w:w="20" w:type="dxa"/>
              <w:bottom w:w="40" w:type="dxa"/>
              <w:right w:w="20" w:type="dxa"/>
            </w:tcMar>
            <w:vAlign w:val="center"/>
          </w:tcPr>
          <w:p w14:paraId="7E78421D" w14:textId="77777777" w:rsidR="00A82082" w:rsidRDefault="00E946F9">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tcPr>
          <w:p w14:paraId="7E78421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1F" w14:textId="77777777" w:rsidR="00A82082" w:rsidRDefault="00E946F9">
            <w:pPr>
              <w:jc w:val="right"/>
              <w:textAlignment w:val="center"/>
            </w:pPr>
            <w:r>
              <w:rPr>
                <w:rFonts w:ascii="Times New Roman" w:eastAsia="宋体" w:hAnsi="Times New Roman"/>
                <w:color w:val="000000"/>
                <w:sz w:val="16"/>
                <w:szCs w:val="16"/>
              </w:rPr>
              <w:t>4,750 </w:t>
            </w:r>
          </w:p>
        </w:tc>
        <w:tc>
          <w:tcPr>
            <w:tcW w:w="0" w:type="auto"/>
            <w:shd w:val="clear" w:color="auto" w:fill="FFFFFF"/>
            <w:tcMar>
              <w:top w:w="40" w:type="dxa"/>
              <w:left w:w="0" w:type="dxa"/>
              <w:bottom w:w="40" w:type="dxa"/>
              <w:right w:w="20" w:type="dxa"/>
            </w:tcMar>
            <w:vAlign w:val="center"/>
          </w:tcPr>
          <w:p w14:paraId="7E78422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2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22" w14:textId="77777777" w:rsidR="00A82082" w:rsidRDefault="00E946F9">
            <w:pPr>
              <w:jc w:val="right"/>
              <w:textAlignment w:val="center"/>
            </w:pPr>
            <w:r>
              <w:rPr>
                <w:rFonts w:ascii="Times New Roman" w:eastAsia="宋体" w:hAnsi="Times New Roman"/>
                <w:color w:val="000000"/>
                <w:sz w:val="16"/>
                <w:szCs w:val="16"/>
              </w:rPr>
              <w:t>4,307 </w:t>
            </w:r>
          </w:p>
        </w:tc>
        <w:tc>
          <w:tcPr>
            <w:tcW w:w="0" w:type="auto"/>
            <w:shd w:val="clear" w:color="auto" w:fill="FFFFFF"/>
            <w:tcMar>
              <w:top w:w="40" w:type="dxa"/>
              <w:left w:w="0" w:type="dxa"/>
              <w:bottom w:w="40" w:type="dxa"/>
              <w:right w:w="20" w:type="dxa"/>
            </w:tcMar>
            <w:vAlign w:val="center"/>
          </w:tcPr>
          <w:p w14:paraId="7E78422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2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25" w14:textId="77777777" w:rsidR="00A82082" w:rsidRDefault="00E946F9">
            <w:pPr>
              <w:jc w:val="right"/>
              <w:textAlignment w:val="center"/>
            </w:pPr>
            <w:r>
              <w:rPr>
                <w:rFonts w:ascii="Times New Roman" w:eastAsia="宋体" w:hAnsi="Times New Roman"/>
                <w:color w:val="000000"/>
                <w:sz w:val="16"/>
                <w:szCs w:val="16"/>
              </w:rPr>
              <w:t>4,068 </w:t>
            </w:r>
          </w:p>
        </w:tc>
        <w:tc>
          <w:tcPr>
            <w:tcW w:w="0" w:type="auto"/>
            <w:shd w:val="clear" w:color="auto" w:fill="FFFFFF"/>
            <w:tcMar>
              <w:top w:w="40" w:type="dxa"/>
              <w:left w:w="0" w:type="dxa"/>
              <w:bottom w:w="40" w:type="dxa"/>
              <w:right w:w="20" w:type="dxa"/>
            </w:tcMar>
            <w:vAlign w:val="center"/>
          </w:tcPr>
          <w:p w14:paraId="7E784226" w14:textId="77777777" w:rsidR="00A82082" w:rsidRDefault="00A82082">
            <w:pPr>
              <w:jc w:val="right"/>
              <w:rPr>
                <w:rFonts w:ascii="宋体"/>
              </w:rPr>
            </w:pPr>
          </w:p>
        </w:tc>
      </w:tr>
      <w:tr w:rsidR="00A82082" w14:paraId="7E78422F" w14:textId="77777777">
        <w:trPr>
          <w:jc w:val="center"/>
          <w:hidden/>
        </w:trPr>
        <w:tc>
          <w:tcPr>
            <w:tcW w:w="0" w:type="auto"/>
            <w:gridSpan w:val="3"/>
            <w:shd w:val="clear" w:color="auto" w:fill="auto"/>
          </w:tcPr>
          <w:p w14:paraId="7E784228" w14:textId="77777777" w:rsidR="00A82082" w:rsidRDefault="00A82082">
            <w:pPr>
              <w:rPr>
                <w:rFonts w:ascii="宋体"/>
                <w:vanish/>
              </w:rPr>
            </w:pPr>
          </w:p>
        </w:tc>
        <w:tc>
          <w:tcPr>
            <w:tcW w:w="0" w:type="auto"/>
            <w:gridSpan w:val="3"/>
            <w:shd w:val="clear" w:color="auto" w:fill="auto"/>
          </w:tcPr>
          <w:p w14:paraId="7E784229" w14:textId="77777777" w:rsidR="00A82082" w:rsidRDefault="00A82082">
            <w:pPr>
              <w:rPr>
                <w:rFonts w:ascii="宋体"/>
                <w:vanish/>
              </w:rPr>
            </w:pPr>
          </w:p>
        </w:tc>
        <w:tc>
          <w:tcPr>
            <w:tcW w:w="0" w:type="auto"/>
            <w:gridSpan w:val="3"/>
            <w:shd w:val="clear" w:color="auto" w:fill="auto"/>
          </w:tcPr>
          <w:p w14:paraId="7E78422A" w14:textId="77777777" w:rsidR="00A82082" w:rsidRDefault="00A82082">
            <w:pPr>
              <w:rPr>
                <w:rFonts w:ascii="宋体"/>
                <w:vanish/>
              </w:rPr>
            </w:pPr>
          </w:p>
        </w:tc>
        <w:tc>
          <w:tcPr>
            <w:tcW w:w="0" w:type="auto"/>
            <w:gridSpan w:val="3"/>
            <w:shd w:val="clear" w:color="auto" w:fill="auto"/>
          </w:tcPr>
          <w:p w14:paraId="7E78422B" w14:textId="77777777" w:rsidR="00A82082" w:rsidRDefault="00A82082">
            <w:pPr>
              <w:rPr>
                <w:rFonts w:ascii="宋体"/>
                <w:vanish/>
              </w:rPr>
            </w:pPr>
          </w:p>
        </w:tc>
        <w:tc>
          <w:tcPr>
            <w:tcW w:w="0" w:type="auto"/>
            <w:gridSpan w:val="3"/>
            <w:shd w:val="clear" w:color="auto" w:fill="auto"/>
          </w:tcPr>
          <w:p w14:paraId="7E78422C" w14:textId="77777777" w:rsidR="00A82082" w:rsidRDefault="00A82082">
            <w:pPr>
              <w:rPr>
                <w:rFonts w:ascii="宋体"/>
                <w:vanish/>
              </w:rPr>
            </w:pPr>
          </w:p>
        </w:tc>
        <w:tc>
          <w:tcPr>
            <w:tcW w:w="0" w:type="auto"/>
            <w:gridSpan w:val="3"/>
            <w:shd w:val="clear" w:color="auto" w:fill="auto"/>
          </w:tcPr>
          <w:p w14:paraId="7E78422D" w14:textId="77777777" w:rsidR="00A82082" w:rsidRDefault="00A82082">
            <w:pPr>
              <w:rPr>
                <w:rFonts w:ascii="宋体"/>
                <w:vanish/>
              </w:rPr>
            </w:pPr>
          </w:p>
        </w:tc>
        <w:tc>
          <w:tcPr>
            <w:tcW w:w="0" w:type="auto"/>
            <w:gridSpan w:val="3"/>
            <w:shd w:val="clear" w:color="auto" w:fill="auto"/>
          </w:tcPr>
          <w:p w14:paraId="7E78422E" w14:textId="77777777" w:rsidR="00A82082" w:rsidRDefault="00A82082">
            <w:pPr>
              <w:rPr>
                <w:rFonts w:ascii="宋体"/>
                <w:vanish/>
              </w:rPr>
            </w:pPr>
          </w:p>
        </w:tc>
      </w:tr>
      <w:tr w:rsidR="00A82082" w14:paraId="7E78423A" w14:textId="77777777">
        <w:trPr>
          <w:jc w:val="center"/>
        </w:trPr>
        <w:tc>
          <w:tcPr>
            <w:tcW w:w="0" w:type="auto"/>
            <w:gridSpan w:val="3"/>
            <w:shd w:val="clear" w:color="auto" w:fill="CCEEFF"/>
            <w:tcMar>
              <w:top w:w="40" w:type="dxa"/>
              <w:left w:w="20" w:type="dxa"/>
              <w:bottom w:w="40" w:type="dxa"/>
              <w:right w:w="20" w:type="dxa"/>
            </w:tcMar>
            <w:vAlign w:val="center"/>
          </w:tcPr>
          <w:p w14:paraId="7E784230" w14:textId="77777777" w:rsidR="00A82082" w:rsidRDefault="00E946F9">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tcPr>
          <w:p w14:paraId="7E78423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32" w14:textId="77777777" w:rsidR="00A82082" w:rsidRDefault="00E946F9">
            <w:pPr>
              <w:jc w:val="right"/>
              <w:textAlignment w:val="center"/>
            </w:pPr>
            <w:r>
              <w:rPr>
                <w:rFonts w:ascii="Times New Roman" w:eastAsia="宋体" w:hAnsi="Times New Roman"/>
                <w:color w:val="000000"/>
                <w:sz w:val="16"/>
                <w:szCs w:val="16"/>
              </w:rPr>
              <w:t>13,657 </w:t>
            </w:r>
          </w:p>
        </w:tc>
        <w:tc>
          <w:tcPr>
            <w:tcW w:w="0" w:type="auto"/>
            <w:shd w:val="clear" w:color="auto" w:fill="CCEEFF"/>
            <w:tcMar>
              <w:top w:w="40" w:type="dxa"/>
              <w:left w:w="0" w:type="dxa"/>
              <w:bottom w:w="40" w:type="dxa"/>
              <w:right w:w="20" w:type="dxa"/>
            </w:tcMar>
            <w:vAlign w:val="center"/>
          </w:tcPr>
          <w:p w14:paraId="7E78423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3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35" w14:textId="77777777" w:rsidR="00A82082" w:rsidRDefault="00E946F9">
            <w:pPr>
              <w:jc w:val="right"/>
              <w:textAlignment w:val="center"/>
            </w:pPr>
            <w:r>
              <w:rPr>
                <w:rFonts w:ascii="Times New Roman" w:eastAsia="宋体" w:hAnsi="Times New Roman"/>
                <w:color w:val="000000"/>
                <w:sz w:val="16"/>
                <w:szCs w:val="16"/>
              </w:rPr>
              <w:t>12,961 </w:t>
            </w:r>
          </w:p>
        </w:tc>
        <w:tc>
          <w:tcPr>
            <w:tcW w:w="0" w:type="auto"/>
            <w:shd w:val="clear" w:color="auto" w:fill="CCEEFF"/>
            <w:tcMar>
              <w:top w:w="40" w:type="dxa"/>
              <w:left w:w="0" w:type="dxa"/>
              <w:bottom w:w="40" w:type="dxa"/>
              <w:right w:w="20" w:type="dxa"/>
            </w:tcMar>
            <w:vAlign w:val="center"/>
          </w:tcPr>
          <w:p w14:paraId="7E78423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3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38" w14:textId="77777777" w:rsidR="00A82082" w:rsidRDefault="00E946F9">
            <w:pPr>
              <w:jc w:val="right"/>
              <w:textAlignment w:val="center"/>
            </w:pPr>
            <w:r>
              <w:rPr>
                <w:rFonts w:ascii="Times New Roman" w:eastAsia="宋体" w:hAnsi="Times New Roman"/>
                <w:color w:val="000000"/>
                <w:sz w:val="16"/>
                <w:szCs w:val="16"/>
              </w:rPr>
              <w:t>13,018 </w:t>
            </w:r>
          </w:p>
        </w:tc>
        <w:tc>
          <w:tcPr>
            <w:tcW w:w="0" w:type="auto"/>
            <w:shd w:val="clear" w:color="auto" w:fill="CCEEFF"/>
            <w:tcMar>
              <w:top w:w="40" w:type="dxa"/>
              <w:left w:w="0" w:type="dxa"/>
              <w:bottom w:w="40" w:type="dxa"/>
              <w:right w:w="20" w:type="dxa"/>
            </w:tcMar>
            <w:vAlign w:val="center"/>
          </w:tcPr>
          <w:p w14:paraId="7E784239" w14:textId="77777777" w:rsidR="00A82082" w:rsidRDefault="00A82082">
            <w:pPr>
              <w:jc w:val="right"/>
              <w:rPr>
                <w:rFonts w:ascii="宋体"/>
              </w:rPr>
            </w:pPr>
          </w:p>
        </w:tc>
      </w:tr>
      <w:tr w:rsidR="00A82082" w14:paraId="7E784242" w14:textId="77777777">
        <w:trPr>
          <w:trHeight w:val="240"/>
          <w:jc w:val="center"/>
        </w:trPr>
        <w:tc>
          <w:tcPr>
            <w:tcW w:w="0" w:type="auto"/>
            <w:gridSpan w:val="3"/>
            <w:shd w:val="clear" w:color="auto" w:fill="FFFFFF"/>
            <w:tcMar>
              <w:top w:w="0" w:type="dxa"/>
              <w:left w:w="20" w:type="dxa"/>
              <w:bottom w:w="0" w:type="dxa"/>
              <w:right w:w="20" w:type="dxa"/>
            </w:tcMar>
          </w:tcPr>
          <w:p w14:paraId="7E78423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3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3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3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3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4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41" w14:textId="77777777" w:rsidR="00A82082" w:rsidRDefault="00A82082">
            <w:pPr>
              <w:rPr>
                <w:rFonts w:ascii="宋体"/>
              </w:rPr>
            </w:pPr>
          </w:p>
        </w:tc>
      </w:tr>
      <w:tr w:rsidR="00A82082" w14:paraId="7E78424A" w14:textId="77777777">
        <w:trPr>
          <w:jc w:val="center"/>
          <w:hidden/>
        </w:trPr>
        <w:tc>
          <w:tcPr>
            <w:tcW w:w="0" w:type="auto"/>
            <w:gridSpan w:val="3"/>
            <w:shd w:val="clear" w:color="auto" w:fill="auto"/>
          </w:tcPr>
          <w:p w14:paraId="7E784243" w14:textId="77777777" w:rsidR="00A82082" w:rsidRDefault="00A82082">
            <w:pPr>
              <w:rPr>
                <w:rFonts w:ascii="宋体"/>
                <w:vanish/>
              </w:rPr>
            </w:pPr>
          </w:p>
        </w:tc>
        <w:tc>
          <w:tcPr>
            <w:tcW w:w="0" w:type="auto"/>
            <w:gridSpan w:val="3"/>
            <w:shd w:val="clear" w:color="auto" w:fill="auto"/>
          </w:tcPr>
          <w:p w14:paraId="7E784244" w14:textId="77777777" w:rsidR="00A82082" w:rsidRDefault="00A82082">
            <w:pPr>
              <w:rPr>
                <w:rFonts w:ascii="宋体"/>
                <w:vanish/>
              </w:rPr>
            </w:pPr>
          </w:p>
        </w:tc>
        <w:tc>
          <w:tcPr>
            <w:tcW w:w="0" w:type="auto"/>
            <w:gridSpan w:val="3"/>
            <w:shd w:val="clear" w:color="auto" w:fill="auto"/>
          </w:tcPr>
          <w:p w14:paraId="7E784245" w14:textId="77777777" w:rsidR="00A82082" w:rsidRDefault="00A82082">
            <w:pPr>
              <w:rPr>
                <w:rFonts w:ascii="宋体"/>
                <w:vanish/>
              </w:rPr>
            </w:pPr>
          </w:p>
        </w:tc>
        <w:tc>
          <w:tcPr>
            <w:tcW w:w="0" w:type="auto"/>
            <w:gridSpan w:val="3"/>
            <w:shd w:val="clear" w:color="auto" w:fill="auto"/>
          </w:tcPr>
          <w:p w14:paraId="7E784246" w14:textId="77777777" w:rsidR="00A82082" w:rsidRDefault="00A82082">
            <w:pPr>
              <w:rPr>
                <w:rFonts w:ascii="宋体"/>
                <w:vanish/>
              </w:rPr>
            </w:pPr>
          </w:p>
        </w:tc>
        <w:tc>
          <w:tcPr>
            <w:tcW w:w="0" w:type="auto"/>
            <w:gridSpan w:val="3"/>
            <w:shd w:val="clear" w:color="auto" w:fill="auto"/>
          </w:tcPr>
          <w:p w14:paraId="7E784247" w14:textId="77777777" w:rsidR="00A82082" w:rsidRDefault="00A82082">
            <w:pPr>
              <w:rPr>
                <w:rFonts w:ascii="宋体"/>
                <w:vanish/>
              </w:rPr>
            </w:pPr>
          </w:p>
        </w:tc>
        <w:tc>
          <w:tcPr>
            <w:tcW w:w="0" w:type="auto"/>
            <w:gridSpan w:val="3"/>
            <w:shd w:val="clear" w:color="auto" w:fill="auto"/>
          </w:tcPr>
          <w:p w14:paraId="7E784248" w14:textId="77777777" w:rsidR="00A82082" w:rsidRDefault="00A82082">
            <w:pPr>
              <w:rPr>
                <w:rFonts w:ascii="宋体"/>
                <w:vanish/>
              </w:rPr>
            </w:pPr>
          </w:p>
        </w:tc>
        <w:tc>
          <w:tcPr>
            <w:tcW w:w="0" w:type="auto"/>
            <w:gridSpan w:val="3"/>
            <w:shd w:val="clear" w:color="auto" w:fill="auto"/>
          </w:tcPr>
          <w:p w14:paraId="7E784249" w14:textId="77777777" w:rsidR="00A82082" w:rsidRDefault="00A82082">
            <w:pPr>
              <w:rPr>
                <w:rFonts w:ascii="宋体"/>
                <w:vanish/>
              </w:rPr>
            </w:pPr>
          </w:p>
        </w:tc>
      </w:tr>
      <w:tr w:rsidR="00A82082" w14:paraId="7E784252" w14:textId="77777777">
        <w:trPr>
          <w:jc w:val="center"/>
          <w:hidden/>
        </w:trPr>
        <w:tc>
          <w:tcPr>
            <w:tcW w:w="0" w:type="auto"/>
            <w:gridSpan w:val="3"/>
            <w:shd w:val="clear" w:color="auto" w:fill="auto"/>
          </w:tcPr>
          <w:p w14:paraId="7E78424B" w14:textId="77777777" w:rsidR="00A82082" w:rsidRDefault="00A82082">
            <w:pPr>
              <w:rPr>
                <w:rFonts w:ascii="宋体"/>
                <w:vanish/>
              </w:rPr>
            </w:pPr>
          </w:p>
        </w:tc>
        <w:tc>
          <w:tcPr>
            <w:tcW w:w="0" w:type="auto"/>
            <w:gridSpan w:val="3"/>
            <w:shd w:val="clear" w:color="auto" w:fill="auto"/>
          </w:tcPr>
          <w:p w14:paraId="7E78424C" w14:textId="77777777" w:rsidR="00A82082" w:rsidRDefault="00A82082">
            <w:pPr>
              <w:rPr>
                <w:rFonts w:ascii="宋体"/>
                <w:vanish/>
              </w:rPr>
            </w:pPr>
          </w:p>
        </w:tc>
        <w:tc>
          <w:tcPr>
            <w:tcW w:w="0" w:type="auto"/>
            <w:gridSpan w:val="3"/>
            <w:shd w:val="clear" w:color="auto" w:fill="auto"/>
          </w:tcPr>
          <w:p w14:paraId="7E78424D" w14:textId="77777777" w:rsidR="00A82082" w:rsidRDefault="00A82082">
            <w:pPr>
              <w:rPr>
                <w:rFonts w:ascii="宋体"/>
                <w:vanish/>
              </w:rPr>
            </w:pPr>
          </w:p>
        </w:tc>
        <w:tc>
          <w:tcPr>
            <w:tcW w:w="0" w:type="auto"/>
            <w:gridSpan w:val="3"/>
            <w:shd w:val="clear" w:color="auto" w:fill="auto"/>
          </w:tcPr>
          <w:p w14:paraId="7E78424E" w14:textId="77777777" w:rsidR="00A82082" w:rsidRDefault="00A82082">
            <w:pPr>
              <w:rPr>
                <w:rFonts w:ascii="宋体"/>
                <w:vanish/>
              </w:rPr>
            </w:pPr>
          </w:p>
        </w:tc>
        <w:tc>
          <w:tcPr>
            <w:tcW w:w="0" w:type="auto"/>
            <w:gridSpan w:val="3"/>
            <w:shd w:val="clear" w:color="auto" w:fill="auto"/>
          </w:tcPr>
          <w:p w14:paraId="7E78424F" w14:textId="77777777" w:rsidR="00A82082" w:rsidRDefault="00A82082">
            <w:pPr>
              <w:rPr>
                <w:rFonts w:ascii="宋体"/>
                <w:vanish/>
              </w:rPr>
            </w:pPr>
          </w:p>
        </w:tc>
        <w:tc>
          <w:tcPr>
            <w:tcW w:w="0" w:type="auto"/>
            <w:gridSpan w:val="3"/>
            <w:shd w:val="clear" w:color="auto" w:fill="auto"/>
          </w:tcPr>
          <w:p w14:paraId="7E784250" w14:textId="77777777" w:rsidR="00A82082" w:rsidRDefault="00A82082">
            <w:pPr>
              <w:rPr>
                <w:rFonts w:ascii="宋体"/>
                <w:vanish/>
              </w:rPr>
            </w:pPr>
          </w:p>
        </w:tc>
        <w:tc>
          <w:tcPr>
            <w:tcW w:w="0" w:type="auto"/>
            <w:gridSpan w:val="3"/>
            <w:shd w:val="clear" w:color="auto" w:fill="auto"/>
          </w:tcPr>
          <w:p w14:paraId="7E784251" w14:textId="77777777" w:rsidR="00A82082" w:rsidRDefault="00A82082">
            <w:pPr>
              <w:rPr>
                <w:rFonts w:ascii="宋体"/>
                <w:vanish/>
              </w:rPr>
            </w:pPr>
          </w:p>
        </w:tc>
      </w:tr>
      <w:tr w:rsidR="00A82082" w14:paraId="7E78425A" w14:textId="77777777">
        <w:trPr>
          <w:jc w:val="center"/>
        </w:trPr>
        <w:tc>
          <w:tcPr>
            <w:tcW w:w="0" w:type="auto"/>
            <w:gridSpan w:val="3"/>
            <w:shd w:val="clear" w:color="auto" w:fill="CCEEFF"/>
            <w:tcMar>
              <w:top w:w="40" w:type="dxa"/>
              <w:left w:w="20" w:type="dxa"/>
              <w:bottom w:w="40" w:type="dxa"/>
              <w:right w:w="20" w:type="dxa"/>
            </w:tcMar>
            <w:vAlign w:val="center"/>
          </w:tcPr>
          <w:p w14:paraId="7E784253" w14:textId="77777777" w:rsidR="00A82082" w:rsidRDefault="00E946F9">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tcPr>
          <w:p w14:paraId="7E78425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5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5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5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5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59" w14:textId="77777777" w:rsidR="00A82082" w:rsidRDefault="00A82082">
            <w:pPr>
              <w:rPr>
                <w:rFonts w:ascii="宋体"/>
              </w:rPr>
            </w:pPr>
          </w:p>
        </w:tc>
      </w:tr>
      <w:tr w:rsidR="00A82082" w14:paraId="7E784262" w14:textId="77777777">
        <w:trPr>
          <w:trHeight w:val="240"/>
          <w:jc w:val="center"/>
        </w:trPr>
        <w:tc>
          <w:tcPr>
            <w:tcW w:w="0" w:type="auto"/>
            <w:gridSpan w:val="3"/>
            <w:shd w:val="clear" w:color="auto" w:fill="FFFFFF"/>
            <w:tcMar>
              <w:top w:w="0" w:type="dxa"/>
              <w:left w:w="20" w:type="dxa"/>
              <w:bottom w:w="0" w:type="dxa"/>
              <w:right w:w="20" w:type="dxa"/>
            </w:tcMar>
          </w:tcPr>
          <w:p w14:paraId="7E78425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5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5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5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5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6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261" w14:textId="77777777" w:rsidR="00A82082" w:rsidRDefault="00A82082">
            <w:pPr>
              <w:rPr>
                <w:rFonts w:ascii="宋体"/>
              </w:rPr>
            </w:pPr>
          </w:p>
        </w:tc>
      </w:tr>
      <w:tr w:rsidR="00A82082" w14:paraId="7E78426A" w14:textId="77777777">
        <w:trPr>
          <w:jc w:val="center"/>
        </w:trPr>
        <w:tc>
          <w:tcPr>
            <w:tcW w:w="0" w:type="auto"/>
            <w:gridSpan w:val="3"/>
            <w:shd w:val="clear" w:color="auto" w:fill="CCEEFF"/>
            <w:tcMar>
              <w:top w:w="40" w:type="dxa"/>
              <w:left w:w="20" w:type="dxa"/>
              <w:bottom w:w="40" w:type="dxa"/>
              <w:right w:w="20" w:type="dxa"/>
            </w:tcMar>
            <w:vAlign w:val="center"/>
          </w:tcPr>
          <w:p w14:paraId="7E784263" w14:textId="77777777" w:rsidR="00A82082" w:rsidRDefault="00E946F9">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tcPr>
          <w:p w14:paraId="7E78426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6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6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6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6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269" w14:textId="77777777" w:rsidR="00A82082" w:rsidRDefault="00A82082">
            <w:pPr>
              <w:rPr>
                <w:rFonts w:ascii="宋体"/>
              </w:rPr>
            </w:pPr>
          </w:p>
        </w:tc>
      </w:tr>
      <w:tr w:rsidR="00A82082" w14:paraId="7E784275" w14:textId="77777777">
        <w:trPr>
          <w:jc w:val="center"/>
        </w:trPr>
        <w:tc>
          <w:tcPr>
            <w:tcW w:w="0" w:type="auto"/>
            <w:gridSpan w:val="3"/>
            <w:shd w:val="clear" w:color="auto" w:fill="FFFFFF"/>
            <w:tcMar>
              <w:top w:w="40" w:type="dxa"/>
              <w:left w:w="380" w:type="dxa"/>
              <w:bottom w:w="40" w:type="dxa"/>
              <w:right w:w="20" w:type="dxa"/>
            </w:tcMar>
            <w:vAlign w:val="center"/>
          </w:tcPr>
          <w:p w14:paraId="7E78426B" w14:textId="77777777" w:rsidR="00A82082" w:rsidRDefault="00E946F9">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tcPr>
          <w:p w14:paraId="7E78426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6D" w14:textId="77777777" w:rsidR="00A82082" w:rsidRDefault="00E946F9">
            <w:pPr>
              <w:jc w:val="right"/>
              <w:textAlignment w:val="center"/>
            </w:pPr>
            <w:r>
              <w:rPr>
                <w:rFonts w:ascii="Times New Roman" w:eastAsia="宋体" w:hAnsi="Times New Roman"/>
                <w:color w:val="000000"/>
                <w:sz w:val="16"/>
                <w:szCs w:val="16"/>
              </w:rPr>
              <w:t>283 </w:t>
            </w:r>
          </w:p>
        </w:tc>
        <w:tc>
          <w:tcPr>
            <w:tcW w:w="0" w:type="auto"/>
            <w:shd w:val="clear" w:color="auto" w:fill="FFFFFF"/>
            <w:tcMar>
              <w:top w:w="40" w:type="dxa"/>
              <w:left w:w="0" w:type="dxa"/>
              <w:bottom w:w="40" w:type="dxa"/>
              <w:right w:w="20" w:type="dxa"/>
            </w:tcMar>
            <w:vAlign w:val="center"/>
          </w:tcPr>
          <w:p w14:paraId="7E78426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6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70" w14:textId="77777777" w:rsidR="00A82082" w:rsidRDefault="00E946F9">
            <w:pPr>
              <w:jc w:val="right"/>
              <w:textAlignment w:val="center"/>
            </w:pPr>
            <w:r>
              <w:rPr>
                <w:rFonts w:ascii="Times New Roman" w:eastAsia="宋体" w:hAnsi="Times New Roman"/>
                <w:color w:val="000000"/>
                <w:sz w:val="16"/>
                <w:szCs w:val="16"/>
              </w:rPr>
              <w:t>284 </w:t>
            </w:r>
          </w:p>
        </w:tc>
        <w:tc>
          <w:tcPr>
            <w:tcW w:w="0" w:type="auto"/>
            <w:shd w:val="clear" w:color="auto" w:fill="FFFFFF"/>
            <w:tcMar>
              <w:top w:w="40" w:type="dxa"/>
              <w:left w:w="0" w:type="dxa"/>
              <w:bottom w:w="40" w:type="dxa"/>
              <w:right w:w="20" w:type="dxa"/>
            </w:tcMar>
            <w:vAlign w:val="center"/>
          </w:tcPr>
          <w:p w14:paraId="7E78427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7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73" w14:textId="77777777" w:rsidR="00A82082" w:rsidRDefault="00E946F9">
            <w:pPr>
              <w:jc w:val="right"/>
              <w:textAlignment w:val="center"/>
            </w:pPr>
            <w:r>
              <w:rPr>
                <w:rFonts w:ascii="Times New Roman" w:eastAsia="宋体" w:hAnsi="Times New Roman"/>
                <w:color w:val="000000"/>
                <w:sz w:val="16"/>
                <w:szCs w:val="16"/>
              </w:rPr>
              <w:t>284 </w:t>
            </w:r>
          </w:p>
        </w:tc>
        <w:tc>
          <w:tcPr>
            <w:tcW w:w="0" w:type="auto"/>
            <w:shd w:val="clear" w:color="auto" w:fill="FFFFFF"/>
            <w:tcMar>
              <w:top w:w="40" w:type="dxa"/>
              <w:left w:w="0" w:type="dxa"/>
              <w:bottom w:w="40" w:type="dxa"/>
              <w:right w:w="20" w:type="dxa"/>
            </w:tcMar>
            <w:vAlign w:val="center"/>
          </w:tcPr>
          <w:p w14:paraId="7E784274" w14:textId="77777777" w:rsidR="00A82082" w:rsidRDefault="00A82082">
            <w:pPr>
              <w:jc w:val="right"/>
              <w:rPr>
                <w:rFonts w:ascii="宋体"/>
              </w:rPr>
            </w:pPr>
          </w:p>
        </w:tc>
      </w:tr>
      <w:tr w:rsidR="00A82082" w14:paraId="7E784280" w14:textId="77777777">
        <w:trPr>
          <w:jc w:val="center"/>
        </w:trPr>
        <w:tc>
          <w:tcPr>
            <w:tcW w:w="0" w:type="auto"/>
            <w:gridSpan w:val="3"/>
            <w:shd w:val="clear" w:color="auto" w:fill="CCEEFF"/>
            <w:tcMar>
              <w:top w:w="40" w:type="dxa"/>
              <w:left w:w="380" w:type="dxa"/>
              <w:bottom w:w="40" w:type="dxa"/>
              <w:right w:w="20" w:type="dxa"/>
            </w:tcMar>
            <w:vAlign w:val="center"/>
          </w:tcPr>
          <w:p w14:paraId="7E784276" w14:textId="77777777" w:rsidR="00A82082" w:rsidRDefault="00E946F9">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tcPr>
          <w:p w14:paraId="7E78427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78" w14:textId="77777777" w:rsidR="00A82082" w:rsidRDefault="00E946F9">
            <w:pPr>
              <w:jc w:val="right"/>
              <w:textAlignment w:val="center"/>
            </w:pPr>
            <w:r>
              <w:rPr>
                <w:rFonts w:ascii="Times New Roman" w:eastAsia="宋体" w:hAnsi="Times New Roman"/>
                <w:color w:val="000000"/>
                <w:sz w:val="16"/>
                <w:szCs w:val="16"/>
              </w:rPr>
              <w:t>3,485 </w:t>
            </w:r>
          </w:p>
        </w:tc>
        <w:tc>
          <w:tcPr>
            <w:tcW w:w="0" w:type="auto"/>
            <w:shd w:val="clear" w:color="auto" w:fill="CCEEFF"/>
            <w:tcMar>
              <w:top w:w="40" w:type="dxa"/>
              <w:left w:w="0" w:type="dxa"/>
              <w:bottom w:w="40" w:type="dxa"/>
              <w:right w:w="20" w:type="dxa"/>
            </w:tcMar>
            <w:vAlign w:val="center"/>
          </w:tcPr>
          <w:p w14:paraId="7E78427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7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7B" w14:textId="77777777" w:rsidR="00A82082" w:rsidRDefault="00E946F9">
            <w:pPr>
              <w:jc w:val="right"/>
              <w:textAlignment w:val="center"/>
            </w:pPr>
            <w:r>
              <w:rPr>
                <w:rFonts w:ascii="Times New Roman" w:eastAsia="宋体" w:hAnsi="Times New Roman"/>
                <w:color w:val="000000"/>
                <w:sz w:val="16"/>
                <w:szCs w:val="16"/>
              </w:rPr>
              <w:t>3,247 </w:t>
            </w:r>
          </w:p>
        </w:tc>
        <w:tc>
          <w:tcPr>
            <w:tcW w:w="0" w:type="auto"/>
            <w:shd w:val="clear" w:color="auto" w:fill="CCEEFF"/>
            <w:tcMar>
              <w:top w:w="40" w:type="dxa"/>
              <w:left w:w="0" w:type="dxa"/>
              <w:bottom w:w="40" w:type="dxa"/>
              <w:right w:w="20" w:type="dxa"/>
            </w:tcMar>
            <w:vAlign w:val="center"/>
          </w:tcPr>
          <w:p w14:paraId="7E78427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7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7E" w14:textId="77777777" w:rsidR="00A82082" w:rsidRDefault="00E946F9">
            <w:pPr>
              <w:jc w:val="right"/>
              <w:textAlignment w:val="center"/>
            </w:pPr>
            <w:r>
              <w:rPr>
                <w:rFonts w:ascii="Times New Roman" w:eastAsia="宋体" w:hAnsi="Times New Roman"/>
                <w:color w:val="000000"/>
                <w:sz w:val="16"/>
                <w:szCs w:val="16"/>
              </w:rPr>
              <w:t>3,091 </w:t>
            </w:r>
          </w:p>
        </w:tc>
        <w:tc>
          <w:tcPr>
            <w:tcW w:w="0" w:type="auto"/>
            <w:shd w:val="clear" w:color="auto" w:fill="CCEEFF"/>
            <w:tcMar>
              <w:top w:w="40" w:type="dxa"/>
              <w:left w:w="0" w:type="dxa"/>
              <w:bottom w:w="40" w:type="dxa"/>
              <w:right w:w="20" w:type="dxa"/>
            </w:tcMar>
            <w:vAlign w:val="center"/>
          </w:tcPr>
          <w:p w14:paraId="7E78427F" w14:textId="77777777" w:rsidR="00A82082" w:rsidRDefault="00A82082">
            <w:pPr>
              <w:jc w:val="right"/>
              <w:rPr>
                <w:rFonts w:ascii="宋体"/>
              </w:rPr>
            </w:pPr>
          </w:p>
        </w:tc>
      </w:tr>
      <w:tr w:rsidR="00A82082" w14:paraId="7E78428B" w14:textId="77777777">
        <w:trPr>
          <w:jc w:val="center"/>
        </w:trPr>
        <w:tc>
          <w:tcPr>
            <w:tcW w:w="0" w:type="auto"/>
            <w:gridSpan w:val="3"/>
            <w:shd w:val="clear" w:color="auto" w:fill="FFFFFF"/>
            <w:tcMar>
              <w:top w:w="40" w:type="dxa"/>
              <w:left w:w="380" w:type="dxa"/>
              <w:bottom w:w="40" w:type="dxa"/>
              <w:right w:w="20" w:type="dxa"/>
            </w:tcMar>
            <w:vAlign w:val="center"/>
          </w:tcPr>
          <w:p w14:paraId="7E784281" w14:textId="77777777" w:rsidR="00A82082" w:rsidRDefault="00E946F9">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tcPr>
          <w:p w14:paraId="7E78428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83" w14:textId="77777777" w:rsidR="00A82082" w:rsidRDefault="00E946F9">
            <w:pPr>
              <w:jc w:val="right"/>
              <w:textAlignment w:val="center"/>
            </w:pPr>
            <w:r>
              <w:rPr>
                <w:rFonts w:ascii="Times New Roman" w:eastAsia="宋体" w:hAnsi="Times New Roman"/>
                <w:color w:val="000000"/>
                <w:sz w:val="16"/>
                <w:szCs w:val="16"/>
              </w:rPr>
              <w:t>92,279 </w:t>
            </w:r>
          </w:p>
        </w:tc>
        <w:tc>
          <w:tcPr>
            <w:tcW w:w="0" w:type="auto"/>
            <w:shd w:val="clear" w:color="auto" w:fill="FFFFFF"/>
            <w:tcMar>
              <w:top w:w="40" w:type="dxa"/>
              <w:left w:w="0" w:type="dxa"/>
              <w:bottom w:w="40" w:type="dxa"/>
              <w:right w:w="20" w:type="dxa"/>
            </w:tcMar>
            <w:vAlign w:val="center"/>
          </w:tcPr>
          <w:p w14:paraId="7E78428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8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86" w14:textId="77777777" w:rsidR="00A82082" w:rsidRDefault="00E946F9">
            <w:pPr>
              <w:jc w:val="right"/>
              <w:textAlignment w:val="center"/>
            </w:pPr>
            <w:r>
              <w:rPr>
                <w:rFonts w:ascii="Times New Roman" w:eastAsia="宋体" w:hAnsi="Times New Roman"/>
                <w:color w:val="000000"/>
                <w:sz w:val="16"/>
                <w:szCs w:val="16"/>
              </w:rPr>
              <w:t>83,943 </w:t>
            </w:r>
          </w:p>
        </w:tc>
        <w:tc>
          <w:tcPr>
            <w:tcW w:w="0" w:type="auto"/>
            <w:shd w:val="clear" w:color="auto" w:fill="FFFFFF"/>
            <w:tcMar>
              <w:top w:w="40" w:type="dxa"/>
              <w:left w:w="0" w:type="dxa"/>
              <w:bottom w:w="40" w:type="dxa"/>
              <w:right w:w="20" w:type="dxa"/>
            </w:tcMar>
            <w:vAlign w:val="center"/>
          </w:tcPr>
          <w:p w14:paraId="7E78428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8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289" w14:textId="77777777" w:rsidR="00A82082" w:rsidRDefault="00E946F9">
            <w:pPr>
              <w:jc w:val="right"/>
              <w:textAlignment w:val="center"/>
            </w:pPr>
            <w:r>
              <w:rPr>
                <w:rFonts w:ascii="Times New Roman" w:eastAsia="宋体" w:hAnsi="Times New Roman"/>
                <w:color w:val="000000"/>
                <w:sz w:val="16"/>
                <w:szCs w:val="16"/>
              </w:rPr>
              <w:t>80,656 </w:t>
            </w:r>
          </w:p>
        </w:tc>
        <w:tc>
          <w:tcPr>
            <w:tcW w:w="0" w:type="auto"/>
            <w:shd w:val="clear" w:color="auto" w:fill="FFFFFF"/>
            <w:tcMar>
              <w:top w:w="40" w:type="dxa"/>
              <w:left w:w="0" w:type="dxa"/>
              <w:bottom w:w="40" w:type="dxa"/>
              <w:right w:w="20" w:type="dxa"/>
            </w:tcMar>
            <w:vAlign w:val="center"/>
          </w:tcPr>
          <w:p w14:paraId="7E78428A" w14:textId="77777777" w:rsidR="00A82082" w:rsidRDefault="00A82082">
            <w:pPr>
              <w:jc w:val="right"/>
              <w:rPr>
                <w:rFonts w:ascii="宋体"/>
              </w:rPr>
            </w:pPr>
          </w:p>
        </w:tc>
      </w:tr>
      <w:tr w:rsidR="00A82082" w14:paraId="7E784296" w14:textId="77777777">
        <w:trPr>
          <w:jc w:val="center"/>
        </w:trPr>
        <w:tc>
          <w:tcPr>
            <w:tcW w:w="0" w:type="auto"/>
            <w:gridSpan w:val="3"/>
            <w:shd w:val="clear" w:color="auto" w:fill="CCEEFF"/>
            <w:tcMar>
              <w:top w:w="40" w:type="dxa"/>
              <w:left w:w="380" w:type="dxa"/>
              <w:bottom w:w="40" w:type="dxa"/>
              <w:right w:w="20" w:type="dxa"/>
            </w:tcMar>
            <w:vAlign w:val="center"/>
          </w:tcPr>
          <w:p w14:paraId="7E78428C" w14:textId="77777777" w:rsidR="00A82082" w:rsidRDefault="00E946F9">
            <w:pPr>
              <w:textAlignment w:val="center"/>
            </w:pPr>
            <w:r>
              <w:rPr>
                <w:rFonts w:ascii="Times New Roman" w:eastAsia="宋体" w:hAnsi="Times New Roman"/>
                <w:color w:val="000000"/>
                <w:sz w:val="16"/>
                <w:szCs w:val="16"/>
              </w:rPr>
              <w:t>Accumu</w:t>
            </w:r>
            <w:r>
              <w:rPr>
                <w:rFonts w:ascii="Times New Roman" w:eastAsia="宋体" w:hAnsi="Times New Roman"/>
                <w:color w:val="000000"/>
                <w:sz w:val="16"/>
                <w:szCs w:val="16"/>
              </w:rPr>
              <w:t>lated other comprehensive loss</w:t>
            </w:r>
          </w:p>
        </w:tc>
        <w:tc>
          <w:tcPr>
            <w:tcW w:w="0" w:type="auto"/>
            <w:gridSpan w:val="3"/>
            <w:shd w:val="clear" w:color="auto" w:fill="CCEEFF"/>
            <w:tcMar>
              <w:top w:w="0" w:type="dxa"/>
              <w:left w:w="20" w:type="dxa"/>
              <w:bottom w:w="0" w:type="dxa"/>
              <w:right w:w="20" w:type="dxa"/>
            </w:tcMar>
          </w:tcPr>
          <w:p w14:paraId="7E78428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8E" w14:textId="77777777" w:rsidR="00A82082" w:rsidRDefault="00E946F9">
            <w:pPr>
              <w:jc w:val="right"/>
              <w:textAlignment w:val="center"/>
            </w:pPr>
            <w:r>
              <w:rPr>
                <w:rFonts w:ascii="Times New Roman" w:eastAsia="宋体" w:hAnsi="Times New Roman"/>
                <w:color w:val="000000"/>
                <w:sz w:val="16"/>
                <w:szCs w:val="16"/>
              </w:rPr>
              <w:t>(14,616)</w:t>
            </w:r>
          </w:p>
        </w:tc>
        <w:tc>
          <w:tcPr>
            <w:tcW w:w="0" w:type="auto"/>
            <w:shd w:val="clear" w:color="auto" w:fill="CCEEFF"/>
            <w:tcMar>
              <w:top w:w="40" w:type="dxa"/>
              <w:left w:w="0" w:type="dxa"/>
              <w:bottom w:w="40" w:type="dxa"/>
              <w:right w:w="20" w:type="dxa"/>
            </w:tcMar>
            <w:vAlign w:val="center"/>
          </w:tcPr>
          <w:p w14:paraId="7E78428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9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91" w14:textId="77777777" w:rsidR="00A82082" w:rsidRDefault="00E946F9">
            <w:pPr>
              <w:jc w:val="right"/>
              <w:textAlignment w:val="center"/>
            </w:pPr>
            <w:r>
              <w:rPr>
                <w:rFonts w:ascii="Times New Roman" w:eastAsia="宋体" w:hAnsi="Times New Roman"/>
                <w:color w:val="000000"/>
                <w:sz w:val="16"/>
                <w:szCs w:val="16"/>
              </w:rPr>
              <w:t>(12,805)</w:t>
            </w:r>
          </w:p>
        </w:tc>
        <w:tc>
          <w:tcPr>
            <w:tcW w:w="0" w:type="auto"/>
            <w:shd w:val="clear" w:color="auto" w:fill="CCEEFF"/>
            <w:tcMar>
              <w:top w:w="40" w:type="dxa"/>
              <w:left w:w="0" w:type="dxa"/>
              <w:bottom w:w="40" w:type="dxa"/>
              <w:right w:w="20" w:type="dxa"/>
            </w:tcMar>
            <w:vAlign w:val="center"/>
          </w:tcPr>
          <w:p w14:paraId="7E78429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9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94" w14:textId="77777777" w:rsidR="00A82082" w:rsidRDefault="00E946F9">
            <w:pPr>
              <w:jc w:val="right"/>
              <w:textAlignment w:val="center"/>
            </w:pPr>
            <w:r>
              <w:rPr>
                <w:rFonts w:ascii="Times New Roman" w:eastAsia="宋体" w:hAnsi="Times New Roman"/>
                <w:color w:val="000000"/>
                <w:sz w:val="16"/>
                <w:szCs w:val="16"/>
              </w:rPr>
              <w:t>(12,382)</w:t>
            </w:r>
          </w:p>
        </w:tc>
        <w:tc>
          <w:tcPr>
            <w:tcW w:w="0" w:type="auto"/>
            <w:shd w:val="clear" w:color="auto" w:fill="CCEEFF"/>
            <w:tcMar>
              <w:top w:w="40" w:type="dxa"/>
              <w:left w:w="0" w:type="dxa"/>
              <w:bottom w:w="40" w:type="dxa"/>
              <w:right w:w="20" w:type="dxa"/>
            </w:tcMar>
            <w:vAlign w:val="center"/>
          </w:tcPr>
          <w:p w14:paraId="7E784295" w14:textId="77777777" w:rsidR="00A82082" w:rsidRDefault="00A82082">
            <w:pPr>
              <w:jc w:val="right"/>
              <w:rPr>
                <w:rFonts w:ascii="宋体"/>
              </w:rPr>
            </w:pPr>
          </w:p>
        </w:tc>
      </w:tr>
      <w:tr w:rsidR="00A82082" w14:paraId="7E7842A1" w14:textId="77777777">
        <w:trPr>
          <w:jc w:val="center"/>
        </w:trPr>
        <w:tc>
          <w:tcPr>
            <w:tcW w:w="0" w:type="auto"/>
            <w:gridSpan w:val="3"/>
            <w:shd w:val="clear" w:color="auto" w:fill="FFFFFF"/>
            <w:tcMar>
              <w:top w:w="40" w:type="dxa"/>
              <w:left w:w="740" w:type="dxa"/>
              <w:bottom w:w="40" w:type="dxa"/>
              <w:right w:w="20" w:type="dxa"/>
            </w:tcMar>
            <w:vAlign w:val="center"/>
          </w:tcPr>
          <w:p w14:paraId="7E784297" w14:textId="77777777" w:rsidR="00A82082" w:rsidRDefault="00E946F9">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tcPr>
          <w:p w14:paraId="7E784298"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99" w14:textId="77777777" w:rsidR="00A82082" w:rsidRDefault="00E946F9">
            <w:pPr>
              <w:jc w:val="right"/>
              <w:textAlignment w:val="center"/>
            </w:pPr>
            <w:r>
              <w:rPr>
                <w:rFonts w:ascii="Times New Roman" w:eastAsia="宋体" w:hAnsi="Times New Roman"/>
                <w:color w:val="000000"/>
                <w:sz w:val="16"/>
                <w:szCs w:val="16"/>
              </w:rPr>
              <w:t>81,431 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9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9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9C" w14:textId="77777777" w:rsidR="00A82082" w:rsidRDefault="00E946F9">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9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9E"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9F" w14:textId="77777777" w:rsidR="00A82082" w:rsidRDefault="00E946F9">
            <w:pPr>
              <w:jc w:val="right"/>
              <w:textAlignment w:val="center"/>
            </w:pPr>
            <w:r>
              <w:rPr>
                <w:rFonts w:ascii="Times New Roman" w:eastAsia="宋体" w:hAnsi="Times New Roman"/>
                <w:color w:val="000000"/>
                <w:sz w:val="16"/>
                <w:szCs w:val="16"/>
              </w:rPr>
              <w:t>71,649 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A0" w14:textId="77777777" w:rsidR="00A82082" w:rsidRDefault="00A82082">
            <w:pPr>
              <w:jc w:val="right"/>
              <w:rPr>
                <w:rFonts w:ascii="宋体"/>
              </w:rPr>
            </w:pPr>
          </w:p>
        </w:tc>
      </w:tr>
      <w:tr w:rsidR="00A82082" w14:paraId="7E7842AC" w14:textId="77777777">
        <w:trPr>
          <w:jc w:val="center"/>
        </w:trPr>
        <w:tc>
          <w:tcPr>
            <w:tcW w:w="0" w:type="auto"/>
            <w:gridSpan w:val="3"/>
            <w:shd w:val="clear" w:color="auto" w:fill="CCEEFF"/>
            <w:tcMar>
              <w:top w:w="40" w:type="dxa"/>
              <w:left w:w="380" w:type="dxa"/>
              <w:bottom w:w="40" w:type="dxa"/>
              <w:right w:w="20" w:type="dxa"/>
            </w:tcMar>
            <w:vAlign w:val="center"/>
          </w:tcPr>
          <w:p w14:paraId="7E7842A2" w14:textId="77777777" w:rsidR="00A82082" w:rsidRDefault="00E946F9">
            <w:pPr>
              <w:textAlignment w:val="center"/>
            </w:pPr>
            <w:r>
              <w:rPr>
                <w:rFonts w:ascii="Times New Roman" w:eastAsia="宋体" w:hAnsi="Times New Roman"/>
                <w:color w:val="000000"/>
                <w:sz w:val="16"/>
                <w:szCs w:val="16"/>
              </w:rPr>
              <w:t>Noncontrolling interest</w:t>
            </w:r>
          </w:p>
        </w:tc>
        <w:tc>
          <w:tcPr>
            <w:tcW w:w="0" w:type="auto"/>
            <w:gridSpan w:val="3"/>
            <w:shd w:val="clear" w:color="auto" w:fill="CCEEFF"/>
            <w:tcMar>
              <w:top w:w="0" w:type="dxa"/>
              <w:left w:w="20" w:type="dxa"/>
              <w:bottom w:w="0" w:type="dxa"/>
              <w:right w:w="20" w:type="dxa"/>
            </w:tcMar>
          </w:tcPr>
          <w:p w14:paraId="7E7842A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A4" w14:textId="77777777" w:rsidR="00A82082" w:rsidRDefault="00E946F9">
            <w:pPr>
              <w:jc w:val="right"/>
              <w:textAlignment w:val="center"/>
            </w:pPr>
            <w:r>
              <w:rPr>
                <w:rFonts w:ascii="Times New Roman" w:eastAsia="宋体" w:hAnsi="Times New Roman"/>
                <w:color w:val="000000"/>
                <w:sz w:val="16"/>
                <w:szCs w:val="16"/>
              </w:rPr>
              <w:t>6,073 </w:t>
            </w:r>
          </w:p>
        </w:tc>
        <w:tc>
          <w:tcPr>
            <w:tcW w:w="0" w:type="auto"/>
            <w:shd w:val="clear" w:color="auto" w:fill="CCEEFF"/>
            <w:tcMar>
              <w:top w:w="40" w:type="dxa"/>
              <w:left w:w="0" w:type="dxa"/>
              <w:bottom w:w="40" w:type="dxa"/>
              <w:right w:w="20" w:type="dxa"/>
            </w:tcMar>
            <w:vAlign w:val="center"/>
          </w:tcPr>
          <w:p w14:paraId="7E7842A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A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A7" w14:textId="77777777" w:rsidR="00A82082" w:rsidRDefault="00E946F9">
            <w:pPr>
              <w:jc w:val="right"/>
              <w:textAlignment w:val="center"/>
            </w:pPr>
            <w:r>
              <w:rPr>
                <w:rFonts w:ascii="Times New Roman" w:eastAsia="宋体" w:hAnsi="Times New Roman"/>
                <w:color w:val="000000"/>
                <w:sz w:val="16"/>
                <w:szCs w:val="16"/>
              </w:rPr>
              <w:t>6,883 </w:t>
            </w:r>
          </w:p>
        </w:tc>
        <w:tc>
          <w:tcPr>
            <w:tcW w:w="0" w:type="auto"/>
            <w:shd w:val="clear" w:color="auto" w:fill="CCEEFF"/>
            <w:tcMar>
              <w:top w:w="40" w:type="dxa"/>
              <w:left w:w="0" w:type="dxa"/>
              <w:bottom w:w="40" w:type="dxa"/>
              <w:right w:w="20" w:type="dxa"/>
            </w:tcMar>
            <w:vAlign w:val="center"/>
          </w:tcPr>
          <w:p w14:paraId="7E7842A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A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2AA" w14:textId="77777777" w:rsidR="00A82082" w:rsidRDefault="00E946F9">
            <w:pPr>
              <w:jc w:val="right"/>
              <w:textAlignment w:val="center"/>
            </w:pPr>
            <w:r>
              <w:rPr>
                <w:rFonts w:ascii="Times New Roman" w:eastAsia="宋体" w:hAnsi="Times New Roman"/>
                <w:color w:val="000000"/>
                <w:sz w:val="16"/>
                <w:szCs w:val="16"/>
              </w:rPr>
              <w:t>6,658 </w:t>
            </w:r>
          </w:p>
        </w:tc>
        <w:tc>
          <w:tcPr>
            <w:tcW w:w="0" w:type="auto"/>
            <w:shd w:val="clear" w:color="auto" w:fill="CCEEFF"/>
            <w:tcMar>
              <w:top w:w="40" w:type="dxa"/>
              <w:left w:w="0" w:type="dxa"/>
              <w:bottom w:w="40" w:type="dxa"/>
              <w:right w:w="20" w:type="dxa"/>
            </w:tcMar>
            <w:vAlign w:val="center"/>
          </w:tcPr>
          <w:p w14:paraId="7E7842AB" w14:textId="77777777" w:rsidR="00A82082" w:rsidRDefault="00A82082">
            <w:pPr>
              <w:jc w:val="right"/>
              <w:rPr>
                <w:rFonts w:ascii="宋体"/>
              </w:rPr>
            </w:pPr>
          </w:p>
        </w:tc>
      </w:tr>
      <w:tr w:rsidR="00A82082" w14:paraId="7E7842B7" w14:textId="77777777">
        <w:trPr>
          <w:jc w:val="center"/>
        </w:trPr>
        <w:tc>
          <w:tcPr>
            <w:tcW w:w="0" w:type="auto"/>
            <w:gridSpan w:val="3"/>
            <w:shd w:val="clear" w:color="auto" w:fill="FFFFFF"/>
            <w:tcMar>
              <w:top w:w="40" w:type="dxa"/>
              <w:left w:w="740" w:type="dxa"/>
              <w:bottom w:w="40" w:type="dxa"/>
              <w:right w:w="20" w:type="dxa"/>
            </w:tcMar>
            <w:vAlign w:val="center"/>
          </w:tcPr>
          <w:p w14:paraId="7E7842AD" w14:textId="77777777" w:rsidR="00A82082" w:rsidRDefault="00E946F9">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tcPr>
          <w:p w14:paraId="7E7842AE"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AF" w14:textId="77777777" w:rsidR="00A82082" w:rsidRDefault="00E946F9">
            <w:pPr>
              <w:jc w:val="right"/>
              <w:textAlignment w:val="center"/>
            </w:pPr>
            <w:r>
              <w:rPr>
                <w:rFonts w:ascii="Times New Roman" w:eastAsia="宋体" w:hAnsi="Times New Roman"/>
                <w:color w:val="000000"/>
                <w:sz w:val="16"/>
                <w:szCs w:val="16"/>
              </w:rPr>
              <w:t>87,504 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B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B1"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B2" w14:textId="77777777" w:rsidR="00A82082" w:rsidRDefault="00E946F9">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B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2B4"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2B5" w14:textId="77777777" w:rsidR="00A82082" w:rsidRDefault="00E946F9">
            <w:pPr>
              <w:jc w:val="right"/>
              <w:textAlignment w:val="center"/>
            </w:pPr>
            <w:r>
              <w:rPr>
                <w:rFonts w:ascii="Times New Roman" w:eastAsia="宋体" w:hAnsi="Times New Roman"/>
                <w:color w:val="000000"/>
                <w:sz w:val="16"/>
                <w:szCs w:val="16"/>
              </w:rPr>
              <w:t>78,307 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2B6" w14:textId="77777777" w:rsidR="00A82082" w:rsidRDefault="00A82082">
            <w:pPr>
              <w:jc w:val="right"/>
              <w:rPr>
                <w:rFonts w:ascii="宋体"/>
              </w:rPr>
            </w:pPr>
          </w:p>
        </w:tc>
      </w:tr>
      <w:tr w:rsidR="00A82082" w14:paraId="7E7842C5" w14:textId="77777777">
        <w:trPr>
          <w:jc w:val="center"/>
        </w:trPr>
        <w:tc>
          <w:tcPr>
            <w:tcW w:w="0" w:type="auto"/>
            <w:gridSpan w:val="3"/>
            <w:shd w:val="clear" w:color="auto" w:fill="CCEEFF"/>
            <w:tcMar>
              <w:top w:w="40" w:type="dxa"/>
              <w:left w:w="20" w:type="dxa"/>
              <w:bottom w:w="40" w:type="dxa"/>
              <w:right w:w="20" w:type="dxa"/>
            </w:tcMar>
            <w:vAlign w:val="center"/>
          </w:tcPr>
          <w:p w14:paraId="7E7842B8" w14:textId="77777777" w:rsidR="00A82082" w:rsidRDefault="00E946F9">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CCEEFF"/>
            <w:tcMar>
              <w:top w:w="0" w:type="dxa"/>
              <w:left w:w="20" w:type="dxa"/>
              <w:bottom w:w="0" w:type="dxa"/>
              <w:right w:w="20" w:type="dxa"/>
            </w:tcMar>
          </w:tcPr>
          <w:p w14:paraId="7E7842B9"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2B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2BB" w14:textId="77777777" w:rsidR="00A82082" w:rsidRDefault="00E946F9">
            <w:pPr>
              <w:jc w:val="right"/>
              <w:textAlignment w:val="center"/>
            </w:pPr>
            <w:r>
              <w:rPr>
                <w:rFonts w:ascii="Times New Roman" w:eastAsia="宋体" w:hAnsi="Times New Roman"/>
                <w:color w:val="000000"/>
                <w:sz w:val="16"/>
                <w:szCs w:val="16"/>
              </w:rPr>
              <w:t>250,863 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2B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BD"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2B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2BF" w14:textId="77777777" w:rsidR="00A82082" w:rsidRDefault="00E946F9">
            <w:pPr>
              <w:jc w:val="right"/>
              <w:textAlignment w:val="center"/>
            </w:pPr>
            <w:r>
              <w:rPr>
                <w:rFonts w:ascii="Times New Roman" w:eastAsia="宋体" w:hAnsi="Times New Roman"/>
                <w:color w:val="000000"/>
                <w:sz w:val="16"/>
                <w:szCs w:val="16"/>
              </w:rPr>
              <w:t>236,495 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2C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2C1"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2C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2C3" w14:textId="77777777" w:rsidR="00A82082" w:rsidRDefault="00E946F9">
            <w:pPr>
              <w:jc w:val="right"/>
              <w:textAlignment w:val="center"/>
            </w:pPr>
            <w:r>
              <w:rPr>
                <w:rFonts w:ascii="Times New Roman" w:eastAsia="宋体" w:hAnsi="Times New Roman"/>
                <w:color w:val="000000"/>
                <w:sz w:val="16"/>
                <w:szCs w:val="16"/>
              </w:rPr>
              <w:t>239,830 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2C4" w14:textId="77777777" w:rsidR="00A82082" w:rsidRDefault="00A82082">
            <w:pPr>
              <w:jc w:val="right"/>
              <w:rPr>
                <w:rFonts w:ascii="宋体"/>
              </w:rPr>
            </w:pPr>
          </w:p>
        </w:tc>
      </w:tr>
    </w:tbl>
    <w:p w14:paraId="7E7842C6"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42C7" w14:textId="77777777" w:rsidR="00A82082" w:rsidRDefault="00E946F9">
      <w:pPr>
        <w:jc w:val="center"/>
      </w:pPr>
      <w:r>
        <w:rPr>
          <w:rFonts w:ascii="Times New Roman" w:eastAsia="宋体" w:hAnsi="Times New Roman"/>
          <w:color w:val="000000"/>
          <w:sz w:val="20"/>
          <w:szCs w:val="20"/>
        </w:rPr>
        <w:t>5</w:t>
      </w:r>
    </w:p>
    <w:p w14:paraId="7E7842C8" w14:textId="77777777" w:rsidR="00A82082" w:rsidRDefault="00E946F9">
      <w:r>
        <w:pict w14:anchorId="7E78614D">
          <v:rect id="_x0000_i1029" style="width:415.3pt;height:1.5pt" o:hralign="center" o:hrstd="t" o:hr="t" fillcolor="#a0a0a0" stroked="f"/>
        </w:pict>
      </w:r>
    </w:p>
    <w:p w14:paraId="7E7842C9" w14:textId="77777777" w:rsidR="00A82082" w:rsidRDefault="00E946F9">
      <w:hyperlink r:id="rId47" w:anchor="i5c815528a95c4409b9043de534639b9a_7" w:history="1">
        <w:r>
          <w:rPr>
            <w:rStyle w:val="a5"/>
            <w:rFonts w:ascii="Times New Roman" w:eastAsia="宋体" w:hAnsi="Times New Roman"/>
            <w:sz w:val="20"/>
            <w:szCs w:val="20"/>
          </w:rPr>
          <w:t>Table of C</w:t>
        </w:r>
      </w:hyperlink>
      <w:hyperlink r:id="rId48" w:anchor="i5c815528a95c4409b9043de534639b9a_7" w:history="1">
        <w:r>
          <w:rPr>
            <w:rStyle w:val="a5"/>
            <w:rFonts w:ascii="Times New Roman" w:eastAsia="宋体" w:hAnsi="Times New Roman"/>
            <w:sz w:val="20"/>
            <w:szCs w:val="20"/>
          </w:rPr>
          <w:t>ontents</w:t>
        </w:r>
      </w:hyperlink>
    </w:p>
    <w:p w14:paraId="7E7842CA" w14:textId="77777777" w:rsidR="00A82082" w:rsidRDefault="00E946F9">
      <w:pPr>
        <w:jc w:val="center"/>
      </w:pPr>
      <w:r>
        <w:rPr>
          <w:rFonts w:ascii="Times New Roman" w:eastAsia="宋体" w:hAnsi="Times New Roman"/>
          <w:b/>
          <w:bCs/>
          <w:color w:val="000000"/>
          <w:sz w:val="20"/>
          <w:szCs w:val="20"/>
        </w:rPr>
        <w:t>Walmart Inc.</w:t>
      </w:r>
    </w:p>
    <w:p w14:paraId="7E7842CB" w14:textId="77777777" w:rsidR="00A82082" w:rsidRDefault="00E946F9">
      <w:pPr>
        <w:spacing w:before="60"/>
        <w:jc w:val="center"/>
      </w:pPr>
      <w:r>
        <w:rPr>
          <w:rFonts w:ascii="Times New Roman" w:eastAsia="宋体" w:hAnsi="Times New Roman"/>
          <w:b/>
          <w:bCs/>
          <w:color w:val="000000"/>
          <w:sz w:val="20"/>
          <w:szCs w:val="20"/>
        </w:rPr>
        <w:t>Condensed Consolidated Statements of Shareholders' Equity</w:t>
      </w:r>
    </w:p>
    <w:p w14:paraId="7E7842CC" w14:textId="77777777" w:rsidR="00A82082" w:rsidRDefault="00E946F9">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8"/>
        <w:gridCol w:w="38"/>
        <w:gridCol w:w="84"/>
        <w:gridCol w:w="407"/>
        <w:gridCol w:w="37"/>
        <w:gridCol w:w="37"/>
        <w:gridCol w:w="37"/>
        <w:gridCol w:w="36"/>
        <w:gridCol w:w="100"/>
        <w:gridCol w:w="489"/>
        <w:gridCol w:w="36"/>
        <w:gridCol w:w="36"/>
        <w:gridCol w:w="36"/>
        <w:gridCol w:w="36"/>
        <w:gridCol w:w="101"/>
        <w:gridCol w:w="622"/>
        <w:gridCol w:w="36"/>
        <w:gridCol w:w="36"/>
        <w:gridCol w:w="36"/>
        <w:gridCol w:w="36"/>
        <w:gridCol w:w="100"/>
        <w:gridCol w:w="558"/>
        <w:gridCol w:w="36"/>
        <w:gridCol w:w="36"/>
        <w:gridCol w:w="36"/>
        <w:gridCol w:w="36"/>
        <w:gridCol w:w="137"/>
        <w:gridCol w:w="946"/>
        <w:gridCol w:w="36"/>
        <w:gridCol w:w="36"/>
        <w:gridCol w:w="36"/>
        <w:gridCol w:w="36"/>
        <w:gridCol w:w="123"/>
        <w:gridCol w:w="847"/>
        <w:gridCol w:w="36"/>
        <w:gridCol w:w="36"/>
        <w:gridCol w:w="36"/>
        <w:gridCol w:w="36"/>
        <w:gridCol w:w="133"/>
        <w:gridCol w:w="915"/>
        <w:gridCol w:w="36"/>
        <w:gridCol w:w="36"/>
        <w:gridCol w:w="36"/>
        <w:gridCol w:w="36"/>
        <w:gridCol w:w="99"/>
        <w:gridCol w:w="475"/>
        <w:gridCol w:w="36"/>
        <w:gridCol w:w="36"/>
        <w:gridCol w:w="36"/>
        <w:gridCol w:w="36"/>
      </w:tblGrid>
      <w:tr w:rsidR="00A82082" w14:paraId="7E784300" w14:textId="77777777">
        <w:tc>
          <w:tcPr>
            <w:tcW w:w="50" w:type="pct"/>
            <w:shd w:val="clear" w:color="auto" w:fill="auto"/>
          </w:tcPr>
          <w:p w14:paraId="7E7842CD" w14:textId="77777777" w:rsidR="00A82082" w:rsidRDefault="00A82082">
            <w:pPr>
              <w:rPr>
                <w:rFonts w:ascii="宋体"/>
              </w:rPr>
            </w:pPr>
          </w:p>
        </w:tc>
        <w:tc>
          <w:tcPr>
            <w:tcW w:w="1739" w:type="pct"/>
            <w:shd w:val="clear" w:color="auto" w:fill="auto"/>
          </w:tcPr>
          <w:p w14:paraId="7E7842CE" w14:textId="77777777" w:rsidR="00A82082" w:rsidRDefault="00A82082">
            <w:pPr>
              <w:rPr>
                <w:rFonts w:ascii="宋体"/>
              </w:rPr>
            </w:pPr>
          </w:p>
        </w:tc>
        <w:tc>
          <w:tcPr>
            <w:tcW w:w="5" w:type="pct"/>
            <w:shd w:val="clear" w:color="auto" w:fill="auto"/>
          </w:tcPr>
          <w:p w14:paraId="7E7842CF" w14:textId="77777777" w:rsidR="00A82082" w:rsidRDefault="00A82082">
            <w:pPr>
              <w:rPr>
                <w:rFonts w:ascii="宋体"/>
              </w:rPr>
            </w:pPr>
          </w:p>
        </w:tc>
        <w:tc>
          <w:tcPr>
            <w:tcW w:w="50" w:type="pct"/>
            <w:shd w:val="clear" w:color="auto" w:fill="auto"/>
          </w:tcPr>
          <w:p w14:paraId="7E7842D0" w14:textId="77777777" w:rsidR="00A82082" w:rsidRDefault="00A82082">
            <w:pPr>
              <w:rPr>
                <w:rFonts w:ascii="宋体"/>
              </w:rPr>
            </w:pPr>
          </w:p>
        </w:tc>
        <w:tc>
          <w:tcPr>
            <w:tcW w:w="247" w:type="pct"/>
            <w:shd w:val="clear" w:color="auto" w:fill="auto"/>
          </w:tcPr>
          <w:p w14:paraId="7E7842D1" w14:textId="77777777" w:rsidR="00A82082" w:rsidRDefault="00A82082">
            <w:pPr>
              <w:rPr>
                <w:rFonts w:ascii="宋体"/>
              </w:rPr>
            </w:pPr>
          </w:p>
        </w:tc>
        <w:tc>
          <w:tcPr>
            <w:tcW w:w="5" w:type="pct"/>
            <w:shd w:val="clear" w:color="auto" w:fill="auto"/>
          </w:tcPr>
          <w:p w14:paraId="7E7842D2" w14:textId="77777777" w:rsidR="00A82082" w:rsidRDefault="00A82082">
            <w:pPr>
              <w:rPr>
                <w:rFonts w:ascii="宋体"/>
              </w:rPr>
            </w:pPr>
          </w:p>
        </w:tc>
        <w:tc>
          <w:tcPr>
            <w:tcW w:w="5" w:type="pct"/>
            <w:shd w:val="clear" w:color="auto" w:fill="auto"/>
          </w:tcPr>
          <w:p w14:paraId="7E7842D3" w14:textId="77777777" w:rsidR="00A82082" w:rsidRDefault="00A82082">
            <w:pPr>
              <w:rPr>
                <w:rFonts w:ascii="宋体"/>
              </w:rPr>
            </w:pPr>
          </w:p>
        </w:tc>
        <w:tc>
          <w:tcPr>
            <w:tcW w:w="15" w:type="pct"/>
            <w:shd w:val="clear" w:color="auto" w:fill="auto"/>
          </w:tcPr>
          <w:p w14:paraId="7E7842D4" w14:textId="77777777" w:rsidR="00A82082" w:rsidRDefault="00A82082">
            <w:pPr>
              <w:rPr>
                <w:rFonts w:ascii="宋体"/>
              </w:rPr>
            </w:pPr>
          </w:p>
        </w:tc>
        <w:tc>
          <w:tcPr>
            <w:tcW w:w="5" w:type="pct"/>
            <w:shd w:val="clear" w:color="auto" w:fill="auto"/>
          </w:tcPr>
          <w:p w14:paraId="7E7842D5" w14:textId="77777777" w:rsidR="00A82082" w:rsidRDefault="00A82082">
            <w:pPr>
              <w:rPr>
                <w:rFonts w:ascii="宋体"/>
              </w:rPr>
            </w:pPr>
          </w:p>
        </w:tc>
        <w:tc>
          <w:tcPr>
            <w:tcW w:w="50" w:type="pct"/>
            <w:shd w:val="clear" w:color="auto" w:fill="auto"/>
          </w:tcPr>
          <w:p w14:paraId="7E7842D6" w14:textId="77777777" w:rsidR="00A82082" w:rsidRDefault="00A82082">
            <w:pPr>
              <w:rPr>
                <w:rFonts w:ascii="宋体"/>
              </w:rPr>
            </w:pPr>
          </w:p>
        </w:tc>
        <w:tc>
          <w:tcPr>
            <w:tcW w:w="252" w:type="pct"/>
            <w:shd w:val="clear" w:color="auto" w:fill="auto"/>
          </w:tcPr>
          <w:p w14:paraId="7E7842D7" w14:textId="77777777" w:rsidR="00A82082" w:rsidRDefault="00A82082">
            <w:pPr>
              <w:rPr>
                <w:rFonts w:ascii="宋体"/>
              </w:rPr>
            </w:pPr>
          </w:p>
        </w:tc>
        <w:tc>
          <w:tcPr>
            <w:tcW w:w="5" w:type="pct"/>
            <w:shd w:val="clear" w:color="auto" w:fill="auto"/>
          </w:tcPr>
          <w:p w14:paraId="7E7842D8" w14:textId="77777777" w:rsidR="00A82082" w:rsidRDefault="00A82082">
            <w:pPr>
              <w:rPr>
                <w:rFonts w:ascii="宋体"/>
              </w:rPr>
            </w:pPr>
          </w:p>
        </w:tc>
        <w:tc>
          <w:tcPr>
            <w:tcW w:w="5" w:type="pct"/>
            <w:shd w:val="clear" w:color="auto" w:fill="auto"/>
          </w:tcPr>
          <w:p w14:paraId="7E7842D9" w14:textId="77777777" w:rsidR="00A82082" w:rsidRDefault="00A82082">
            <w:pPr>
              <w:rPr>
                <w:rFonts w:ascii="宋体"/>
              </w:rPr>
            </w:pPr>
          </w:p>
        </w:tc>
        <w:tc>
          <w:tcPr>
            <w:tcW w:w="15" w:type="pct"/>
            <w:shd w:val="clear" w:color="auto" w:fill="auto"/>
          </w:tcPr>
          <w:p w14:paraId="7E7842DA" w14:textId="77777777" w:rsidR="00A82082" w:rsidRDefault="00A82082">
            <w:pPr>
              <w:rPr>
                <w:rFonts w:ascii="宋体"/>
              </w:rPr>
            </w:pPr>
          </w:p>
        </w:tc>
        <w:tc>
          <w:tcPr>
            <w:tcW w:w="5" w:type="pct"/>
            <w:shd w:val="clear" w:color="auto" w:fill="auto"/>
          </w:tcPr>
          <w:p w14:paraId="7E7842DB" w14:textId="77777777" w:rsidR="00A82082" w:rsidRDefault="00A82082">
            <w:pPr>
              <w:rPr>
                <w:rFonts w:ascii="宋体"/>
              </w:rPr>
            </w:pPr>
          </w:p>
        </w:tc>
        <w:tc>
          <w:tcPr>
            <w:tcW w:w="50" w:type="pct"/>
            <w:shd w:val="clear" w:color="auto" w:fill="auto"/>
          </w:tcPr>
          <w:p w14:paraId="7E7842DC" w14:textId="77777777" w:rsidR="00A82082" w:rsidRDefault="00A82082">
            <w:pPr>
              <w:rPr>
                <w:rFonts w:ascii="宋体"/>
              </w:rPr>
            </w:pPr>
          </w:p>
        </w:tc>
        <w:tc>
          <w:tcPr>
            <w:tcW w:w="348" w:type="pct"/>
            <w:shd w:val="clear" w:color="auto" w:fill="auto"/>
          </w:tcPr>
          <w:p w14:paraId="7E7842DD" w14:textId="77777777" w:rsidR="00A82082" w:rsidRDefault="00A82082">
            <w:pPr>
              <w:rPr>
                <w:rFonts w:ascii="宋体"/>
              </w:rPr>
            </w:pPr>
          </w:p>
        </w:tc>
        <w:tc>
          <w:tcPr>
            <w:tcW w:w="5" w:type="pct"/>
            <w:shd w:val="clear" w:color="auto" w:fill="auto"/>
          </w:tcPr>
          <w:p w14:paraId="7E7842DE" w14:textId="77777777" w:rsidR="00A82082" w:rsidRDefault="00A82082">
            <w:pPr>
              <w:rPr>
                <w:rFonts w:ascii="宋体"/>
              </w:rPr>
            </w:pPr>
          </w:p>
        </w:tc>
        <w:tc>
          <w:tcPr>
            <w:tcW w:w="5" w:type="pct"/>
            <w:shd w:val="clear" w:color="auto" w:fill="auto"/>
          </w:tcPr>
          <w:p w14:paraId="7E7842DF" w14:textId="77777777" w:rsidR="00A82082" w:rsidRDefault="00A82082">
            <w:pPr>
              <w:rPr>
                <w:rFonts w:ascii="宋体"/>
              </w:rPr>
            </w:pPr>
          </w:p>
        </w:tc>
        <w:tc>
          <w:tcPr>
            <w:tcW w:w="15" w:type="pct"/>
            <w:shd w:val="clear" w:color="auto" w:fill="auto"/>
          </w:tcPr>
          <w:p w14:paraId="7E7842E0" w14:textId="77777777" w:rsidR="00A82082" w:rsidRDefault="00A82082">
            <w:pPr>
              <w:rPr>
                <w:rFonts w:ascii="宋体"/>
              </w:rPr>
            </w:pPr>
          </w:p>
        </w:tc>
        <w:tc>
          <w:tcPr>
            <w:tcW w:w="5" w:type="pct"/>
            <w:shd w:val="clear" w:color="auto" w:fill="auto"/>
          </w:tcPr>
          <w:p w14:paraId="7E7842E1" w14:textId="77777777" w:rsidR="00A82082" w:rsidRDefault="00A82082">
            <w:pPr>
              <w:rPr>
                <w:rFonts w:ascii="宋体"/>
              </w:rPr>
            </w:pPr>
          </w:p>
        </w:tc>
        <w:tc>
          <w:tcPr>
            <w:tcW w:w="50" w:type="pct"/>
            <w:shd w:val="clear" w:color="auto" w:fill="auto"/>
          </w:tcPr>
          <w:p w14:paraId="7E7842E2" w14:textId="77777777" w:rsidR="00A82082" w:rsidRDefault="00A82082">
            <w:pPr>
              <w:rPr>
                <w:rFonts w:ascii="宋体"/>
              </w:rPr>
            </w:pPr>
          </w:p>
        </w:tc>
        <w:tc>
          <w:tcPr>
            <w:tcW w:w="348" w:type="pct"/>
            <w:shd w:val="clear" w:color="auto" w:fill="auto"/>
          </w:tcPr>
          <w:p w14:paraId="7E7842E3" w14:textId="77777777" w:rsidR="00A82082" w:rsidRDefault="00A82082">
            <w:pPr>
              <w:rPr>
                <w:rFonts w:ascii="宋体"/>
              </w:rPr>
            </w:pPr>
          </w:p>
        </w:tc>
        <w:tc>
          <w:tcPr>
            <w:tcW w:w="5" w:type="pct"/>
            <w:shd w:val="clear" w:color="auto" w:fill="auto"/>
          </w:tcPr>
          <w:p w14:paraId="7E7842E4" w14:textId="77777777" w:rsidR="00A82082" w:rsidRDefault="00A82082">
            <w:pPr>
              <w:rPr>
                <w:rFonts w:ascii="宋体"/>
              </w:rPr>
            </w:pPr>
          </w:p>
        </w:tc>
        <w:tc>
          <w:tcPr>
            <w:tcW w:w="5" w:type="pct"/>
            <w:shd w:val="clear" w:color="auto" w:fill="auto"/>
          </w:tcPr>
          <w:p w14:paraId="7E7842E5" w14:textId="77777777" w:rsidR="00A82082" w:rsidRDefault="00A82082">
            <w:pPr>
              <w:rPr>
                <w:rFonts w:ascii="宋体"/>
              </w:rPr>
            </w:pPr>
          </w:p>
        </w:tc>
        <w:tc>
          <w:tcPr>
            <w:tcW w:w="15" w:type="pct"/>
            <w:shd w:val="clear" w:color="auto" w:fill="auto"/>
          </w:tcPr>
          <w:p w14:paraId="7E7842E6" w14:textId="77777777" w:rsidR="00A82082" w:rsidRDefault="00A82082">
            <w:pPr>
              <w:rPr>
                <w:rFonts w:ascii="宋体"/>
              </w:rPr>
            </w:pPr>
          </w:p>
        </w:tc>
        <w:tc>
          <w:tcPr>
            <w:tcW w:w="5" w:type="pct"/>
            <w:shd w:val="clear" w:color="auto" w:fill="auto"/>
          </w:tcPr>
          <w:p w14:paraId="7E7842E7" w14:textId="77777777" w:rsidR="00A82082" w:rsidRDefault="00A82082">
            <w:pPr>
              <w:rPr>
                <w:rFonts w:ascii="宋体"/>
              </w:rPr>
            </w:pPr>
          </w:p>
        </w:tc>
        <w:tc>
          <w:tcPr>
            <w:tcW w:w="50" w:type="pct"/>
            <w:shd w:val="clear" w:color="auto" w:fill="auto"/>
          </w:tcPr>
          <w:p w14:paraId="7E7842E8" w14:textId="77777777" w:rsidR="00A82082" w:rsidRDefault="00A82082">
            <w:pPr>
              <w:rPr>
                <w:rFonts w:ascii="宋体"/>
              </w:rPr>
            </w:pPr>
          </w:p>
        </w:tc>
        <w:tc>
          <w:tcPr>
            <w:tcW w:w="348" w:type="pct"/>
            <w:shd w:val="clear" w:color="auto" w:fill="auto"/>
          </w:tcPr>
          <w:p w14:paraId="7E7842E9" w14:textId="77777777" w:rsidR="00A82082" w:rsidRDefault="00A82082">
            <w:pPr>
              <w:rPr>
                <w:rFonts w:ascii="宋体"/>
              </w:rPr>
            </w:pPr>
          </w:p>
        </w:tc>
        <w:tc>
          <w:tcPr>
            <w:tcW w:w="5" w:type="pct"/>
            <w:shd w:val="clear" w:color="auto" w:fill="auto"/>
          </w:tcPr>
          <w:p w14:paraId="7E7842EA" w14:textId="77777777" w:rsidR="00A82082" w:rsidRDefault="00A82082">
            <w:pPr>
              <w:rPr>
                <w:rFonts w:ascii="宋体"/>
              </w:rPr>
            </w:pPr>
          </w:p>
        </w:tc>
        <w:tc>
          <w:tcPr>
            <w:tcW w:w="5" w:type="pct"/>
            <w:shd w:val="clear" w:color="auto" w:fill="auto"/>
          </w:tcPr>
          <w:p w14:paraId="7E7842EB" w14:textId="77777777" w:rsidR="00A82082" w:rsidRDefault="00A82082">
            <w:pPr>
              <w:rPr>
                <w:rFonts w:ascii="宋体"/>
              </w:rPr>
            </w:pPr>
          </w:p>
        </w:tc>
        <w:tc>
          <w:tcPr>
            <w:tcW w:w="15" w:type="pct"/>
            <w:shd w:val="clear" w:color="auto" w:fill="auto"/>
          </w:tcPr>
          <w:p w14:paraId="7E7842EC" w14:textId="77777777" w:rsidR="00A82082" w:rsidRDefault="00A82082">
            <w:pPr>
              <w:rPr>
                <w:rFonts w:ascii="宋体"/>
              </w:rPr>
            </w:pPr>
          </w:p>
        </w:tc>
        <w:tc>
          <w:tcPr>
            <w:tcW w:w="5" w:type="pct"/>
            <w:shd w:val="clear" w:color="auto" w:fill="auto"/>
          </w:tcPr>
          <w:p w14:paraId="7E7842ED" w14:textId="77777777" w:rsidR="00A82082" w:rsidRDefault="00A82082">
            <w:pPr>
              <w:rPr>
                <w:rFonts w:ascii="宋体"/>
              </w:rPr>
            </w:pPr>
          </w:p>
        </w:tc>
        <w:tc>
          <w:tcPr>
            <w:tcW w:w="50" w:type="pct"/>
            <w:shd w:val="clear" w:color="auto" w:fill="auto"/>
          </w:tcPr>
          <w:p w14:paraId="7E7842EE" w14:textId="77777777" w:rsidR="00A82082" w:rsidRDefault="00A82082">
            <w:pPr>
              <w:rPr>
                <w:rFonts w:ascii="宋体"/>
              </w:rPr>
            </w:pPr>
          </w:p>
        </w:tc>
        <w:tc>
          <w:tcPr>
            <w:tcW w:w="348" w:type="pct"/>
            <w:shd w:val="clear" w:color="auto" w:fill="auto"/>
          </w:tcPr>
          <w:p w14:paraId="7E7842EF" w14:textId="77777777" w:rsidR="00A82082" w:rsidRDefault="00A82082">
            <w:pPr>
              <w:rPr>
                <w:rFonts w:ascii="宋体"/>
              </w:rPr>
            </w:pPr>
          </w:p>
        </w:tc>
        <w:tc>
          <w:tcPr>
            <w:tcW w:w="5" w:type="pct"/>
            <w:shd w:val="clear" w:color="auto" w:fill="auto"/>
          </w:tcPr>
          <w:p w14:paraId="7E7842F0" w14:textId="77777777" w:rsidR="00A82082" w:rsidRDefault="00A82082">
            <w:pPr>
              <w:rPr>
                <w:rFonts w:ascii="宋体"/>
              </w:rPr>
            </w:pPr>
          </w:p>
        </w:tc>
        <w:tc>
          <w:tcPr>
            <w:tcW w:w="5" w:type="pct"/>
            <w:shd w:val="clear" w:color="auto" w:fill="auto"/>
          </w:tcPr>
          <w:p w14:paraId="7E7842F1" w14:textId="77777777" w:rsidR="00A82082" w:rsidRDefault="00A82082">
            <w:pPr>
              <w:rPr>
                <w:rFonts w:ascii="宋体"/>
              </w:rPr>
            </w:pPr>
          </w:p>
        </w:tc>
        <w:tc>
          <w:tcPr>
            <w:tcW w:w="15" w:type="pct"/>
            <w:shd w:val="clear" w:color="auto" w:fill="auto"/>
          </w:tcPr>
          <w:p w14:paraId="7E7842F2" w14:textId="77777777" w:rsidR="00A82082" w:rsidRDefault="00A82082">
            <w:pPr>
              <w:rPr>
                <w:rFonts w:ascii="宋体"/>
              </w:rPr>
            </w:pPr>
          </w:p>
        </w:tc>
        <w:tc>
          <w:tcPr>
            <w:tcW w:w="5" w:type="pct"/>
            <w:shd w:val="clear" w:color="auto" w:fill="auto"/>
          </w:tcPr>
          <w:p w14:paraId="7E7842F3" w14:textId="77777777" w:rsidR="00A82082" w:rsidRDefault="00A82082">
            <w:pPr>
              <w:rPr>
                <w:rFonts w:ascii="宋体"/>
              </w:rPr>
            </w:pPr>
          </w:p>
        </w:tc>
        <w:tc>
          <w:tcPr>
            <w:tcW w:w="50" w:type="pct"/>
            <w:shd w:val="clear" w:color="auto" w:fill="auto"/>
          </w:tcPr>
          <w:p w14:paraId="7E7842F4" w14:textId="77777777" w:rsidR="00A82082" w:rsidRDefault="00A82082">
            <w:pPr>
              <w:rPr>
                <w:rFonts w:ascii="宋体"/>
              </w:rPr>
            </w:pPr>
          </w:p>
        </w:tc>
        <w:tc>
          <w:tcPr>
            <w:tcW w:w="348" w:type="pct"/>
            <w:shd w:val="clear" w:color="auto" w:fill="auto"/>
          </w:tcPr>
          <w:p w14:paraId="7E7842F5" w14:textId="77777777" w:rsidR="00A82082" w:rsidRDefault="00A82082">
            <w:pPr>
              <w:rPr>
                <w:rFonts w:ascii="宋体"/>
              </w:rPr>
            </w:pPr>
          </w:p>
        </w:tc>
        <w:tc>
          <w:tcPr>
            <w:tcW w:w="5" w:type="pct"/>
            <w:shd w:val="clear" w:color="auto" w:fill="auto"/>
          </w:tcPr>
          <w:p w14:paraId="7E7842F6" w14:textId="77777777" w:rsidR="00A82082" w:rsidRDefault="00A82082">
            <w:pPr>
              <w:rPr>
                <w:rFonts w:ascii="宋体"/>
              </w:rPr>
            </w:pPr>
          </w:p>
        </w:tc>
        <w:tc>
          <w:tcPr>
            <w:tcW w:w="5" w:type="pct"/>
            <w:shd w:val="clear" w:color="auto" w:fill="auto"/>
          </w:tcPr>
          <w:p w14:paraId="7E7842F7" w14:textId="77777777" w:rsidR="00A82082" w:rsidRDefault="00A82082">
            <w:pPr>
              <w:rPr>
                <w:rFonts w:ascii="宋体"/>
              </w:rPr>
            </w:pPr>
          </w:p>
        </w:tc>
        <w:tc>
          <w:tcPr>
            <w:tcW w:w="15" w:type="pct"/>
            <w:shd w:val="clear" w:color="auto" w:fill="auto"/>
          </w:tcPr>
          <w:p w14:paraId="7E7842F8" w14:textId="77777777" w:rsidR="00A82082" w:rsidRDefault="00A82082">
            <w:pPr>
              <w:rPr>
                <w:rFonts w:ascii="宋体"/>
              </w:rPr>
            </w:pPr>
          </w:p>
        </w:tc>
        <w:tc>
          <w:tcPr>
            <w:tcW w:w="5" w:type="pct"/>
            <w:shd w:val="clear" w:color="auto" w:fill="auto"/>
          </w:tcPr>
          <w:p w14:paraId="7E7842F9" w14:textId="77777777" w:rsidR="00A82082" w:rsidRDefault="00A82082">
            <w:pPr>
              <w:rPr>
                <w:rFonts w:ascii="宋体"/>
              </w:rPr>
            </w:pPr>
          </w:p>
        </w:tc>
        <w:tc>
          <w:tcPr>
            <w:tcW w:w="50" w:type="pct"/>
            <w:shd w:val="clear" w:color="auto" w:fill="auto"/>
          </w:tcPr>
          <w:p w14:paraId="7E7842FA" w14:textId="77777777" w:rsidR="00A82082" w:rsidRDefault="00A82082">
            <w:pPr>
              <w:rPr>
                <w:rFonts w:ascii="宋体"/>
              </w:rPr>
            </w:pPr>
          </w:p>
        </w:tc>
        <w:tc>
          <w:tcPr>
            <w:tcW w:w="348" w:type="pct"/>
            <w:shd w:val="clear" w:color="auto" w:fill="auto"/>
          </w:tcPr>
          <w:p w14:paraId="7E7842FB" w14:textId="77777777" w:rsidR="00A82082" w:rsidRDefault="00A82082">
            <w:pPr>
              <w:rPr>
                <w:rFonts w:ascii="宋体"/>
              </w:rPr>
            </w:pPr>
          </w:p>
        </w:tc>
        <w:tc>
          <w:tcPr>
            <w:tcW w:w="5" w:type="pct"/>
            <w:shd w:val="clear" w:color="auto" w:fill="auto"/>
          </w:tcPr>
          <w:p w14:paraId="7E7842FC" w14:textId="77777777" w:rsidR="00A82082" w:rsidRDefault="00A82082">
            <w:pPr>
              <w:rPr>
                <w:rFonts w:ascii="宋体"/>
              </w:rPr>
            </w:pPr>
          </w:p>
        </w:tc>
        <w:tc>
          <w:tcPr>
            <w:tcW w:w="0" w:type="auto"/>
            <w:shd w:val="clear" w:color="auto" w:fill="auto"/>
          </w:tcPr>
          <w:p w14:paraId="7E7842FD" w14:textId="77777777" w:rsidR="00A82082" w:rsidRDefault="00A82082">
            <w:pPr>
              <w:rPr>
                <w:rFonts w:ascii="宋体"/>
                <w:vanish/>
              </w:rPr>
            </w:pPr>
          </w:p>
        </w:tc>
        <w:tc>
          <w:tcPr>
            <w:tcW w:w="0" w:type="auto"/>
            <w:shd w:val="clear" w:color="auto" w:fill="auto"/>
          </w:tcPr>
          <w:p w14:paraId="7E7842FE" w14:textId="77777777" w:rsidR="00A82082" w:rsidRDefault="00A82082">
            <w:pPr>
              <w:rPr>
                <w:rFonts w:ascii="宋体"/>
                <w:vanish/>
              </w:rPr>
            </w:pPr>
          </w:p>
        </w:tc>
        <w:tc>
          <w:tcPr>
            <w:tcW w:w="0" w:type="auto"/>
            <w:shd w:val="clear" w:color="auto" w:fill="auto"/>
          </w:tcPr>
          <w:p w14:paraId="7E7842FF" w14:textId="77777777" w:rsidR="00A82082" w:rsidRDefault="00A82082">
            <w:pPr>
              <w:rPr>
                <w:rFonts w:ascii="宋体"/>
                <w:vanish/>
              </w:rPr>
            </w:pPr>
          </w:p>
        </w:tc>
      </w:tr>
      <w:tr w:rsidR="00A82082" w14:paraId="7E784314" w14:textId="77777777">
        <w:tc>
          <w:tcPr>
            <w:tcW w:w="0" w:type="auto"/>
            <w:gridSpan w:val="3"/>
            <w:shd w:val="clear" w:color="auto" w:fill="auto"/>
            <w:tcMar>
              <w:top w:w="0" w:type="dxa"/>
              <w:left w:w="20" w:type="dxa"/>
              <w:bottom w:w="0" w:type="dxa"/>
              <w:right w:w="20" w:type="dxa"/>
            </w:tcMar>
          </w:tcPr>
          <w:p w14:paraId="7E78430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2"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3"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4"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0A" w14:textId="77777777" w:rsidR="00A82082" w:rsidRDefault="00E946F9">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tcPr>
          <w:p w14:paraId="7E78430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0C" w14:textId="77777777" w:rsidR="00A82082" w:rsidRDefault="00E946F9">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7E78430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0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0" w14:textId="77777777" w:rsidR="00A82082" w:rsidRDefault="00A82082">
            <w:pPr>
              <w:rPr>
                <w:rFonts w:ascii="宋体"/>
              </w:rPr>
            </w:pPr>
          </w:p>
        </w:tc>
        <w:tc>
          <w:tcPr>
            <w:tcW w:w="0" w:type="auto"/>
            <w:shd w:val="clear" w:color="auto" w:fill="auto"/>
          </w:tcPr>
          <w:p w14:paraId="7E784311" w14:textId="77777777" w:rsidR="00A82082" w:rsidRDefault="00A82082">
            <w:pPr>
              <w:rPr>
                <w:rFonts w:ascii="宋体"/>
                <w:vanish/>
              </w:rPr>
            </w:pPr>
          </w:p>
        </w:tc>
        <w:tc>
          <w:tcPr>
            <w:tcW w:w="0" w:type="auto"/>
            <w:shd w:val="clear" w:color="auto" w:fill="auto"/>
          </w:tcPr>
          <w:p w14:paraId="7E784312" w14:textId="77777777" w:rsidR="00A82082" w:rsidRDefault="00A82082">
            <w:pPr>
              <w:rPr>
                <w:rFonts w:ascii="宋体"/>
                <w:vanish/>
              </w:rPr>
            </w:pPr>
          </w:p>
        </w:tc>
        <w:tc>
          <w:tcPr>
            <w:tcW w:w="0" w:type="auto"/>
            <w:shd w:val="clear" w:color="auto" w:fill="auto"/>
          </w:tcPr>
          <w:p w14:paraId="7E784313" w14:textId="77777777" w:rsidR="00A82082" w:rsidRDefault="00A82082">
            <w:pPr>
              <w:rPr>
                <w:rFonts w:ascii="宋体"/>
                <w:vanish/>
              </w:rPr>
            </w:pPr>
          </w:p>
        </w:tc>
      </w:tr>
      <w:tr w:rsidR="00A82082" w14:paraId="7E784328" w14:textId="77777777">
        <w:tc>
          <w:tcPr>
            <w:tcW w:w="0" w:type="auto"/>
            <w:gridSpan w:val="3"/>
            <w:shd w:val="clear" w:color="auto" w:fill="auto"/>
            <w:tcMar>
              <w:top w:w="0" w:type="dxa"/>
              <w:left w:w="20" w:type="dxa"/>
              <w:bottom w:w="0" w:type="dxa"/>
              <w:right w:w="20" w:type="dxa"/>
            </w:tcMar>
          </w:tcPr>
          <w:p w14:paraId="7E78431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1A" w14:textId="77777777" w:rsidR="00A82082" w:rsidRDefault="00E946F9">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tcPr>
          <w:p w14:paraId="7E78431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1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1E" w14:textId="77777777" w:rsidR="00A82082" w:rsidRDefault="00E946F9">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tcPr>
          <w:p w14:paraId="7E78431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20" w14:textId="77777777" w:rsidR="00A82082" w:rsidRDefault="00E946F9">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tcPr>
          <w:p w14:paraId="7E78432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22"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23"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324" w14:textId="77777777" w:rsidR="00A82082" w:rsidRDefault="00A82082">
            <w:pPr>
              <w:rPr>
                <w:rFonts w:ascii="宋体"/>
              </w:rPr>
            </w:pPr>
          </w:p>
        </w:tc>
        <w:tc>
          <w:tcPr>
            <w:tcW w:w="0" w:type="auto"/>
            <w:shd w:val="clear" w:color="auto" w:fill="auto"/>
          </w:tcPr>
          <w:p w14:paraId="7E784325" w14:textId="77777777" w:rsidR="00A82082" w:rsidRDefault="00A82082">
            <w:pPr>
              <w:rPr>
                <w:rFonts w:ascii="宋体"/>
                <w:vanish/>
              </w:rPr>
            </w:pPr>
          </w:p>
        </w:tc>
        <w:tc>
          <w:tcPr>
            <w:tcW w:w="0" w:type="auto"/>
            <w:shd w:val="clear" w:color="auto" w:fill="auto"/>
          </w:tcPr>
          <w:p w14:paraId="7E784326" w14:textId="77777777" w:rsidR="00A82082" w:rsidRDefault="00A82082">
            <w:pPr>
              <w:rPr>
                <w:rFonts w:ascii="宋体"/>
                <w:vanish/>
              </w:rPr>
            </w:pPr>
          </w:p>
        </w:tc>
        <w:tc>
          <w:tcPr>
            <w:tcW w:w="0" w:type="auto"/>
            <w:shd w:val="clear" w:color="auto" w:fill="auto"/>
          </w:tcPr>
          <w:p w14:paraId="7E784327" w14:textId="77777777" w:rsidR="00A82082" w:rsidRDefault="00A82082">
            <w:pPr>
              <w:rPr>
                <w:rFonts w:ascii="宋体"/>
                <w:vanish/>
              </w:rPr>
            </w:pPr>
          </w:p>
        </w:tc>
      </w:tr>
      <w:tr w:rsidR="00A82082" w14:paraId="7E78433A"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7E784329" w14:textId="77777777" w:rsidR="00A82082" w:rsidRDefault="00E946F9">
            <w:pPr>
              <w:textAlignment w:val="bottom"/>
            </w:pPr>
            <w:r>
              <w:rPr>
                <w:rFonts w:ascii="Times New Roman" w:eastAsia="宋体" w:hAnsi="Times New Roman"/>
                <w:i/>
                <w:iCs/>
                <w:color w:val="000000"/>
                <w:sz w:val="16"/>
                <w:szCs w:val="16"/>
              </w:rPr>
              <w:t>(Amo</w:t>
            </w:r>
            <w:r>
              <w:rPr>
                <w:rFonts w:ascii="Times New Roman" w:eastAsia="宋体" w:hAnsi="Times New Roman"/>
                <w:i/>
                <w:iCs/>
                <w:color w:val="000000"/>
                <w:sz w:val="16"/>
                <w:szCs w:val="16"/>
              </w:rPr>
              <w:t>unts in millions)</w:t>
            </w:r>
          </w:p>
        </w:tc>
        <w:tc>
          <w:tcPr>
            <w:tcW w:w="0" w:type="auto"/>
            <w:gridSpan w:val="9"/>
            <w:shd w:val="clear" w:color="auto" w:fill="auto"/>
            <w:tcMar>
              <w:top w:w="40" w:type="dxa"/>
              <w:left w:w="20" w:type="dxa"/>
              <w:bottom w:w="40" w:type="dxa"/>
              <w:right w:w="20" w:type="dxa"/>
            </w:tcMar>
            <w:vAlign w:val="bottom"/>
          </w:tcPr>
          <w:p w14:paraId="7E78432A" w14:textId="77777777" w:rsidR="00A82082" w:rsidRDefault="00E946F9">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tcPr>
          <w:p w14:paraId="7E78432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2C" w14:textId="77777777" w:rsidR="00A82082" w:rsidRDefault="00E946F9">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tcPr>
          <w:p w14:paraId="7E78432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2E" w14:textId="77777777" w:rsidR="00A82082" w:rsidRDefault="00E946F9">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tcPr>
          <w:p w14:paraId="7E78432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30" w14:textId="77777777" w:rsidR="00A82082" w:rsidRDefault="00E946F9">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tcPr>
          <w:p w14:paraId="7E78433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32" w14:textId="77777777" w:rsidR="00A82082" w:rsidRDefault="00E946F9">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tcPr>
          <w:p w14:paraId="7E78433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34" w14:textId="77777777" w:rsidR="00A82082" w:rsidRDefault="00E946F9">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tcPr>
          <w:p w14:paraId="7E78433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36" w14:textId="77777777" w:rsidR="00A82082" w:rsidRDefault="00E946F9">
            <w:pPr>
              <w:jc w:val="center"/>
              <w:textAlignment w:val="bottom"/>
            </w:pPr>
            <w:r>
              <w:rPr>
                <w:rFonts w:ascii="Times New Roman" w:eastAsia="宋体" w:hAnsi="Times New Roman"/>
                <w:b/>
                <w:bCs/>
                <w:color w:val="000000"/>
                <w:sz w:val="16"/>
                <w:szCs w:val="16"/>
              </w:rPr>
              <w:t>Total</w:t>
            </w:r>
          </w:p>
        </w:tc>
        <w:tc>
          <w:tcPr>
            <w:tcW w:w="0" w:type="auto"/>
            <w:shd w:val="clear" w:color="auto" w:fill="auto"/>
          </w:tcPr>
          <w:p w14:paraId="7E784337" w14:textId="77777777" w:rsidR="00A82082" w:rsidRDefault="00A82082">
            <w:pPr>
              <w:rPr>
                <w:rFonts w:ascii="宋体"/>
                <w:vanish/>
              </w:rPr>
            </w:pPr>
          </w:p>
        </w:tc>
        <w:tc>
          <w:tcPr>
            <w:tcW w:w="0" w:type="auto"/>
            <w:shd w:val="clear" w:color="auto" w:fill="auto"/>
          </w:tcPr>
          <w:p w14:paraId="7E784338" w14:textId="77777777" w:rsidR="00A82082" w:rsidRDefault="00A82082">
            <w:pPr>
              <w:rPr>
                <w:rFonts w:ascii="宋体"/>
                <w:vanish/>
              </w:rPr>
            </w:pPr>
          </w:p>
        </w:tc>
        <w:tc>
          <w:tcPr>
            <w:tcW w:w="0" w:type="auto"/>
            <w:shd w:val="clear" w:color="auto" w:fill="auto"/>
          </w:tcPr>
          <w:p w14:paraId="7E784339" w14:textId="77777777" w:rsidR="00A82082" w:rsidRDefault="00A82082">
            <w:pPr>
              <w:rPr>
                <w:rFonts w:ascii="宋体"/>
                <w:vanish/>
              </w:rPr>
            </w:pPr>
          </w:p>
        </w:tc>
      </w:tr>
      <w:tr w:rsidR="00A82082" w14:paraId="7E78434E" w14:textId="77777777">
        <w:trPr>
          <w:trHeight w:val="180"/>
        </w:trPr>
        <w:tc>
          <w:tcPr>
            <w:tcW w:w="0" w:type="auto"/>
            <w:gridSpan w:val="3"/>
            <w:vMerge/>
            <w:shd w:val="clear" w:color="auto" w:fill="auto"/>
            <w:tcMar>
              <w:top w:w="40" w:type="dxa"/>
              <w:left w:w="20" w:type="dxa"/>
              <w:bottom w:w="40" w:type="dxa"/>
              <w:right w:w="20" w:type="dxa"/>
            </w:tcMar>
            <w:vAlign w:val="bottom"/>
          </w:tcPr>
          <w:p w14:paraId="7E78433B"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33C" w14:textId="77777777" w:rsidR="00A82082" w:rsidRDefault="00E946F9">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78433D"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33E" w14:textId="77777777" w:rsidR="00A82082" w:rsidRDefault="00E946F9">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tcPr>
          <w:p w14:paraId="7E78433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0" w14:textId="77777777" w:rsidR="00A82082" w:rsidRDefault="00E946F9">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tcPr>
          <w:p w14:paraId="7E78434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2" w14:textId="77777777" w:rsidR="00A82082" w:rsidRDefault="00E946F9">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tcPr>
          <w:p w14:paraId="7E78434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4" w14:textId="77777777" w:rsidR="00A82082" w:rsidRDefault="00E946F9">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tcPr>
          <w:p w14:paraId="7E78434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6" w14:textId="77777777" w:rsidR="00A82082" w:rsidRDefault="00E946F9">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tcPr>
          <w:p w14:paraId="7E78434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8" w14:textId="77777777" w:rsidR="00A82082" w:rsidRDefault="00E946F9">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tcPr>
          <w:p w14:paraId="7E78434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34A" w14:textId="77777777" w:rsidR="00A82082" w:rsidRDefault="00E946F9">
            <w:pPr>
              <w:jc w:val="center"/>
              <w:textAlignment w:val="bottom"/>
            </w:pPr>
            <w:r>
              <w:rPr>
                <w:rFonts w:ascii="Times New Roman" w:eastAsia="宋体" w:hAnsi="Times New Roman"/>
                <w:b/>
                <w:bCs/>
                <w:color w:val="000000"/>
                <w:sz w:val="16"/>
                <w:szCs w:val="16"/>
              </w:rPr>
              <w:t>Equity</w:t>
            </w:r>
          </w:p>
        </w:tc>
        <w:tc>
          <w:tcPr>
            <w:tcW w:w="0" w:type="auto"/>
            <w:shd w:val="clear" w:color="auto" w:fill="auto"/>
          </w:tcPr>
          <w:p w14:paraId="7E78434B" w14:textId="77777777" w:rsidR="00A82082" w:rsidRDefault="00A82082">
            <w:pPr>
              <w:rPr>
                <w:rFonts w:ascii="宋体"/>
                <w:vanish/>
              </w:rPr>
            </w:pPr>
          </w:p>
        </w:tc>
        <w:tc>
          <w:tcPr>
            <w:tcW w:w="0" w:type="auto"/>
            <w:shd w:val="clear" w:color="auto" w:fill="auto"/>
          </w:tcPr>
          <w:p w14:paraId="7E78434C" w14:textId="77777777" w:rsidR="00A82082" w:rsidRDefault="00A82082">
            <w:pPr>
              <w:rPr>
                <w:rFonts w:ascii="宋体"/>
                <w:vanish/>
              </w:rPr>
            </w:pPr>
          </w:p>
        </w:tc>
        <w:tc>
          <w:tcPr>
            <w:tcW w:w="0" w:type="auto"/>
            <w:shd w:val="clear" w:color="auto" w:fill="auto"/>
          </w:tcPr>
          <w:p w14:paraId="7E78434D" w14:textId="77777777" w:rsidR="00A82082" w:rsidRDefault="00A82082">
            <w:pPr>
              <w:rPr>
                <w:rFonts w:ascii="宋体"/>
                <w:vanish/>
              </w:rPr>
            </w:pPr>
          </w:p>
        </w:tc>
      </w:tr>
      <w:tr w:rsidR="00E946F9" w14:paraId="7E784371" w14:textId="77777777">
        <w:tc>
          <w:tcPr>
            <w:tcW w:w="0" w:type="auto"/>
            <w:gridSpan w:val="3"/>
            <w:shd w:val="clear" w:color="auto" w:fill="CCEEFF"/>
            <w:tcMar>
              <w:top w:w="40" w:type="dxa"/>
              <w:left w:w="20" w:type="dxa"/>
              <w:bottom w:w="40" w:type="dxa"/>
              <w:right w:w="20" w:type="dxa"/>
            </w:tcMar>
            <w:vAlign w:val="center"/>
          </w:tcPr>
          <w:p w14:paraId="7E78434F" w14:textId="77777777" w:rsidR="00A82082" w:rsidRDefault="00E946F9">
            <w:pPr>
              <w:textAlignment w:val="center"/>
            </w:pPr>
            <w:r>
              <w:rPr>
                <w:rFonts w:ascii="Times New Roman" w:eastAsia="宋体" w:hAnsi="Times New Roman"/>
                <w:b/>
                <w:bCs/>
                <w:color w:val="000000"/>
                <w:sz w:val="16"/>
                <w:szCs w:val="16"/>
              </w:rPr>
              <w:t>Balances as of February 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350" w14:textId="77777777" w:rsidR="00A82082" w:rsidRDefault="00E946F9">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5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52"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5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54" w14:textId="77777777" w:rsidR="00A82082" w:rsidRDefault="00E946F9">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5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56"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5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58" w14:textId="77777777" w:rsidR="00A82082" w:rsidRDefault="00E946F9">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5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5A"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5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5C" w14:textId="77777777" w:rsidR="00A82082" w:rsidRDefault="00E946F9">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5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5E"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5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60" w14:textId="77777777" w:rsidR="00A82082" w:rsidRDefault="00E946F9">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6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62"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6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64" w14:textId="77777777" w:rsidR="00A82082" w:rsidRDefault="00E946F9">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6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66"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6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68" w14:textId="77777777" w:rsidR="00A82082" w:rsidRDefault="00E946F9">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6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6A"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36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36C" w14:textId="77777777" w:rsidR="00A82082" w:rsidRDefault="00E946F9">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36D" w14:textId="77777777" w:rsidR="00A82082" w:rsidRDefault="00A82082">
            <w:pPr>
              <w:jc w:val="right"/>
              <w:rPr>
                <w:rFonts w:ascii="宋体"/>
              </w:rPr>
            </w:pPr>
          </w:p>
        </w:tc>
        <w:tc>
          <w:tcPr>
            <w:tcW w:w="0" w:type="auto"/>
            <w:shd w:val="clear" w:color="auto" w:fill="auto"/>
          </w:tcPr>
          <w:p w14:paraId="7E78436E" w14:textId="77777777" w:rsidR="00A82082" w:rsidRDefault="00A82082">
            <w:pPr>
              <w:rPr>
                <w:rFonts w:ascii="宋体"/>
                <w:vanish/>
              </w:rPr>
            </w:pPr>
          </w:p>
        </w:tc>
        <w:tc>
          <w:tcPr>
            <w:tcW w:w="0" w:type="auto"/>
            <w:shd w:val="clear" w:color="auto" w:fill="auto"/>
          </w:tcPr>
          <w:p w14:paraId="7E78436F" w14:textId="77777777" w:rsidR="00A82082" w:rsidRDefault="00A82082">
            <w:pPr>
              <w:rPr>
                <w:rFonts w:ascii="宋体"/>
                <w:vanish/>
              </w:rPr>
            </w:pPr>
          </w:p>
        </w:tc>
        <w:tc>
          <w:tcPr>
            <w:tcW w:w="0" w:type="auto"/>
            <w:shd w:val="clear" w:color="auto" w:fill="auto"/>
          </w:tcPr>
          <w:p w14:paraId="7E784370" w14:textId="77777777" w:rsidR="00A82082" w:rsidRDefault="00A82082">
            <w:pPr>
              <w:rPr>
                <w:rFonts w:ascii="宋体"/>
                <w:vanish/>
              </w:rPr>
            </w:pPr>
          </w:p>
        </w:tc>
      </w:tr>
      <w:tr w:rsidR="00A82082" w14:paraId="7E784385" w14:textId="77777777">
        <w:trPr>
          <w:hidden/>
        </w:trPr>
        <w:tc>
          <w:tcPr>
            <w:tcW w:w="0" w:type="auto"/>
            <w:gridSpan w:val="3"/>
            <w:shd w:val="clear" w:color="auto" w:fill="auto"/>
          </w:tcPr>
          <w:p w14:paraId="7E784372" w14:textId="77777777" w:rsidR="00A82082" w:rsidRDefault="00A82082">
            <w:pPr>
              <w:rPr>
                <w:rFonts w:ascii="宋体"/>
                <w:vanish/>
              </w:rPr>
            </w:pPr>
          </w:p>
        </w:tc>
        <w:tc>
          <w:tcPr>
            <w:tcW w:w="0" w:type="auto"/>
            <w:gridSpan w:val="3"/>
            <w:shd w:val="clear" w:color="auto" w:fill="auto"/>
          </w:tcPr>
          <w:p w14:paraId="7E784373" w14:textId="77777777" w:rsidR="00A82082" w:rsidRDefault="00A82082">
            <w:pPr>
              <w:rPr>
                <w:rFonts w:ascii="宋体"/>
                <w:vanish/>
              </w:rPr>
            </w:pPr>
          </w:p>
        </w:tc>
        <w:tc>
          <w:tcPr>
            <w:tcW w:w="0" w:type="auto"/>
            <w:gridSpan w:val="3"/>
            <w:shd w:val="clear" w:color="auto" w:fill="auto"/>
          </w:tcPr>
          <w:p w14:paraId="7E784374" w14:textId="77777777" w:rsidR="00A82082" w:rsidRDefault="00A82082">
            <w:pPr>
              <w:rPr>
                <w:rFonts w:ascii="宋体"/>
                <w:vanish/>
              </w:rPr>
            </w:pPr>
          </w:p>
        </w:tc>
        <w:tc>
          <w:tcPr>
            <w:tcW w:w="0" w:type="auto"/>
            <w:gridSpan w:val="3"/>
            <w:shd w:val="clear" w:color="auto" w:fill="auto"/>
          </w:tcPr>
          <w:p w14:paraId="7E784375" w14:textId="77777777" w:rsidR="00A82082" w:rsidRDefault="00A82082">
            <w:pPr>
              <w:rPr>
                <w:rFonts w:ascii="宋体"/>
                <w:vanish/>
              </w:rPr>
            </w:pPr>
          </w:p>
        </w:tc>
        <w:tc>
          <w:tcPr>
            <w:tcW w:w="0" w:type="auto"/>
            <w:gridSpan w:val="3"/>
            <w:shd w:val="clear" w:color="auto" w:fill="auto"/>
          </w:tcPr>
          <w:p w14:paraId="7E784376" w14:textId="77777777" w:rsidR="00A82082" w:rsidRDefault="00A82082">
            <w:pPr>
              <w:rPr>
                <w:rFonts w:ascii="宋体"/>
                <w:vanish/>
              </w:rPr>
            </w:pPr>
          </w:p>
        </w:tc>
        <w:tc>
          <w:tcPr>
            <w:tcW w:w="0" w:type="auto"/>
            <w:gridSpan w:val="3"/>
            <w:shd w:val="clear" w:color="auto" w:fill="auto"/>
          </w:tcPr>
          <w:p w14:paraId="7E784377" w14:textId="77777777" w:rsidR="00A82082" w:rsidRDefault="00A82082">
            <w:pPr>
              <w:rPr>
                <w:rFonts w:ascii="宋体"/>
                <w:vanish/>
              </w:rPr>
            </w:pPr>
          </w:p>
        </w:tc>
        <w:tc>
          <w:tcPr>
            <w:tcW w:w="0" w:type="auto"/>
            <w:gridSpan w:val="3"/>
            <w:shd w:val="clear" w:color="auto" w:fill="auto"/>
          </w:tcPr>
          <w:p w14:paraId="7E784378" w14:textId="77777777" w:rsidR="00A82082" w:rsidRDefault="00A82082">
            <w:pPr>
              <w:rPr>
                <w:rFonts w:ascii="宋体"/>
                <w:vanish/>
              </w:rPr>
            </w:pPr>
          </w:p>
        </w:tc>
        <w:tc>
          <w:tcPr>
            <w:tcW w:w="0" w:type="auto"/>
            <w:gridSpan w:val="3"/>
            <w:shd w:val="clear" w:color="auto" w:fill="auto"/>
          </w:tcPr>
          <w:p w14:paraId="7E784379" w14:textId="77777777" w:rsidR="00A82082" w:rsidRDefault="00A82082">
            <w:pPr>
              <w:rPr>
                <w:rFonts w:ascii="宋体"/>
                <w:vanish/>
              </w:rPr>
            </w:pPr>
          </w:p>
        </w:tc>
        <w:tc>
          <w:tcPr>
            <w:tcW w:w="0" w:type="auto"/>
            <w:gridSpan w:val="3"/>
            <w:shd w:val="clear" w:color="auto" w:fill="auto"/>
          </w:tcPr>
          <w:p w14:paraId="7E78437A" w14:textId="77777777" w:rsidR="00A82082" w:rsidRDefault="00A82082">
            <w:pPr>
              <w:rPr>
                <w:rFonts w:ascii="宋体"/>
                <w:vanish/>
              </w:rPr>
            </w:pPr>
          </w:p>
        </w:tc>
        <w:tc>
          <w:tcPr>
            <w:tcW w:w="0" w:type="auto"/>
            <w:gridSpan w:val="3"/>
            <w:shd w:val="clear" w:color="auto" w:fill="auto"/>
          </w:tcPr>
          <w:p w14:paraId="7E78437B" w14:textId="77777777" w:rsidR="00A82082" w:rsidRDefault="00A82082">
            <w:pPr>
              <w:rPr>
                <w:rFonts w:ascii="宋体"/>
                <w:vanish/>
              </w:rPr>
            </w:pPr>
          </w:p>
        </w:tc>
        <w:tc>
          <w:tcPr>
            <w:tcW w:w="0" w:type="auto"/>
            <w:gridSpan w:val="3"/>
            <w:shd w:val="clear" w:color="auto" w:fill="auto"/>
          </w:tcPr>
          <w:p w14:paraId="7E78437C" w14:textId="77777777" w:rsidR="00A82082" w:rsidRDefault="00A82082">
            <w:pPr>
              <w:rPr>
                <w:rFonts w:ascii="宋体"/>
                <w:vanish/>
              </w:rPr>
            </w:pPr>
          </w:p>
        </w:tc>
        <w:tc>
          <w:tcPr>
            <w:tcW w:w="0" w:type="auto"/>
            <w:gridSpan w:val="3"/>
            <w:shd w:val="clear" w:color="auto" w:fill="auto"/>
          </w:tcPr>
          <w:p w14:paraId="7E78437D" w14:textId="77777777" w:rsidR="00A82082" w:rsidRDefault="00A82082">
            <w:pPr>
              <w:rPr>
                <w:rFonts w:ascii="宋体"/>
                <w:vanish/>
              </w:rPr>
            </w:pPr>
          </w:p>
        </w:tc>
        <w:tc>
          <w:tcPr>
            <w:tcW w:w="0" w:type="auto"/>
            <w:gridSpan w:val="3"/>
            <w:shd w:val="clear" w:color="auto" w:fill="auto"/>
          </w:tcPr>
          <w:p w14:paraId="7E78437E" w14:textId="77777777" w:rsidR="00A82082" w:rsidRDefault="00A82082">
            <w:pPr>
              <w:rPr>
                <w:rFonts w:ascii="宋体"/>
                <w:vanish/>
              </w:rPr>
            </w:pPr>
          </w:p>
        </w:tc>
        <w:tc>
          <w:tcPr>
            <w:tcW w:w="0" w:type="auto"/>
            <w:gridSpan w:val="3"/>
            <w:shd w:val="clear" w:color="auto" w:fill="auto"/>
          </w:tcPr>
          <w:p w14:paraId="7E78437F" w14:textId="77777777" w:rsidR="00A82082" w:rsidRDefault="00A82082">
            <w:pPr>
              <w:rPr>
                <w:rFonts w:ascii="宋体"/>
                <w:vanish/>
              </w:rPr>
            </w:pPr>
          </w:p>
        </w:tc>
        <w:tc>
          <w:tcPr>
            <w:tcW w:w="0" w:type="auto"/>
            <w:gridSpan w:val="3"/>
            <w:shd w:val="clear" w:color="auto" w:fill="auto"/>
          </w:tcPr>
          <w:p w14:paraId="7E784380" w14:textId="77777777" w:rsidR="00A82082" w:rsidRDefault="00A82082">
            <w:pPr>
              <w:rPr>
                <w:rFonts w:ascii="宋体"/>
                <w:vanish/>
              </w:rPr>
            </w:pPr>
          </w:p>
        </w:tc>
        <w:tc>
          <w:tcPr>
            <w:tcW w:w="0" w:type="auto"/>
            <w:gridSpan w:val="3"/>
            <w:shd w:val="clear" w:color="auto" w:fill="auto"/>
          </w:tcPr>
          <w:p w14:paraId="7E784381" w14:textId="77777777" w:rsidR="00A82082" w:rsidRDefault="00A82082">
            <w:pPr>
              <w:rPr>
                <w:rFonts w:ascii="宋体"/>
                <w:vanish/>
              </w:rPr>
            </w:pPr>
          </w:p>
        </w:tc>
        <w:tc>
          <w:tcPr>
            <w:tcW w:w="0" w:type="auto"/>
            <w:shd w:val="clear" w:color="auto" w:fill="auto"/>
          </w:tcPr>
          <w:p w14:paraId="7E784382" w14:textId="77777777" w:rsidR="00A82082" w:rsidRDefault="00A82082">
            <w:pPr>
              <w:rPr>
                <w:rFonts w:ascii="宋体"/>
                <w:vanish/>
              </w:rPr>
            </w:pPr>
          </w:p>
        </w:tc>
        <w:tc>
          <w:tcPr>
            <w:tcW w:w="0" w:type="auto"/>
            <w:shd w:val="clear" w:color="auto" w:fill="auto"/>
          </w:tcPr>
          <w:p w14:paraId="7E784383" w14:textId="77777777" w:rsidR="00A82082" w:rsidRDefault="00A82082">
            <w:pPr>
              <w:rPr>
                <w:rFonts w:ascii="宋体"/>
                <w:vanish/>
              </w:rPr>
            </w:pPr>
          </w:p>
        </w:tc>
        <w:tc>
          <w:tcPr>
            <w:tcW w:w="0" w:type="auto"/>
            <w:shd w:val="clear" w:color="auto" w:fill="auto"/>
          </w:tcPr>
          <w:p w14:paraId="7E784384" w14:textId="77777777" w:rsidR="00A82082" w:rsidRDefault="00A82082">
            <w:pPr>
              <w:rPr>
                <w:rFonts w:ascii="宋体"/>
                <w:vanish/>
              </w:rPr>
            </w:pPr>
          </w:p>
        </w:tc>
      </w:tr>
      <w:tr w:rsidR="00A82082" w14:paraId="7E7843A1" w14:textId="77777777">
        <w:tc>
          <w:tcPr>
            <w:tcW w:w="0" w:type="auto"/>
            <w:gridSpan w:val="3"/>
            <w:shd w:val="clear" w:color="auto" w:fill="FFFFFF"/>
            <w:tcMar>
              <w:top w:w="40" w:type="dxa"/>
              <w:left w:w="20" w:type="dxa"/>
              <w:bottom w:w="40" w:type="dxa"/>
              <w:right w:w="20" w:type="dxa"/>
            </w:tcMar>
            <w:vAlign w:val="center"/>
          </w:tcPr>
          <w:p w14:paraId="7E784386"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7E78438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38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8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8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38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8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8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38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8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90" w14:textId="77777777" w:rsidR="00A82082" w:rsidRDefault="00E946F9">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7E78439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9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9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39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9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96" w14:textId="77777777" w:rsidR="00A82082" w:rsidRDefault="00E946F9">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7E78439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9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99" w14:textId="77777777" w:rsidR="00A82082" w:rsidRDefault="00E946F9">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7E78439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39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39C" w14:textId="77777777" w:rsidR="00A82082" w:rsidRDefault="00E946F9">
            <w:pPr>
              <w:jc w:val="right"/>
              <w:textAlignment w:val="center"/>
            </w:pPr>
            <w:r>
              <w:rPr>
                <w:rFonts w:ascii="Times New Roman" w:eastAsia="宋体" w:hAnsi="Times New Roman"/>
                <w:color w:val="000000"/>
                <w:sz w:val="16"/>
                <w:szCs w:val="16"/>
              </w:rPr>
              <w:t>4,074 </w:t>
            </w:r>
          </w:p>
        </w:tc>
        <w:tc>
          <w:tcPr>
            <w:tcW w:w="0" w:type="auto"/>
            <w:shd w:val="clear" w:color="auto" w:fill="FFFFFF"/>
            <w:tcMar>
              <w:top w:w="40" w:type="dxa"/>
              <w:left w:w="0" w:type="dxa"/>
              <w:bottom w:w="40" w:type="dxa"/>
              <w:right w:w="20" w:type="dxa"/>
            </w:tcMar>
            <w:vAlign w:val="center"/>
          </w:tcPr>
          <w:p w14:paraId="7E78439D" w14:textId="77777777" w:rsidR="00A82082" w:rsidRDefault="00A82082">
            <w:pPr>
              <w:jc w:val="right"/>
              <w:rPr>
                <w:rFonts w:ascii="宋体"/>
              </w:rPr>
            </w:pPr>
          </w:p>
        </w:tc>
        <w:tc>
          <w:tcPr>
            <w:tcW w:w="0" w:type="auto"/>
            <w:shd w:val="clear" w:color="auto" w:fill="auto"/>
          </w:tcPr>
          <w:p w14:paraId="7E78439E" w14:textId="77777777" w:rsidR="00A82082" w:rsidRDefault="00A82082">
            <w:pPr>
              <w:rPr>
                <w:rFonts w:ascii="宋体"/>
                <w:vanish/>
              </w:rPr>
            </w:pPr>
          </w:p>
        </w:tc>
        <w:tc>
          <w:tcPr>
            <w:tcW w:w="0" w:type="auto"/>
            <w:shd w:val="clear" w:color="auto" w:fill="auto"/>
          </w:tcPr>
          <w:p w14:paraId="7E78439F" w14:textId="77777777" w:rsidR="00A82082" w:rsidRDefault="00A82082">
            <w:pPr>
              <w:rPr>
                <w:rFonts w:ascii="宋体"/>
                <w:vanish/>
              </w:rPr>
            </w:pPr>
          </w:p>
        </w:tc>
        <w:tc>
          <w:tcPr>
            <w:tcW w:w="0" w:type="auto"/>
            <w:shd w:val="clear" w:color="auto" w:fill="auto"/>
          </w:tcPr>
          <w:p w14:paraId="7E7843A0" w14:textId="77777777" w:rsidR="00A82082" w:rsidRDefault="00A82082">
            <w:pPr>
              <w:rPr>
                <w:rFonts w:ascii="宋体"/>
                <w:vanish/>
              </w:rPr>
            </w:pPr>
          </w:p>
        </w:tc>
      </w:tr>
      <w:tr w:rsidR="00A82082" w14:paraId="7E7843BD" w14:textId="77777777">
        <w:tc>
          <w:tcPr>
            <w:tcW w:w="0" w:type="auto"/>
            <w:gridSpan w:val="3"/>
            <w:shd w:val="clear" w:color="auto" w:fill="CCEEFF"/>
            <w:tcMar>
              <w:top w:w="40" w:type="dxa"/>
              <w:left w:w="20" w:type="dxa"/>
              <w:bottom w:w="40" w:type="dxa"/>
              <w:right w:w="20" w:type="dxa"/>
            </w:tcMar>
            <w:vAlign w:val="center"/>
          </w:tcPr>
          <w:p w14:paraId="7E7843A2" w14:textId="77777777" w:rsidR="00A82082" w:rsidRDefault="00E946F9">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CCEEFF"/>
            <w:tcMar>
              <w:top w:w="40" w:type="dxa"/>
              <w:left w:w="20" w:type="dxa"/>
              <w:bottom w:w="40" w:type="dxa"/>
              <w:right w:w="0" w:type="dxa"/>
            </w:tcMar>
            <w:vAlign w:val="center"/>
          </w:tcPr>
          <w:p w14:paraId="7E7843A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3A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A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A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3A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A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A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3A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A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A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3A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A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AF" w14:textId="77777777" w:rsidR="00A82082" w:rsidRDefault="00E946F9">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7E7843B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B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B2" w14:textId="77777777" w:rsidR="00A82082" w:rsidRDefault="00E946F9">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7E7843B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B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B5" w14:textId="77777777" w:rsidR="00A82082" w:rsidRDefault="00E946F9">
            <w:pPr>
              <w:jc w:val="right"/>
              <w:textAlignment w:val="center"/>
            </w:pPr>
            <w:r>
              <w:rPr>
                <w:rFonts w:ascii="Times New Roman" w:eastAsia="宋体" w:hAnsi="Times New Roman"/>
                <w:color w:val="000000"/>
                <w:sz w:val="16"/>
                <w:szCs w:val="16"/>
              </w:rPr>
              <w:t>(712)</w:t>
            </w:r>
          </w:p>
        </w:tc>
        <w:tc>
          <w:tcPr>
            <w:tcW w:w="0" w:type="auto"/>
            <w:shd w:val="clear" w:color="auto" w:fill="CCEEFF"/>
            <w:tcMar>
              <w:top w:w="40" w:type="dxa"/>
              <w:left w:w="0" w:type="dxa"/>
              <w:bottom w:w="40" w:type="dxa"/>
              <w:right w:w="20" w:type="dxa"/>
            </w:tcMar>
            <w:vAlign w:val="center"/>
          </w:tcPr>
          <w:p w14:paraId="7E7843B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3B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3B8" w14:textId="77777777" w:rsidR="00A82082" w:rsidRDefault="00E946F9">
            <w:pPr>
              <w:jc w:val="right"/>
              <w:textAlignment w:val="center"/>
            </w:pPr>
            <w:r>
              <w:rPr>
                <w:rFonts w:ascii="Times New Roman" w:eastAsia="宋体" w:hAnsi="Times New Roman"/>
                <w:color w:val="000000"/>
                <w:sz w:val="16"/>
                <w:szCs w:val="16"/>
              </w:rPr>
              <w:t>(4,075)</w:t>
            </w:r>
          </w:p>
        </w:tc>
        <w:tc>
          <w:tcPr>
            <w:tcW w:w="0" w:type="auto"/>
            <w:shd w:val="clear" w:color="auto" w:fill="CCEEFF"/>
            <w:tcMar>
              <w:top w:w="40" w:type="dxa"/>
              <w:left w:w="0" w:type="dxa"/>
              <w:bottom w:w="40" w:type="dxa"/>
              <w:right w:w="20" w:type="dxa"/>
            </w:tcMar>
            <w:vAlign w:val="center"/>
          </w:tcPr>
          <w:p w14:paraId="7E7843B9" w14:textId="77777777" w:rsidR="00A82082" w:rsidRDefault="00A82082">
            <w:pPr>
              <w:jc w:val="right"/>
              <w:rPr>
                <w:rFonts w:ascii="宋体"/>
              </w:rPr>
            </w:pPr>
          </w:p>
        </w:tc>
        <w:tc>
          <w:tcPr>
            <w:tcW w:w="0" w:type="auto"/>
            <w:shd w:val="clear" w:color="auto" w:fill="auto"/>
          </w:tcPr>
          <w:p w14:paraId="7E7843BA" w14:textId="77777777" w:rsidR="00A82082" w:rsidRDefault="00A82082">
            <w:pPr>
              <w:rPr>
                <w:rFonts w:ascii="宋体"/>
                <w:vanish/>
              </w:rPr>
            </w:pPr>
          </w:p>
        </w:tc>
        <w:tc>
          <w:tcPr>
            <w:tcW w:w="0" w:type="auto"/>
            <w:shd w:val="clear" w:color="auto" w:fill="auto"/>
          </w:tcPr>
          <w:p w14:paraId="7E7843BB" w14:textId="77777777" w:rsidR="00A82082" w:rsidRDefault="00A82082">
            <w:pPr>
              <w:rPr>
                <w:rFonts w:ascii="宋体"/>
                <w:vanish/>
              </w:rPr>
            </w:pPr>
          </w:p>
        </w:tc>
        <w:tc>
          <w:tcPr>
            <w:tcW w:w="0" w:type="auto"/>
            <w:shd w:val="clear" w:color="auto" w:fill="auto"/>
          </w:tcPr>
          <w:p w14:paraId="7E7843BC" w14:textId="77777777" w:rsidR="00A82082" w:rsidRDefault="00A82082">
            <w:pPr>
              <w:rPr>
                <w:rFonts w:ascii="宋体"/>
                <w:vanish/>
              </w:rPr>
            </w:pPr>
          </w:p>
        </w:tc>
      </w:tr>
      <w:tr w:rsidR="00A82082" w14:paraId="7E7843D1" w14:textId="77777777">
        <w:trPr>
          <w:hidden/>
        </w:trPr>
        <w:tc>
          <w:tcPr>
            <w:tcW w:w="0" w:type="auto"/>
            <w:gridSpan w:val="3"/>
            <w:shd w:val="clear" w:color="auto" w:fill="auto"/>
          </w:tcPr>
          <w:p w14:paraId="7E7843BE" w14:textId="77777777" w:rsidR="00A82082" w:rsidRDefault="00A82082">
            <w:pPr>
              <w:rPr>
                <w:rFonts w:ascii="宋体"/>
                <w:vanish/>
              </w:rPr>
            </w:pPr>
          </w:p>
        </w:tc>
        <w:tc>
          <w:tcPr>
            <w:tcW w:w="0" w:type="auto"/>
            <w:gridSpan w:val="3"/>
            <w:shd w:val="clear" w:color="auto" w:fill="auto"/>
          </w:tcPr>
          <w:p w14:paraId="7E7843BF" w14:textId="77777777" w:rsidR="00A82082" w:rsidRDefault="00A82082">
            <w:pPr>
              <w:rPr>
                <w:rFonts w:ascii="宋体"/>
                <w:vanish/>
              </w:rPr>
            </w:pPr>
          </w:p>
        </w:tc>
        <w:tc>
          <w:tcPr>
            <w:tcW w:w="0" w:type="auto"/>
            <w:gridSpan w:val="3"/>
            <w:shd w:val="clear" w:color="auto" w:fill="auto"/>
          </w:tcPr>
          <w:p w14:paraId="7E7843C0" w14:textId="77777777" w:rsidR="00A82082" w:rsidRDefault="00A82082">
            <w:pPr>
              <w:rPr>
                <w:rFonts w:ascii="宋体"/>
                <w:vanish/>
              </w:rPr>
            </w:pPr>
          </w:p>
        </w:tc>
        <w:tc>
          <w:tcPr>
            <w:tcW w:w="0" w:type="auto"/>
            <w:gridSpan w:val="3"/>
            <w:shd w:val="clear" w:color="auto" w:fill="auto"/>
          </w:tcPr>
          <w:p w14:paraId="7E7843C1" w14:textId="77777777" w:rsidR="00A82082" w:rsidRDefault="00A82082">
            <w:pPr>
              <w:rPr>
                <w:rFonts w:ascii="宋体"/>
                <w:vanish/>
              </w:rPr>
            </w:pPr>
          </w:p>
        </w:tc>
        <w:tc>
          <w:tcPr>
            <w:tcW w:w="0" w:type="auto"/>
            <w:gridSpan w:val="3"/>
            <w:shd w:val="clear" w:color="auto" w:fill="auto"/>
          </w:tcPr>
          <w:p w14:paraId="7E7843C2" w14:textId="77777777" w:rsidR="00A82082" w:rsidRDefault="00A82082">
            <w:pPr>
              <w:rPr>
                <w:rFonts w:ascii="宋体"/>
                <w:vanish/>
              </w:rPr>
            </w:pPr>
          </w:p>
        </w:tc>
        <w:tc>
          <w:tcPr>
            <w:tcW w:w="0" w:type="auto"/>
            <w:gridSpan w:val="3"/>
            <w:shd w:val="clear" w:color="auto" w:fill="auto"/>
          </w:tcPr>
          <w:p w14:paraId="7E7843C3" w14:textId="77777777" w:rsidR="00A82082" w:rsidRDefault="00A82082">
            <w:pPr>
              <w:rPr>
                <w:rFonts w:ascii="宋体"/>
                <w:vanish/>
              </w:rPr>
            </w:pPr>
          </w:p>
        </w:tc>
        <w:tc>
          <w:tcPr>
            <w:tcW w:w="0" w:type="auto"/>
            <w:gridSpan w:val="3"/>
            <w:shd w:val="clear" w:color="auto" w:fill="auto"/>
          </w:tcPr>
          <w:p w14:paraId="7E7843C4" w14:textId="77777777" w:rsidR="00A82082" w:rsidRDefault="00A82082">
            <w:pPr>
              <w:rPr>
                <w:rFonts w:ascii="宋体"/>
                <w:vanish/>
              </w:rPr>
            </w:pPr>
          </w:p>
        </w:tc>
        <w:tc>
          <w:tcPr>
            <w:tcW w:w="0" w:type="auto"/>
            <w:gridSpan w:val="3"/>
            <w:shd w:val="clear" w:color="auto" w:fill="auto"/>
          </w:tcPr>
          <w:p w14:paraId="7E7843C5" w14:textId="77777777" w:rsidR="00A82082" w:rsidRDefault="00A82082">
            <w:pPr>
              <w:rPr>
                <w:rFonts w:ascii="宋体"/>
                <w:vanish/>
              </w:rPr>
            </w:pPr>
          </w:p>
        </w:tc>
        <w:tc>
          <w:tcPr>
            <w:tcW w:w="0" w:type="auto"/>
            <w:gridSpan w:val="3"/>
            <w:shd w:val="clear" w:color="auto" w:fill="auto"/>
          </w:tcPr>
          <w:p w14:paraId="7E7843C6" w14:textId="77777777" w:rsidR="00A82082" w:rsidRDefault="00A82082">
            <w:pPr>
              <w:rPr>
                <w:rFonts w:ascii="宋体"/>
                <w:vanish/>
              </w:rPr>
            </w:pPr>
          </w:p>
        </w:tc>
        <w:tc>
          <w:tcPr>
            <w:tcW w:w="0" w:type="auto"/>
            <w:gridSpan w:val="3"/>
            <w:shd w:val="clear" w:color="auto" w:fill="auto"/>
          </w:tcPr>
          <w:p w14:paraId="7E7843C7" w14:textId="77777777" w:rsidR="00A82082" w:rsidRDefault="00A82082">
            <w:pPr>
              <w:rPr>
                <w:rFonts w:ascii="宋体"/>
                <w:vanish/>
              </w:rPr>
            </w:pPr>
          </w:p>
        </w:tc>
        <w:tc>
          <w:tcPr>
            <w:tcW w:w="0" w:type="auto"/>
            <w:gridSpan w:val="3"/>
            <w:shd w:val="clear" w:color="auto" w:fill="auto"/>
          </w:tcPr>
          <w:p w14:paraId="7E7843C8" w14:textId="77777777" w:rsidR="00A82082" w:rsidRDefault="00A82082">
            <w:pPr>
              <w:rPr>
                <w:rFonts w:ascii="宋体"/>
                <w:vanish/>
              </w:rPr>
            </w:pPr>
          </w:p>
        </w:tc>
        <w:tc>
          <w:tcPr>
            <w:tcW w:w="0" w:type="auto"/>
            <w:gridSpan w:val="3"/>
            <w:shd w:val="clear" w:color="auto" w:fill="auto"/>
          </w:tcPr>
          <w:p w14:paraId="7E7843C9" w14:textId="77777777" w:rsidR="00A82082" w:rsidRDefault="00A82082">
            <w:pPr>
              <w:rPr>
                <w:rFonts w:ascii="宋体"/>
                <w:vanish/>
              </w:rPr>
            </w:pPr>
          </w:p>
        </w:tc>
        <w:tc>
          <w:tcPr>
            <w:tcW w:w="0" w:type="auto"/>
            <w:gridSpan w:val="3"/>
            <w:shd w:val="clear" w:color="auto" w:fill="auto"/>
          </w:tcPr>
          <w:p w14:paraId="7E7843CA" w14:textId="77777777" w:rsidR="00A82082" w:rsidRDefault="00A82082">
            <w:pPr>
              <w:rPr>
                <w:rFonts w:ascii="宋体"/>
                <w:vanish/>
              </w:rPr>
            </w:pPr>
          </w:p>
        </w:tc>
        <w:tc>
          <w:tcPr>
            <w:tcW w:w="0" w:type="auto"/>
            <w:gridSpan w:val="3"/>
            <w:shd w:val="clear" w:color="auto" w:fill="auto"/>
          </w:tcPr>
          <w:p w14:paraId="7E7843CB" w14:textId="77777777" w:rsidR="00A82082" w:rsidRDefault="00A82082">
            <w:pPr>
              <w:rPr>
                <w:rFonts w:ascii="宋体"/>
                <w:vanish/>
              </w:rPr>
            </w:pPr>
          </w:p>
        </w:tc>
        <w:tc>
          <w:tcPr>
            <w:tcW w:w="0" w:type="auto"/>
            <w:gridSpan w:val="3"/>
            <w:shd w:val="clear" w:color="auto" w:fill="auto"/>
          </w:tcPr>
          <w:p w14:paraId="7E7843CC" w14:textId="77777777" w:rsidR="00A82082" w:rsidRDefault="00A82082">
            <w:pPr>
              <w:rPr>
                <w:rFonts w:ascii="宋体"/>
                <w:vanish/>
              </w:rPr>
            </w:pPr>
          </w:p>
        </w:tc>
        <w:tc>
          <w:tcPr>
            <w:tcW w:w="0" w:type="auto"/>
            <w:gridSpan w:val="3"/>
            <w:shd w:val="clear" w:color="auto" w:fill="auto"/>
          </w:tcPr>
          <w:p w14:paraId="7E7843CD" w14:textId="77777777" w:rsidR="00A82082" w:rsidRDefault="00A82082">
            <w:pPr>
              <w:rPr>
                <w:rFonts w:ascii="宋体"/>
                <w:vanish/>
              </w:rPr>
            </w:pPr>
          </w:p>
        </w:tc>
        <w:tc>
          <w:tcPr>
            <w:tcW w:w="0" w:type="auto"/>
            <w:shd w:val="clear" w:color="auto" w:fill="auto"/>
          </w:tcPr>
          <w:p w14:paraId="7E7843CE" w14:textId="77777777" w:rsidR="00A82082" w:rsidRDefault="00A82082">
            <w:pPr>
              <w:rPr>
                <w:rFonts w:ascii="宋体"/>
                <w:vanish/>
              </w:rPr>
            </w:pPr>
          </w:p>
        </w:tc>
        <w:tc>
          <w:tcPr>
            <w:tcW w:w="0" w:type="auto"/>
            <w:shd w:val="clear" w:color="auto" w:fill="auto"/>
          </w:tcPr>
          <w:p w14:paraId="7E7843CF" w14:textId="77777777" w:rsidR="00A82082" w:rsidRDefault="00A82082">
            <w:pPr>
              <w:rPr>
                <w:rFonts w:ascii="宋体"/>
                <w:vanish/>
              </w:rPr>
            </w:pPr>
          </w:p>
        </w:tc>
        <w:tc>
          <w:tcPr>
            <w:tcW w:w="0" w:type="auto"/>
            <w:shd w:val="clear" w:color="auto" w:fill="auto"/>
          </w:tcPr>
          <w:p w14:paraId="7E7843D0" w14:textId="77777777" w:rsidR="00A82082" w:rsidRDefault="00A82082">
            <w:pPr>
              <w:rPr>
                <w:rFonts w:ascii="宋体"/>
                <w:vanish/>
              </w:rPr>
            </w:pPr>
          </w:p>
        </w:tc>
      </w:tr>
      <w:tr w:rsidR="00A82082" w14:paraId="7E7843E5" w14:textId="77777777">
        <w:trPr>
          <w:hidden/>
        </w:trPr>
        <w:tc>
          <w:tcPr>
            <w:tcW w:w="0" w:type="auto"/>
            <w:gridSpan w:val="3"/>
            <w:shd w:val="clear" w:color="auto" w:fill="auto"/>
          </w:tcPr>
          <w:p w14:paraId="7E7843D2" w14:textId="77777777" w:rsidR="00A82082" w:rsidRDefault="00A82082">
            <w:pPr>
              <w:rPr>
                <w:rFonts w:ascii="宋体"/>
                <w:vanish/>
              </w:rPr>
            </w:pPr>
          </w:p>
        </w:tc>
        <w:tc>
          <w:tcPr>
            <w:tcW w:w="0" w:type="auto"/>
            <w:gridSpan w:val="3"/>
            <w:shd w:val="clear" w:color="auto" w:fill="auto"/>
          </w:tcPr>
          <w:p w14:paraId="7E7843D3" w14:textId="77777777" w:rsidR="00A82082" w:rsidRDefault="00A82082">
            <w:pPr>
              <w:rPr>
                <w:rFonts w:ascii="宋体"/>
                <w:vanish/>
              </w:rPr>
            </w:pPr>
          </w:p>
        </w:tc>
        <w:tc>
          <w:tcPr>
            <w:tcW w:w="0" w:type="auto"/>
            <w:gridSpan w:val="3"/>
            <w:shd w:val="clear" w:color="auto" w:fill="auto"/>
          </w:tcPr>
          <w:p w14:paraId="7E7843D4" w14:textId="77777777" w:rsidR="00A82082" w:rsidRDefault="00A82082">
            <w:pPr>
              <w:rPr>
                <w:rFonts w:ascii="宋体"/>
                <w:vanish/>
              </w:rPr>
            </w:pPr>
          </w:p>
        </w:tc>
        <w:tc>
          <w:tcPr>
            <w:tcW w:w="0" w:type="auto"/>
            <w:gridSpan w:val="3"/>
            <w:shd w:val="clear" w:color="auto" w:fill="auto"/>
          </w:tcPr>
          <w:p w14:paraId="7E7843D5" w14:textId="77777777" w:rsidR="00A82082" w:rsidRDefault="00A82082">
            <w:pPr>
              <w:rPr>
                <w:rFonts w:ascii="宋体"/>
                <w:vanish/>
              </w:rPr>
            </w:pPr>
          </w:p>
        </w:tc>
        <w:tc>
          <w:tcPr>
            <w:tcW w:w="0" w:type="auto"/>
            <w:gridSpan w:val="3"/>
            <w:shd w:val="clear" w:color="auto" w:fill="auto"/>
          </w:tcPr>
          <w:p w14:paraId="7E7843D6" w14:textId="77777777" w:rsidR="00A82082" w:rsidRDefault="00A82082">
            <w:pPr>
              <w:rPr>
                <w:rFonts w:ascii="宋体"/>
                <w:vanish/>
              </w:rPr>
            </w:pPr>
          </w:p>
        </w:tc>
        <w:tc>
          <w:tcPr>
            <w:tcW w:w="0" w:type="auto"/>
            <w:gridSpan w:val="3"/>
            <w:shd w:val="clear" w:color="auto" w:fill="auto"/>
          </w:tcPr>
          <w:p w14:paraId="7E7843D7" w14:textId="77777777" w:rsidR="00A82082" w:rsidRDefault="00A82082">
            <w:pPr>
              <w:rPr>
                <w:rFonts w:ascii="宋体"/>
                <w:vanish/>
              </w:rPr>
            </w:pPr>
          </w:p>
        </w:tc>
        <w:tc>
          <w:tcPr>
            <w:tcW w:w="0" w:type="auto"/>
            <w:gridSpan w:val="3"/>
            <w:shd w:val="clear" w:color="auto" w:fill="auto"/>
          </w:tcPr>
          <w:p w14:paraId="7E7843D8" w14:textId="77777777" w:rsidR="00A82082" w:rsidRDefault="00A82082">
            <w:pPr>
              <w:rPr>
                <w:rFonts w:ascii="宋体"/>
                <w:vanish/>
              </w:rPr>
            </w:pPr>
          </w:p>
        </w:tc>
        <w:tc>
          <w:tcPr>
            <w:tcW w:w="0" w:type="auto"/>
            <w:gridSpan w:val="3"/>
            <w:shd w:val="clear" w:color="auto" w:fill="auto"/>
          </w:tcPr>
          <w:p w14:paraId="7E7843D9" w14:textId="77777777" w:rsidR="00A82082" w:rsidRDefault="00A82082">
            <w:pPr>
              <w:rPr>
                <w:rFonts w:ascii="宋体"/>
                <w:vanish/>
              </w:rPr>
            </w:pPr>
          </w:p>
        </w:tc>
        <w:tc>
          <w:tcPr>
            <w:tcW w:w="0" w:type="auto"/>
            <w:gridSpan w:val="3"/>
            <w:shd w:val="clear" w:color="auto" w:fill="auto"/>
          </w:tcPr>
          <w:p w14:paraId="7E7843DA" w14:textId="77777777" w:rsidR="00A82082" w:rsidRDefault="00A82082">
            <w:pPr>
              <w:rPr>
                <w:rFonts w:ascii="宋体"/>
                <w:vanish/>
              </w:rPr>
            </w:pPr>
          </w:p>
        </w:tc>
        <w:tc>
          <w:tcPr>
            <w:tcW w:w="0" w:type="auto"/>
            <w:gridSpan w:val="3"/>
            <w:shd w:val="clear" w:color="auto" w:fill="auto"/>
          </w:tcPr>
          <w:p w14:paraId="7E7843DB" w14:textId="77777777" w:rsidR="00A82082" w:rsidRDefault="00A82082">
            <w:pPr>
              <w:rPr>
                <w:rFonts w:ascii="宋体"/>
                <w:vanish/>
              </w:rPr>
            </w:pPr>
          </w:p>
        </w:tc>
        <w:tc>
          <w:tcPr>
            <w:tcW w:w="0" w:type="auto"/>
            <w:gridSpan w:val="3"/>
            <w:shd w:val="clear" w:color="auto" w:fill="auto"/>
          </w:tcPr>
          <w:p w14:paraId="7E7843DC" w14:textId="77777777" w:rsidR="00A82082" w:rsidRDefault="00A82082">
            <w:pPr>
              <w:rPr>
                <w:rFonts w:ascii="宋体"/>
                <w:vanish/>
              </w:rPr>
            </w:pPr>
          </w:p>
        </w:tc>
        <w:tc>
          <w:tcPr>
            <w:tcW w:w="0" w:type="auto"/>
            <w:gridSpan w:val="3"/>
            <w:shd w:val="clear" w:color="auto" w:fill="auto"/>
          </w:tcPr>
          <w:p w14:paraId="7E7843DD" w14:textId="77777777" w:rsidR="00A82082" w:rsidRDefault="00A82082">
            <w:pPr>
              <w:rPr>
                <w:rFonts w:ascii="宋体"/>
                <w:vanish/>
              </w:rPr>
            </w:pPr>
          </w:p>
        </w:tc>
        <w:tc>
          <w:tcPr>
            <w:tcW w:w="0" w:type="auto"/>
            <w:gridSpan w:val="3"/>
            <w:shd w:val="clear" w:color="auto" w:fill="auto"/>
          </w:tcPr>
          <w:p w14:paraId="7E7843DE" w14:textId="77777777" w:rsidR="00A82082" w:rsidRDefault="00A82082">
            <w:pPr>
              <w:rPr>
                <w:rFonts w:ascii="宋体"/>
                <w:vanish/>
              </w:rPr>
            </w:pPr>
          </w:p>
        </w:tc>
        <w:tc>
          <w:tcPr>
            <w:tcW w:w="0" w:type="auto"/>
            <w:gridSpan w:val="3"/>
            <w:shd w:val="clear" w:color="auto" w:fill="auto"/>
          </w:tcPr>
          <w:p w14:paraId="7E7843DF" w14:textId="77777777" w:rsidR="00A82082" w:rsidRDefault="00A82082">
            <w:pPr>
              <w:rPr>
                <w:rFonts w:ascii="宋体"/>
                <w:vanish/>
              </w:rPr>
            </w:pPr>
          </w:p>
        </w:tc>
        <w:tc>
          <w:tcPr>
            <w:tcW w:w="0" w:type="auto"/>
            <w:gridSpan w:val="3"/>
            <w:shd w:val="clear" w:color="auto" w:fill="auto"/>
          </w:tcPr>
          <w:p w14:paraId="7E7843E0" w14:textId="77777777" w:rsidR="00A82082" w:rsidRDefault="00A82082">
            <w:pPr>
              <w:rPr>
                <w:rFonts w:ascii="宋体"/>
                <w:vanish/>
              </w:rPr>
            </w:pPr>
          </w:p>
        </w:tc>
        <w:tc>
          <w:tcPr>
            <w:tcW w:w="0" w:type="auto"/>
            <w:gridSpan w:val="3"/>
            <w:shd w:val="clear" w:color="auto" w:fill="auto"/>
          </w:tcPr>
          <w:p w14:paraId="7E7843E1" w14:textId="77777777" w:rsidR="00A82082" w:rsidRDefault="00A82082">
            <w:pPr>
              <w:rPr>
                <w:rFonts w:ascii="宋体"/>
                <w:vanish/>
              </w:rPr>
            </w:pPr>
          </w:p>
        </w:tc>
        <w:tc>
          <w:tcPr>
            <w:tcW w:w="0" w:type="auto"/>
            <w:shd w:val="clear" w:color="auto" w:fill="auto"/>
          </w:tcPr>
          <w:p w14:paraId="7E7843E2" w14:textId="77777777" w:rsidR="00A82082" w:rsidRDefault="00A82082">
            <w:pPr>
              <w:rPr>
                <w:rFonts w:ascii="宋体"/>
                <w:vanish/>
              </w:rPr>
            </w:pPr>
          </w:p>
        </w:tc>
        <w:tc>
          <w:tcPr>
            <w:tcW w:w="0" w:type="auto"/>
            <w:shd w:val="clear" w:color="auto" w:fill="auto"/>
          </w:tcPr>
          <w:p w14:paraId="7E7843E3" w14:textId="77777777" w:rsidR="00A82082" w:rsidRDefault="00A82082">
            <w:pPr>
              <w:rPr>
                <w:rFonts w:ascii="宋体"/>
                <w:vanish/>
              </w:rPr>
            </w:pPr>
          </w:p>
        </w:tc>
        <w:tc>
          <w:tcPr>
            <w:tcW w:w="0" w:type="auto"/>
            <w:shd w:val="clear" w:color="auto" w:fill="auto"/>
          </w:tcPr>
          <w:p w14:paraId="7E7843E4" w14:textId="77777777" w:rsidR="00A82082" w:rsidRDefault="00A82082">
            <w:pPr>
              <w:rPr>
                <w:rFonts w:ascii="宋体"/>
                <w:vanish/>
              </w:rPr>
            </w:pPr>
          </w:p>
        </w:tc>
      </w:tr>
      <w:tr w:rsidR="00A82082" w14:paraId="7E7843F9" w14:textId="77777777">
        <w:trPr>
          <w:hidden/>
        </w:trPr>
        <w:tc>
          <w:tcPr>
            <w:tcW w:w="0" w:type="auto"/>
            <w:gridSpan w:val="3"/>
            <w:shd w:val="clear" w:color="auto" w:fill="auto"/>
          </w:tcPr>
          <w:p w14:paraId="7E7843E6" w14:textId="77777777" w:rsidR="00A82082" w:rsidRDefault="00A82082">
            <w:pPr>
              <w:rPr>
                <w:rFonts w:ascii="宋体"/>
                <w:vanish/>
              </w:rPr>
            </w:pPr>
          </w:p>
        </w:tc>
        <w:tc>
          <w:tcPr>
            <w:tcW w:w="0" w:type="auto"/>
            <w:gridSpan w:val="3"/>
            <w:shd w:val="clear" w:color="auto" w:fill="auto"/>
          </w:tcPr>
          <w:p w14:paraId="7E7843E7" w14:textId="77777777" w:rsidR="00A82082" w:rsidRDefault="00A82082">
            <w:pPr>
              <w:rPr>
                <w:rFonts w:ascii="宋体"/>
                <w:vanish/>
              </w:rPr>
            </w:pPr>
          </w:p>
        </w:tc>
        <w:tc>
          <w:tcPr>
            <w:tcW w:w="0" w:type="auto"/>
            <w:gridSpan w:val="3"/>
            <w:shd w:val="clear" w:color="auto" w:fill="auto"/>
          </w:tcPr>
          <w:p w14:paraId="7E7843E8" w14:textId="77777777" w:rsidR="00A82082" w:rsidRDefault="00A82082">
            <w:pPr>
              <w:rPr>
                <w:rFonts w:ascii="宋体"/>
                <w:vanish/>
              </w:rPr>
            </w:pPr>
          </w:p>
        </w:tc>
        <w:tc>
          <w:tcPr>
            <w:tcW w:w="0" w:type="auto"/>
            <w:gridSpan w:val="3"/>
            <w:shd w:val="clear" w:color="auto" w:fill="auto"/>
          </w:tcPr>
          <w:p w14:paraId="7E7843E9" w14:textId="77777777" w:rsidR="00A82082" w:rsidRDefault="00A82082">
            <w:pPr>
              <w:rPr>
                <w:rFonts w:ascii="宋体"/>
                <w:vanish/>
              </w:rPr>
            </w:pPr>
          </w:p>
        </w:tc>
        <w:tc>
          <w:tcPr>
            <w:tcW w:w="0" w:type="auto"/>
            <w:gridSpan w:val="3"/>
            <w:shd w:val="clear" w:color="auto" w:fill="auto"/>
          </w:tcPr>
          <w:p w14:paraId="7E7843EA" w14:textId="77777777" w:rsidR="00A82082" w:rsidRDefault="00A82082">
            <w:pPr>
              <w:rPr>
                <w:rFonts w:ascii="宋体"/>
                <w:vanish/>
              </w:rPr>
            </w:pPr>
          </w:p>
        </w:tc>
        <w:tc>
          <w:tcPr>
            <w:tcW w:w="0" w:type="auto"/>
            <w:gridSpan w:val="3"/>
            <w:shd w:val="clear" w:color="auto" w:fill="auto"/>
          </w:tcPr>
          <w:p w14:paraId="7E7843EB" w14:textId="77777777" w:rsidR="00A82082" w:rsidRDefault="00A82082">
            <w:pPr>
              <w:rPr>
                <w:rFonts w:ascii="宋体"/>
                <w:vanish/>
              </w:rPr>
            </w:pPr>
          </w:p>
        </w:tc>
        <w:tc>
          <w:tcPr>
            <w:tcW w:w="0" w:type="auto"/>
            <w:gridSpan w:val="3"/>
            <w:shd w:val="clear" w:color="auto" w:fill="auto"/>
          </w:tcPr>
          <w:p w14:paraId="7E7843EC" w14:textId="77777777" w:rsidR="00A82082" w:rsidRDefault="00A82082">
            <w:pPr>
              <w:rPr>
                <w:rFonts w:ascii="宋体"/>
                <w:vanish/>
              </w:rPr>
            </w:pPr>
          </w:p>
        </w:tc>
        <w:tc>
          <w:tcPr>
            <w:tcW w:w="0" w:type="auto"/>
            <w:gridSpan w:val="3"/>
            <w:shd w:val="clear" w:color="auto" w:fill="auto"/>
          </w:tcPr>
          <w:p w14:paraId="7E7843ED" w14:textId="77777777" w:rsidR="00A82082" w:rsidRDefault="00A82082">
            <w:pPr>
              <w:rPr>
                <w:rFonts w:ascii="宋体"/>
                <w:vanish/>
              </w:rPr>
            </w:pPr>
          </w:p>
        </w:tc>
        <w:tc>
          <w:tcPr>
            <w:tcW w:w="0" w:type="auto"/>
            <w:gridSpan w:val="3"/>
            <w:shd w:val="clear" w:color="auto" w:fill="auto"/>
          </w:tcPr>
          <w:p w14:paraId="7E7843EE" w14:textId="77777777" w:rsidR="00A82082" w:rsidRDefault="00A82082">
            <w:pPr>
              <w:rPr>
                <w:rFonts w:ascii="宋体"/>
                <w:vanish/>
              </w:rPr>
            </w:pPr>
          </w:p>
        </w:tc>
        <w:tc>
          <w:tcPr>
            <w:tcW w:w="0" w:type="auto"/>
            <w:gridSpan w:val="3"/>
            <w:shd w:val="clear" w:color="auto" w:fill="auto"/>
          </w:tcPr>
          <w:p w14:paraId="7E7843EF" w14:textId="77777777" w:rsidR="00A82082" w:rsidRDefault="00A82082">
            <w:pPr>
              <w:rPr>
                <w:rFonts w:ascii="宋体"/>
                <w:vanish/>
              </w:rPr>
            </w:pPr>
          </w:p>
        </w:tc>
        <w:tc>
          <w:tcPr>
            <w:tcW w:w="0" w:type="auto"/>
            <w:gridSpan w:val="3"/>
            <w:shd w:val="clear" w:color="auto" w:fill="auto"/>
          </w:tcPr>
          <w:p w14:paraId="7E7843F0" w14:textId="77777777" w:rsidR="00A82082" w:rsidRDefault="00A82082">
            <w:pPr>
              <w:rPr>
                <w:rFonts w:ascii="宋体"/>
                <w:vanish/>
              </w:rPr>
            </w:pPr>
          </w:p>
        </w:tc>
        <w:tc>
          <w:tcPr>
            <w:tcW w:w="0" w:type="auto"/>
            <w:gridSpan w:val="3"/>
            <w:shd w:val="clear" w:color="auto" w:fill="auto"/>
          </w:tcPr>
          <w:p w14:paraId="7E7843F1" w14:textId="77777777" w:rsidR="00A82082" w:rsidRDefault="00A82082">
            <w:pPr>
              <w:rPr>
                <w:rFonts w:ascii="宋体"/>
                <w:vanish/>
              </w:rPr>
            </w:pPr>
          </w:p>
        </w:tc>
        <w:tc>
          <w:tcPr>
            <w:tcW w:w="0" w:type="auto"/>
            <w:gridSpan w:val="3"/>
            <w:shd w:val="clear" w:color="auto" w:fill="auto"/>
          </w:tcPr>
          <w:p w14:paraId="7E7843F2" w14:textId="77777777" w:rsidR="00A82082" w:rsidRDefault="00A82082">
            <w:pPr>
              <w:rPr>
                <w:rFonts w:ascii="宋体"/>
                <w:vanish/>
              </w:rPr>
            </w:pPr>
          </w:p>
        </w:tc>
        <w:tc>
          <w:tcPr>
            <w:tcW w:w="0" w:type="auto"/>
            <w:gridSpan w:val="3"/>
            <w:shd w:val="clear" w:color="auto" w:fill="auto"/>
          </w:tcPr>
          <w:p w14:paraId="7E7843F3" w14:textId="77777777" w:rsidR="00A82082" w:rsidRDefault="00A82082">
            <w:pPr>
              <w:rPr>
                <w:rFonts w:ascii="宋体"/>
                <w:vanish/>
              </w:rPr>
            </w:pPr>
          </w:p>
        </w:tc>
        <w:tc>
          <w:tcPr>
            <w:tcW w:w="0" w:type="auto"/>
            <w:gridSpan w:val="3"/>
            <w:shd w:val="clear" w:color="auto" w:fill="auto"/>
          </w:tcPr>
          <w:p w14:paraId="7E7843F4" w14:textId="77777777" w:rsidR="00A82082" w:rsidRDefault="00A82082">
            <w:pPr>
              <w:rPr>
                <w:rFonts w:ascii="宋体"/>
                <w:vanish/>
              </w:rPr>
            </w:pPr>
          </w:p>
        </w:tc>
        <w:tc>
          <w:tcPr>
            <w:tcW w:w="0" w:type="auto"/>
            <w:gridSpan w:val="3"/>
            <w:shd w:val="clear" w:color="auto" w:fill="auto"/>
          </w:tcPr>
          <w:p w14:paraId="7E7843F5" w14:textId="77777777" w:rsidR="00A82082" w:rsidRDefault="00A82082">
            <w:pPr>
              <w:rPr>
                <w:rFonts w:ascii="宋体"/>
                <w:vanish/>
              </w:rPr>
            </w:pPr>
          </w:p>
        </w:tc>
        <w:tc>
          <w:tcPr>
            <w:tcW w:w="0" w:type="auto"/>
            <w:shd w:val="clear" w:color="auto" w:fill="auto"/>
          </w:tcPr>
          <w:p w14:paraId="7E7843F6" w14:textId="77777777" w:rsidR="00A82082" w:rsidRDefault="00A82082">
            <w:pPr>
              <w:rPr>
                <w:rFonts w:ascii="宋体"/>
                <w:vanish/>
              </w:rPr>
            </w:pPr>
          </w:p>
        </w:tc>
        <w:tc>
          <w:tcPr>
            <w:tcW w:w="0" w:type="auto"/>
            <w:shd w:val="clear" w:color="auto" w:fill="auto"/>
          </w:tcPr>
          <w:p w14:paraId="7E7843F7" w14:textId="77777777" w:rsidR="00A82082" w:rsidRDefault="00A82082">
            <w:pPr>
              <w:rPr>
                <w:rFonts w:ascii="宋体"/>
                <w:vanish/>
              </w:rPr>
            </w:pPr>
          </w:p>
        </w:tc>
        <w:tc>
          <w:tcPr>
            <w:tcW w:w="0" w:type="auto"/>
            <w:shd w:val="clear" w:color="auto" w:fill="auto"/>
          </w:tcPr>
          <w:p w14:paraId="7E7843F8" w14:textId="77777777" w:rsidR="00A82082" w:rsidRDefault="00A82082">
            <w:pPr>
              <w:rPr>
                <w:rFonts w:ascii="宋体"/>
                <w:vanish/>
              </w:rPr>
            </w:pPr>
          </w:p>
        </w:tc>
      </w:tr>
      <w:tr w:rsidR="00A82082" w14:paraId="7E78440D" w14:textId="77777777">
        <w:trPr>
          <w:hidden/>
        </w:trPr>
        <w:tc>
          <w:tcPr>
            <w:tcW w:w="0" w:type="auto"/>
            <w:gridSpan w:val="3"/>
            <w:shd w:val="clear" w:color="auto" w:fill="auto"/>
          </w:tcPr>
          <w:p w14:paraId="7E7843FA" w14:textId="77777777" w:rsidR="00A82082" w:rsidRDefault="00A82082">
            <w:pPr>
              <w:rPr>
                <w:rFonts w:ascii="宋体"/>
                <w:vanish/>
              </w:rPr>
            </w:pPr>
          </w:p>
        </w:tc>
        <w:tc>
          <w:tcPr>
            <w:tcW w:w="0" w:type="auto"/>
            <w:gridSpan w:val="3"/>
            <w:shd w:val="clear" w:color="auto" w:fill="auto"/>
          </w:tcPr>
          <w:p w14:paraId="7E7843FB" w14:textId="77777777" w:rsidR="00A82082" w:rsidRDefault="00A82082">
            <w:pPr>
              <w:rPr>
                <w:rFonts w:ascii="宋体"/>
                <w:vanish/>
              </w:rPr>
            </w:pPr>
          </w:p>
        </w:tc>
        <w:tc>
          <w:tcPr>
            <w:tcW w:w="0" w:type="auto"/>
            <w:gridSpan w:val="3"/>
            <w:shd w:val="clear" w:color="auto" w:fill="auto"/>
          </w:tcPr>
          <w:p w14:paraId="7E7843FC" w14:textId="77777777" w:rsidR="00A82082" w:rsidRDefault="00A82082">
            <w:pPr>
              <w:rPr>
                <w:rFonts w:ascii="宋体"/>
                <w:vanish/>
              </w:rPr>
            </w:pPr>
          </w:p>
        </w:tc>
        <w:tc>
          <w:tcPr>
            <w:tcW w:w="0" w:type="auto"/>
            <w:gridSpan w:val="3"/>
            <w:shd w:val="clear" w:color="auto" w:fill="auto"/>
          </w:tcPr>
          <w:p w14:paraId="7E7843FD" w14:textId="77777777" w:rsidR="00A82082" w:rsidRDefault="00A82082">
            <w:pPr>
              <w:rPr>
                <w:rFonts w:ascii="宋体"/>
                <w:vanish/>
              </w:rPr>
            </w:pPr>
          </w:p>
        </w:tc>
        <w:tc>
          <w:tcPr>
            <w:tcW w:w="0" w:type="auto"/>
            <w:gridSpan w:val="3"/>
            <w:shd w:val="clear" w:color="auto" w:fill="auto"/>
          </w:tcPr>
          <w:p w14:paraId="7E7843FE" w14:textId="77777777" w:rsidR="00A82082" w:rsidRDefault="00A82082">
            <w:pPr>
              <w:rPr>
                <w:rFonts w:ascii="宋体"/>
                <w:vanish/>
              </w:rPr>
            </w:pPr>
          </w:p>
        </w:tc>
        <w:tc>
          <w:tcPr>
            <w:tcW w:w="0" w:type="auto"/>
            <w:gridSpan w:val="3"/>
            <w:shd w:val="clear" w:color="auto" w:fill="auto"/>
          </w:tcPr>
          <w:p w14:paraId="7E7843FF" w14:textId="77777777" w:rsidR="00A82082" w:rsidRDefault="00A82082">
            <w:pPr>
              <w:rPr>
                <w:rFonts w:ascii="宋体"/>
                <w:vanish/>
              </w:rPr>
            </w:pPr>
          </w:p>
        </w:tc>
        <w:tc>
          <w:tcPr>
            <w:tcW w:w="0" w:type="auto"/>
            <w:gridSpan w:val="3"/>
            <w:shd w:val="clear" w:color="auto" w:fill="auto"/>
          </w:tcPr>
          <w:p w14:paraId="7E784400" w14:textId="77777777" w:rsidR="00A82082" w:rsidRDefault="00A82082">
            <w:pPr>
              <w:rPr>
                <w:rFonts w:ascii="宋体"/>
                <w:vanish/>
              </w:rPr>
            </w:pPr>
          </w:p>
        </w:tc>
        <w:tc>
          <w:tcPr>
            <w:tcW w:w="0" w:type="auto"/>
            <w:gridSpan w:val="3"/>
            <w:shd w:val="clear" w:color="auto" w:fill="auto"/>
          </w:tcPr>
          <w:p w14:paraId="7E784401" w14:textId="77777777" w:rsidR="00A82082" w:rsidRDefault="00A82082">
            <w:pPr>
              <w:rPr>
                <w:rFonts w:ascii="宋体"/>
                <w:vanish/>
              </w:rPr>
            </w:pPr>
          </w:p>
        </w:tc>
        <w:tc>
          <w:tcPr>
            <w:tcW w:w="0" w:type="auto"/>
            <w:gridSpan w:val="3"/>
            <w:shd w:val="clear" w:color="auto" w:fill="auto"/>
          </w:tcPr>
          <w:p w14:paraId="7E784402" w14:textId="77777777" w:rsidR="00A82082" w:rsidRDefault="00A82082">
            <w:pPr>
              <w:rPr>
                <w:rFonts w:ascii="宋体"/>
                <w:vanish/>
              </w:rPr>
            </w:pPr>
          </w:p>
        </w:tc>
        <w:tc>
          <w:tcPr>
            <w:tcW w:w="0" w:type="auto"/>
            <w:gridSpan w:val="3"/>
            <w:shd w:val="clear" w:color="auto" w:fill="auto"/>
          </w:tcPr>
          <w:p w14:paraId="7E784403" w14:textId="77777777" w:rsidR="00A82082" w:rsidRDefault="00A82082">
            <w:pPr>
              <w:rPr>
                <w:rFonts w:ascii="宋体"/>
                <w:vanish/>
              </w:rPr>
            </w:pPr>
          </w:p>
        </w:tc>
        <w:tc>
          <w:tcPr>
            <w:tcW w:w="0" w:type="auto"/>
            <w:gridSpan w:val="3"/>
            <w:shd w:val="clear" w:color="auto" w:fill="auto"/>
          </w:tcPr>
          <w:p w14:paraId="7E784404" w14:textId="77777777" w:rsidR="00A82082" w:rsidRDefault="00A82082">
            <w:pPr>
              <w:rPr>
                <w:rFonts w:ascii="宋体"/>
                <w:vanish/>
              </w:rPr>
            </w:pPr>
          </w:p>
        </w:tc>
        <w:tc>
          <w:tcPr>
            <w:tcW w:w="0" w:type="auto"/>
            <w:gridSpan w:val="3"/>
            <w:shd w:val="clear" w:color="auto" w:fill="auto"/>
          </w:tcPr>
          <w:p w14:paraId="7E784405" w14:textId="77777777" w:rsidR="00A82082" w:rsidRDefault="00A82082">
            <w:pPr>
              <w:rPr>
                <w:rFonts w:ascii="宋体"/>
                <w:vanish/>
              </w:rPr>
            </w:pPr>
          </w:p>
        </w:tc>
        <w:tc>
          <w:tcPr>
            <w:tcW w:w="0" w:type="auto"/>
            <w:gridSpan w:val="3"/>
            <w:shd w:val="clear" w:color="auto" w:fill="auto"/>
          </w:tcPr>
          <w:p w14:paraId="7E784406" w14:textId="77777777" w:rsidR="00A82082" w:rsidRDefault="00A82082">
            <w:pPr>
              <w:rPr>
                <w:rFonts w:ascii="宋体"/>
                <w:vanish/>
              </w:rPr>
            </w:pPr>
          </w:p>
        </w:tc>
        <w:tc>
          <w:tcPr>
            <w:tcW w:w="0" w:type="auto"/>
            <w:gridSpan w:val="3"/>
            <w:shd w:val="clear" w:color="auto" w:fill="auto"/>
          </w:tcPr>
          <w:p w14:paraId="7E784407" w14:textId="77777777" w:rsidR="00A82082" w:rsidRDefault="00A82082">
            <w:pPr>
              <w:rPr>
                <w:rFonts w:ascii="宋体"/>
                <w:vanish/>
              </w:rPr>
            </w:pPr>
          </w:p>
        </w:tc>
        <w:tc>
          <w:tcPr>
            <w:tcW w:w="0" w:type="auto"/>
            <w:gridSpan w:val="3"/>
            <w:shd w:val="clear" w:color="auto" w:fill="auto"/>
          </w:tcPr>
          <w:p w14:paraId="7E784408" w14:textId="77777777" w:rsidR="00A82082" w:rsidRDefault="00A82082">
            <w:pPr>
              <w:rPr>
                <w:rFonts w:ascii="宋体"/>
                <w:vanish/>
              </w:rPr>
            </w:pPr>
          </w:p>
        </w:tc>
        <w:tc>
          <w:tcPr>
            <w:tcW w:w="0" w:type="auto"/>
            <w:gridSpan w:val="3"/>
            <w:shd w:val="clear" w:color="auto" w:fill="auto"/>
          </w:tcPr>
          <w:p w14:paraId="7E784409" w14:textId="77777777" w:rsidR="00A82082" w:rsidRDefault="00A82082">
            <w:pPr>
              <w:rPr>
                <w:rFonts w:ascii="宋体"/>
                <w:vanish/>
              </w:rPr>
            </w:pPr>
          </w:p>
        </w:tc>
        <w:tc>
          <w:tcPr>
            <w:tcW w:w="0" w:type="auto"/>
            <w:shd w:val="clear" w:color="auto" w:fill="auto"/>
          </w:tcPr>
          <w:p w14:paraId="7E78440A" w14:textId="77777777" w:rsidR="00A82082" w:rsidRDefault="00A82082">
            <w:pPr>
              <w:rPr>
                <w:rFonts w:ascii="宋体"/>
                <w:vanish/>
              </w:rPr>
            </w:pPr>
          </w:p>
        </w:tc>
        <w:tc>
          <w:tcPr>
            <w:tcW w:w="0" w:type="auto"/>
            <w:shd w:val="clear" w:color="auto" w:fill="auto"/>
          </w:tcPr>
          <w:p w14:paraId="7E78440B" w14:textId="77777777" w:rsidR="00A82082" w:rsidRDefault="00A82082">
            <w:pPr>
              <w:rPr>
                <w:rFonts w:ascii="宋体"/>
                <w:vanish/>
              </w:rPr>
            </w:pPr>
          </w:p>
        </w:tc>
        <w:tc>
          <w:tcPr>
            <w:tcW w:w="0" w:type="auto"/>
            <w:shd w:val="clear" w:color="auto" w:fill="auto"/>
          </w:tcPr>
          <w:p w14:paraId="7E78440C" w14:textId="77777777" w:rsidR="00A82082" w:rsidRDefault="00A82082">
            <w:pPr>
              <w:rPr>
                <w:rFonts w:ascii="宋体"/>
                <w:vanish/>
              </w:rPr>
            </w:pPr>
          </w:p>
        </w:tc>
      </w:tr>
      <w:tr w:rsidR="00A82082" w14:paraId="7E784429" w14:textId="77777777">
        <w:tc>
          <w:tcPr>
            <w:tcW w:w="0" w:type="auto"/>
            <w:gridSpan w:val="3"/>
            <w:shd w:val="clear" w:color="auto" w:fill="FFFFFF"/>
            <w:tcMar>
              <w:top w:w="40" w:type="dxa"/>
              <w:left w:w="20" w:type="dxa"/>
              <w:bottom w:w="40" w:type="dxa"/>
              <w:right w:w="20" w:type="dxa"/>
            </w:tcMar>
            <w:vAlign w:val="center"/>
          </w:tcPr>
          <w:p w14:paraId="7E78440E" w14:textId="77777777" w:rsidR="00A82082" w:rsidRDefault="00E946F9">
            <w:pPr>
              <w:textAlignment w:val="center"/>
            </w:pPr>
            <w:r>
              <w:rPr>
                <w:rFonts w:ascii="Times New Roman" w:eastAsia="宋体" w:hAnsi="Times New Roman"/>
                <w:color w:val="000000"/>
                <w:sz w:val="16"/>
                <w:szCs w:val="16"/>
              </w:rPr>
              <w:t>Dividends declared ($2.16 per share)</w:t>
            </w:r>
          </w:p>
        </w:tc>
        <w:tc>
          <w:tcPr>
            <w:tcW w:w="0" w:type="auto"/>
            <w:gridSpan w:val="2"/>
            <w:shd w:val="clear" w:color="auto" w:fill="FFFFFF"/>
            <w:tcMar>
              <w:top w:w="40" w:type="dxa"/>
              <w:left w:w="20" w:type="dxa"/>
              <w:bottom w:w="40" w:type="dxa"/>
              <w:right w:w="0" w:type="dxa"/>
            </w:tcMar>
            <w:vAlign w:val="center"/>
          </w:tcPr>
          <w:p w14:paraId="7E78440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1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1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1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1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1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1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1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1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18" w14:textId="77777777" w:rsidR="00A82082" w:rsidRDefault="00E946F9">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7E78441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1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1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1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1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1E" w14:textId="77777777" w:rsidR="00A82082" w:rsidRDefault="00E946F9">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7E78441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2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2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2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2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24" w14:textId="77777777" w:rsidR="00A82082" w:rsidRDefault="00E946F9">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7E784425" w14:textId="77777777" w:rsidR="00A82082" w:rsidRDefault="00A82082">
            <w:pPr>
              <w:jc w:val="right"/>
              <w:rPr>
                <w:rFonts w:ascii="宋体"/>
              </w:rPr>
            </w:pPr>
          </w:p>
        </w:tc>
        <w:tc>
          <w:tcPr>
            <w:tcW w:w="0" w:type="auto"/>
            <w:shd w:val="clear" w:color="auto" w:fill="auto"/>
          </w:tcPr>
          <w:p w14:paraId="7E784426" w14:textId="77777777" w:rsidR="00A82082" w:rsidRDefault="00A82082">
            <w:pPr>
              <w:rPr>
                <w:rFonts w:ascii="宋体"/>
                <w:vanish/>
              </w:rPr>
            </w:pPr>
          </w:p>
        </w:tc>
        <w:tc>
          <w:tcPr>
            <w:tcW w:w="0" w:type="auto"/>
            <w:shd w:val="clear" w:color="auto" w:fill="auto"/>
          </w:tcPr>
          <w:p w14:paraId="7E784427" w14:textId="77777777" w:rsidR="00A82082" w:rsidRDefault="00A82082">
            <w:pPr>
              <w:rPr>
                <w:rFonts w:ascii="宋体"/>
                <w:vanish/>
              </w:rPr>
            </w:pPr>
          </w:p>
        </w:tc>
        <w:tc>
          <w:tcPr>
            <w:tcW w:w="0" w:type="auto"/>
            <w:shd w:val="clear" w:color="auto" w:fill="auto"/>
          </w:tcPr>
          <w:p w14:paraId="7E784428" w14:textId="77777777" w:rsidR="00A82082" w:rsidRDefault="00A82082">
            <w:pPr>
              <w:rPr>
                <w:rFonts w:ascii="宋体"/>
                <w:vanish/>
              </w:rPr>
            </w:pPr>
          </w:p>
        </w:tc>
      </w:tr>
      <w:tr w:rsidR="00A82082" w14:paraId="7E784445" w14:textId="77777777">
        <w:tc>
          <w:tcPr>
            <w:tcW w:w="0" w:type="auto"/>
            <w:gridSpan w:val="3"/>
            <w:shd w:val="clear" w:color="auto" w:fill="CCEEFF"/>
            <w:tcMar>
              <w:top w:w="40" w:type="dxa"/>
              <w:left w:w="20" w:type="dxa"/>
              <w:bottom w:w="40" w:type="dxa"/>
              <w:right w:w="20" w:type="dxa"/>
            </w:tcMar>
            <w:vAlign w:val="center"/>
          </w:tcPr>
          <w:p w14:paraId="7E78442A"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7E78442B" w14:textId="77777777" w:rsidR="00A82082" w:rsidRDefault="00E946F9">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7E78442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2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2E"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7E78442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31" w14:textId="77777777" w:rsidR="00A82082" w:rsidRDefault="00E946F9">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7E78443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34" w14:textId="77777777" w:rsidR="00A82082" w:rsidRDefault="00E946F9">
            <w:pPr>
              <w:jc w:val="right"/>
              <w:textAlignment w:val="center"/>
            </w:pPr>
            <w:r>
              <w:rPr>
                <w:rFonts w:ascii="Times New Roman" w:eastAsia="宋体" w:hAnsi="Times New Roman"/>
                <w:color w:val="000000"/>
                <w:sz w:val="16"/>
                <w:szCs w:val="16"/>
              </w:rPr>
              <w:t>(666)</w:t>
            </w:r>
          </w:p>
        </w:tc>
        <w:tc>
          <w:tcPr>
            <w:tcW w:w="0" w:type="auto"/>
            <w:shd w:val="clear" w:color="auto" w:fill="CCEEFF"/>
            <w:tcMar>
              <w:top w:w="40" w:type="dxa"/>
              <w:left w:w="0" w:type="dxa"/>
              <w:bottom w:w="40" w:type="dxa"/>
              <w:right w:w="20" w:type="dxa"/>
            </w:tcMar>
            <w:vAlign w:val="center"/>
          </w:tcPr>
          <w:p w14:paraId="7E78443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3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3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3A" w14:textId="77777777" w:rsidR="00A82082" w:rsidRDefault="00E946F9">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7E78443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3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3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3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40" w14:textId="77777777" w:rsidR="00A82082" w:rsidRDefault="00E946F9">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7E784441" w14:textId="77777777" w:rsidR="00A82082" w:rsidRDefault="00A82082">
            <w:pPr>
              <w:jc w:val="right"/>
              <w:rPr>
                <w:rFonts w:ascii="宋体"/>
              </w:rPr>
            </w:pPr>
          </w:p>
        </w:tc>
        <w:tc>
          <w:tcPr>
            <w:tcW w:w="0" w:type="auto"/>
            <w:shd w:val="clear" w:color="auto" w:fill="auto"/>
          </w:tcPr>
          <w:p w14:paraId="7E784442" w14:textId="77777777" w:rsidR="00A82082" w:rsidRDefault="00A82082">
            <w:pPr>
              <w:rPr>
                <w:rFonts w:ascii="宋体"/>
                <w:vanish/>
              </w:rPr>
            </w:pPr>
          </w:p>
        </w:tc>
        <w:tc>
          <w:tcPr>
            <w:tcW w:w="0" w:type="auto"/>
            <w:shd w:val="clear" w:color="auto" w:fill="auto"/>
          </w:tcPr>
          <w:p w14:paraId="7E784443" w14:textId="77777777" w:rsidR="00A82082" w:rsidRDefault="00A82082">
            <w:pPr>
              <w:rPr>
                <w:rFonts w:ascii="宋体"/>
                <w:vanish/>
              </w:rPr>
            </w:pPr>
          </w:p>
        </w:tc>
        <w:tc>
          <w:tcPr>
            <w:tcW w:w="0" w:type="auto"/>
            <w:shd w:val="clear" w:color="auto" w:fill="auto"/>
          </w:tcPr>
          <w:p w14:paraId="7E784444" w14:textId="77777777" w:rsidR="00A82082" w:rsidRDefault="00A82082">
            <w:pPr>
              <w:rPr>
                <w:rFonts w:ascii="宋体"/>
                <w:vanish/>
              </w:rPr>
            </w:pPr>
          </w:p>
        </w:tc>
      </w:tr>
      <w:tr w:rsidR="00A82082" w14:paraId="7E784461" w14:textId="77777777">
        <w:tc>
          <w:tcPr>
            <w:tcW w:w="0" w:type="auto"/>
            <w:gridSpan w:val="3"/>
            <w:shd w:val="clear" w:color="auto" w:fill="FFFFFF"/>
            <w:tcMar>
              <w:top w:w="40" w:type="dxa"/>
              <w:left w:w="20" w:type="dxa"/>
              <w:bottom w:w="40" w:type="dxa"/>
              <w:right w:w="20" w:type="dxa"/>
            </w:tcMar>
            <w:vAlign w:val="center"/>
          </w:tcPr>
          <w:p w14:paraId="7E784446" w14:textId="77777777" w:rsidR="00A82082" w:rsidRDefault="00E946F9">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7E78444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4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4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4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4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4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4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4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4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5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5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5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5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5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5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5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5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5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59" w14:textId="77777777" w:rsidR="00A82082" w:rsidRDefault="00E946F9">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7E78445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5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5C" w14:textId="77777777" w:rsidR="00A82082" w:rsidRDefault="00E946F9">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7E78445D" w14:textId="77777777" w:rsidR="00A82082" w:rsidRDefault="00A82082">
            <w:pPr>
              <w:jc w:val="right"/>
              <w:rPr>
                <w:rFonts w:ascii="宋体"/>
              </w:rPr>
            </w:pPr>
          </w:p>
        </w:tc>
        <w:tc>
          <w:tcPr>
            <w:tcW w:w="0" w:type="auto"/>
            <w:shd w:val="clear" w:color="auto" w:fill="auto"/>
          </w:tcPr>
          <w:p w14:paraId="7E78445E" w14:textId="77777777" w:rsidR="00A82082" w:rsidRDefault="00A82082">
            <w:pPr>
              <w:rPr>
                <w:rFonts w:ascii="宋体"/>
                <w:vanish/>
              </w:rPr>
            </w:pPr>
          </w:p>
        </w:tc>
        <w:tc>
          <w:tcPr>
            <w:tcW w:w="0" w:type="auto"/>
            <w:shd w:val="clear" w:color="auto" w:fill="auto"/>
          </w:tcPr>
          <w:p w14:paraId="7E78445F" w14:textId="77777777" w:rsidR="00A82082" w:rsidRDefault="00A82082">
            <w:pPr>
              <w:rPr>
                <w:rFonts w:ascii="宋体"/>
                <w:vanish/>
              </w:rPr>
            </w:pPr>
          </w:p>
        </w:tc>
        <w:tc>
          <w:tcPr>
            <w:tcW w:w="0" w:type="auto"/>
            <w:shd w:val="clear" w:color="auto" w:fill="auto"/>
          </w:tcPr>
          <w:p w14:paraId="7E784460" w14:textId="77777777" w:rsidR="00A82082" w:rsidRDefault="00A82082">
            <w:pPr>
              <w:rPr>
                <w:rFonts w:ascii="宋体"/>
                <w:vanish/>
              </w:rPr>
            </w:pPr>
          </w:p>
        </w:tc>
      </w:tr>
      <w:tr w:rsidR="00A82082" w14:paraId="7E78447D" w14:textId="77777777">
        <w:tc>
          <w:tcPr>
            <w:tcW w:w="0" w:type="auto"/>
            <w:gridSpan w:val="3"/>
            <w:shd w:val="clear" w:color="auto" w:fill="CCEEFF"/>
            <w:tcMar>
              <w:top w:w="40" w:type="dxa"/>
              <w:left w:w="20" w:type="dxa"/>
              <w:bottom w:w="40" w:type="dxa"/>
              <w:right w:w="20" w:type="dxa"/>
            </w:tcMar>
            <w:vAlign w:val="center"/>
          </w:tcPr>
          <w:p w14:paraId="7E784462"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7E784463" w14:textId="77777777" w:rsidR="00A82082" w:rsidRDefault="00E946F9">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7E78446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6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66" w14:textId="77777777" w:rsidR="00A82082" w:rsidRDefault="00E946F9">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7E78446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6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69" w14:textId="77777777" w:rsidR="00A82082" w:rsidRDefault="00E946F9">
            <w:pPr>
              <w:jc w:val="right"/>
              <w:textAlignment w:val="center"/>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vAlign w:val="center"/>
          </w:tcPr>
          <w:p w14:paraId="7E78446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6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6C" w14:textId="77777777" w:rsidR="00A82082" w:rsidRDefault="00E946F9">
            <w:pPr>
              <w:jc w:val="right"/>
              <w:textAlignment w:val="center"/>
            </w:pPr>
            <w:r>
              <w:rPr>
                <w:rFonts w:ascii="Times New Roman" w:eastAsia="宋体" w:hAnsi="Times New Roman"/>
                <w:color w:val="000000"/>
                <w:sz w:val="16"/>
                <w:szCs w:val="16"/>
              </w:rPr>
              <w:t>(9)</w:t>
            </w:r>
          </w:p>
        </w:tc>
        <w:tc>
          <w:tcPr>
            <w:tcW w:w="0" w:type="auto"/>
            <w:shd w:val="clear" w:color="auto" w:fill="CCEEFF"/>
            <w:tcMar>
              <w:top w:w="40" w:type="dxa"/>
              <w:left w:w="0" w:type="dxa"/>
              <w:bottom w:w="40" w:type="dxa"/>
              <w:right w:w="20" w:type="dxa"/>
            </w:tcMar>
            <w:vAlign w:val="center"/>
          </w:tcPr>
          <w:p w14:paraId="7E78446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6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6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7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7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72" w14:textId="77777777" w:rsidR="00A82082" w:rsidRDefault="00E946F9">
            <w:pPr>
              <w:jc w:val="right"/>
              <w:textAlignment w:val="center"/>
            </w:pPr>
            <w:r>
              <w:rPr>
                <w:rFonts w:ascii="Times New Roman" w:eastAsia="宋体" w:hAnsi="Times New Roman"/>
                <w:color w:val="000000"/>
                <w:sz w:val="16"/>
                <w:szCs w:val="16"/>
              </w:rPr>
              <w:t>(246)</w:t>
            </w:r>
          </w:p>
        </w:tc>
        <w:tc>
          <w:tcPr>
            <w:tcW w:w="0" w:type="auto"/>
            <w:shd w:val="clear" w:color="auto" w:fill="CCEEFF"/>
            <w:tcMar>
              <w:top w:w="40" w:type="dxa"/>
              <w:left w:w="0" w:type="dxa"/>
              <w:bottom w:w="40" w:type="dxa"/>
              <w:right w:w="20" w:type="dxa"/>
            </w:tcMar>
            <w:vAlign w:val="center"/>
          </w:tcPr>
          <w:p w14:paraId="7E78447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7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75" w14:textId="77777777" w:rsidR="00A82082" w:rsidRDefault="00E946F9">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7E78447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7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78" w14:textId="77777777" w:rsidR="00A82082" w:rsidRDefault="00E946F9">
            <w:pPr>
              <w:jc w:val="right"/>
              <w:textAlignment w:val="center"/>
            </w:pPr>
            <w:r>
              <w:rPr>
                <w:rFonts w:ascii="Times New Roman" w:eastAsia="宋体" w:hAnsi="Times New Roman"/>
                <w:color w:val="000000"/>
                <w:sz w:val="16"/>
                <w:szCs w:val="16"/>
              </w:rPr>
              <w:t>(272)</w:t>
            </w:r>
          </w:p>
        </w:tc>
        <w:tc>
          <w:tcPr>
            <w:tcW w:w="0" w:type="auto"/>
            <w:shd w:val="clear" w:color="auto" w:fill="CCEEFF"/>
            <w:tcMar>
              <w:top w:w="40" w:type="dxa"/>
              <w:left w:w="0" w:type="dxa"/>
              <w:bottom w:w="40" w:type="dxa"/>
              <w:right w:w="20" w:type="dxa"/>
            </w:tcMar>
            <w:vAlign w:val="center"/>
          </w:tcPr>
          <w:p w14:paraId="7E784479" w14:textId="77777777" w:rsidR="00A82082" w:rsidRDefault="00A82082">
            <w:pPr>
              <w:jc w:val="right"/>
              <w:rPr>
                <w:rFonts w:ascii="宋体"/>
              </w:rPr>
            </w:pPr>
          </w:p>
        </w:tc>
        <w:tc>
          <w:tcPr>
            <w:tcW w:w="0" w:type="auto"/>
            <w:shd w:val="clear" w:color="auto" w:fill="auto"/>
          </w:tcPr>
          <w:p w14:paraId="7E78447A" w14:textId="77777777" w:rsidR="00A82082" w:rsidRDefault="00A82082">
            <w:pPr>
              <w:rPr>
                <w:rFonts w:ascii="宋体"/>
                <w:vanish/>
              </w:rPr>
            </w:pPr>
          </w:p>
        </w:tc>
        <w:tc>
          <w:tcPr>
            <w:tcW w:w="0" w:type="auto"/>
            <w:shd w:val="clear" w:color="auto" w:fill="auto"/>
          </w:tcPr>
          <w:p w14:paraId="7E78447B" w14:textId="77777777" w:rsidR="00A82082" w:rsidRDefault="00A82082">
            <w:pPr>
              <w:rPr>
                <w:rFonts w:ascii="宋体"/>
                <w:vanish/>
              </w:rPr>
            </w:pPr>
          </w:p>
        </w:tc>
        <w:tc>
          <w:tcPr>
            <w:tcW w:w="0" w:type="auto"/>
            <w:shd w:val="clear" w:color="auto" w:fill="auto"/>
          </w:tcPr>
          <w:p w14:paraId="7E78447C" w14:textId="77777777" w:rsidR="00A82082" w:rsidRDefault="00A82082">
            <w:pPr>
              <w:rPr>
                <w:rFonts w:ascii="宋体"/>
                <w:vanish/>
              </w:rPr>
            </w:pPr>
          </w:p>
        </w:tc>
      </w:tr>
      <w:tr w:rsidR="00E946F9" w14:paraId="7E7844A0" w14:textId="77777777">
        <w:tc>
          <w:tcPr>
            <w:tcW w:w="0" w:type="auto"/>
            <w:gridSpan w:val="3"/>
            <w:shd w:val="clear" w:color="auto" w:fill="FFFFFF"/>
            <w:tcMar>
              <w:top w:w="40" w:type="dxa"/>
              <w:left w:w="20" w:type="dxa"/>
              <w:bottom w:w="40" w:type="dxa"/>
              <w:right w:w="20" w:type="dxa"/>
            </w:tcMar>
            <w:vAlign w:val="center"/>
          </w:tcPr>
          <w:p w14:paraId="7E78447E" w14:textId="77777777" w:rsidR="00A82082" w:rsidRDefault="00E946F9">
            <w:pPr>
              <w:textAlignment w:val="center"/>
            </w:pPr>
            <w:r>
              <w:rPr>
                <w:rFonts w:ascii="Times New Roman" w:eastAsia="宋体" w:hAnsi="Times New Roman"/>
                <w:b/>
                <w:bCs/>
                <w:color w:val="000000"/>
                <w:sz w:val="16"/>
                <w:szCs w:val="16"/>
              </w:rPr>
              <w:t>Balances as of April 30,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47F" w14:textId="77777777" w:rsidR="00A82082" w:rsidRDefault="00E946F9">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8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81"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8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83" w14:textId="77777777" w:rsidR="00A82082" w:rsidRDefault="00E946F9">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8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85"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8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87" w14:textId="77777777" w:rsidR="00A82082" w:rsidRDefault="00E946F9">
            <w:pPr>
              <w:jc w:val="right"/>
              <w:textAlignment w:val="center"/>
            </w:pPr>
            <w:r>
              <w:rPr>
                <w:rFonts w:ascii="Times New Roman" w:eastAsia="宋体" w:hAnsi="Times New Roman"/>
                <w:color w:val="000000"/>
                <w:sz w:val="16"/>
                <w:szCs w:val="16"/>
              </w:rPr>
              <w:t>2,983 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8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89"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8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8B" w14:textId="77777777" w:rsidR="00A82082" w:rsidRDefault="00E946F9">
            <w:pPr>
              <w:jc w:val="right"/>
              <w:textAlignment w:val="center"/>
            </w:pPr>
            <w:r>
              <w:rPr>
                <w:rFonts w:ascii="Times New Roman" w:eastAsia="宋体" w:hAnsi="Times New Roman"/>
                <w:color w:val="000000"/>
                <w:sz w:val="16"/>
                <w:szCs w:val="16"/>
              </w:rPr>
              <w:t>81,141 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8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8D"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8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8F" w14:textId="77777777" w:rsidR="00A82082" w:rsidRDefault="00E946F9">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9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91"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9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93" w14:textId="77777777" w:rsidR="00A82082" w:rsidRDefault="00E946F9">
            <w:pPr>
              <w:jc w:val="right"/>
              <w:textAlignment w:val="center"/>
            </w:pPr>
            <w:r>
              <w:rPr>
                <w:rFonts w:ascii="Times New Roman" w:eastAsia="宋体" w:hAnsi="Times New Roman"/>
                <w:color w:val="000000"/>
                <w:sz w:val="16"/>
                <w:szCs w:val="16"/>
              </w:rPr>
              <w:t>68,240 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9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95"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9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97" w14:textId="77777777" w:rsidR="00A82082" w:rsidRDefault="00E946F9">
            <w:pPr>
              <w:jc w:val="right"/>
              <w:textAlignment w:val="center"/>
            </w:pPr>
            <w:r>
              <w:rPr>
                <w:rFonts w:ascii="Times New Roman" w:eastAsia="宋体" w:hAnsi="Times New Roman"/>
                <w:color w:val="000000"/>
                <w:sz w:val="16"/>
                <w:szCs w:val="16"/>
              </w:rPr>
              <w:t>5,870 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9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99"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49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49B" w14:textId="77777777" w:rsidR="00A82082" w:rsidRDefault="00E946F9">
            <w:pPr>
              <w:jc w:val="right"/>
              <w:textAlignment w:val="center"/>
            </w:pPr>
            <w:r>
              <w:rPr>
                <w:rFonts w:ascii="Times New Roman" w:eastAsia="宋体" w:hAnsi="Times New Roman"/>
                <w:color w:val="000000"/>
                <w:sz w:val="16"/>
                <w:szCs w:val="16"/>
              </w:rPr>
              <w:t>74,110 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49C" w14:textId="77777777" w:rsidR="00A82082" w:rsidRDefault="00A82082">
            <w:pPr>
              <w:jc w:val="right"/>
              <w:rPr>
                <w:rFonts w:ascii="宋体"/>
              </w:rPr>
            </w:pPr>
          </w:p>
        </w:tc>
        <w:tc>
          <w:tcPr>
            <w:tcW w:w="0" w:type="auto"/>
            <w:shd w:val="clear" w:color="auto" w:fill="auto"/>
          </w:tcPr>
          <w:p w14:paraId="7E78449D" w14:textId="77777777" w:rsidR="00A82082" w:rsidRDefault="00A82082">
            <w:pPr>
              <w:rPr>
                <w:rFonts w:ascii="宋体"/>
                <w:vanish/>
              </w:rPr>
            </w:pPr>
          </w:p>
        </w:tc>
        <w:tc>
          <w:tcPr>
            <w:tcW w:w="0" w:type="auto"/>
            <w:shd w:val="clear" w:color="auto" w:fill="auto"/>
          </w:tcPr>
          <w:p w14:paraId="7E78449E" w14:textId="77777777" w:rsidR="00A82082" w:rsidRDefault="00A82082">
            <w:pPr>
              <w:rPr>
                <w:rFonts w:ascii="宋体"/>
                <w:vanish/>
              </w:rPr>
            </w:pPr>
          </w:p>
        </w:tc>
        <w:tc>
          <w:tcPr>
            <w:tcW w:w="0" w:type="auto"/>
            <w:shd w:val="clear" w:color="auto" w:fill="auto"/>
          </w:tcPr>
          <w:p w14:paraId="7E78449F" w14:textId="77777777" w:rsidR="00A82082" w:rsidRDefault="00A82082">
            <w:pPr>
              <w:rPr>
                <w:rFonts w:ascii="宋体"/>
                <w:vanish/>
              </w:rPr>
            </w:pPr>
          </w:p>
        </w:tc>
      </w:tr>
      <w:tr w:rsidR="00A82082" w14:paraId="7E7844BC" w14:textId="77777777">
        <w:tc>
          <w:tcPr>
            <w:tcW w:w="0" w:type="auto"/>
            <w:gridSpan w:val="3"/>
            <w:shd w:val="clear" w:color="auto" w:fill="CCEEFF"/>
            <w:tcMar>
              <w:top w:w="40" w:type="dxa"/>
              <w:left w:w="20" w:type="dxa"/>
              <w:bottom w:w="40" w:type="dxa"/>
              <w:right w:w="20" w:type="dxa"/>
            </w:tcMar>
            <w:vAlign w:val="center"/>
          </w:tcPr>
          <w:p w14:paraId="7E7844A1"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7E7844A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A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A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A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A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A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A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A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A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AB" w14:textId="77777777" w:rsidR="00A82082" w:rsidRDefault="00E946F9">
            <w:pPr>
              <w:jc w:val="right"/>
              <w:textAlignment w:val="center"/>
            </w:pPr>
            <w:r>
              <w:rPr>
                <w:rFonts w:ascii="Times New Roman" w:eastAsia="宋体" w:hAnsi="Times New Roman"/>
                <w:color w:val="000000"/>
                <w:sz w:val="16"/>
                <w:szCs w:val="16"/>
              </w:rPr>
              <w:t>6,476 </w:t>
            </w:r>
          </w:p>
        </w:tc>
        <w:tc>
          <w:tcPr>
            <w:tcW w:w="0" w:type="auto"/>
            <w:shd w:val="clear" w:color="auto" w:fill="CCEEFF"/>
            <w:tcMar>
              <w:top w:w="40" w:type="dxa"/>
              <w:left w:w="0" w:type="dxa"/>
              <w:bottom w:w="40" w:type="dxa"/>
              <w:right w:w="20" w:type="dxa"/>
            </w:tcMar>
            <w:vAlign w:val="center"/>
          </w:tcPr>
          <w:p w14:paraId="7E7844A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A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A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4A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B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B1" w14:textId="77777777" w:rsidR="00A82082" w:rsidRDefault="00E946F9">
            <w:pPr>
              <w:jc w:val="right"/>
              <w:textAlignment w:val="center"/>
            </w:pPr>
            <w:r>
              <w:rPr>
                <w:rFonts w:ascii="Times New Roman" w:eastAsia="宋体" w:hAnsi="Times New Roman"/>
                <w:color w:val="000000"/>
                <w:sz w:val="16"/>
                <w:szCs w:val="16"/>
              </w:rPr>
              <w:t>6,476 </w:t>
            </w:r>
          </w:p>
        </w:tc>
        <w:tc>
          <w:tcPr>
            <w:tcW w:w="0" w:type="auto"/>
            <w:shd w:val="clear" w:color="auto" w:fill="CCEEFF"/>
            <w:tcMar>
              <w:top w:w="40" w:type="dxa"/>
              <w:left w:w="0" w:type="dxa"/>
              <w:bottom w:w="40" w:type="dxa"/>
              <w:right w:w="20" w:type="dxa"/>
            </w:tcMar>
            <w:vAlign w:val="center"/>
          </w:tcPr>
          <w:p w14:paraId="7E7844B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B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B4" w14:textId="77777777" w:rsidR="00A82082" w:rsidRDefault="00E946F9">
            <w:pPr>
              <w:jc w:val="right"/>
              <w:textAlignment w:val="center"/>
            </w:pPr>
            <w:r>
              <w:rPr>
                <w:rFonts w:ascii="Times New Roman" w:eastAsia="宋体" w:hAnsi="Times New Roman"/>
                <w:color w:val="000000"/>
                <w:sz w:val="16"/>
                <w:szCs w:val="16"/>
              </w:rPr>
              <w:t>(37)</w:t>
            </w:r>
          </w:p>
        </w:tc>
        <w:tc>
          <w:tcPr>
            <w:tcW w:w="0" w:type="auto"/>
            <w:shd w:val="clear" w:color="auto" w:fill="CCEEFF"/>
            <w:tcMar>
              <w:top w:w="40" w:type="dxa"/>
              <w:left w:w="0" w:type="dxa"/>
              <w:bottom w:w="40" w:type="dxa"/>
              <w:right w:w="20" w:type="dxa"/>
            </w:tcMar>
            <w:vAlign w:val="center"/>
          </w:tcPr>
          <w:p w14:paraId="7E7844B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4B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4B7" w14:textId="77777777" w:rsidR="00A82082" w:rsidRDefault="00E946F9">
            <w:pPr>
              <w:jc w:val="right"/>
              <w:textAlignment w:val="center"/>
            </w:pPr>
            <w:r>
              <w:rPr>
                <w:rFonts w:ascii="Times New Roman" w:eastAsia="宋体" w:hAnsi="Times New Roman"/>
                <w:color w:val="000000"/>
                <w:sz w:val="16"/>
                <w:szCs w:val="16"/>
              </w:rPr>
              <w:t>6,439 </w:t>
            </w:r>
          </w:p>
        </w:tc>
        <w:tc>
          <w:tcPr>
            <w:tcW w:w="0" w:type="auto"/>
            <w:shd w:val="clear" w:color="auto" w:fill="CCEEFF"/>
            <w:tcMar>
              <w:top w:w="40" w:type="dxa"/>
              <w:left w:w="0" w:type="dxa"/>
              <w:bottom w:w="40" w:type="dxa"/>
              <w:right w:w="20" w:type="dxa"/>
            </w:tcMar>
            <w:vAlign w:val="center"/>
          </w:tcPr>
          <w:p w14:paraId="7E7844B8" w14:textId="77777777" w:rsidR="00A82082" w:rsidRDefault="00A82082">
            <w:pPr>
              <w:jc w:val="right"/>
              <w:rPr>
                <w:rFonts w:ascii="宋体"/>
              </w:rPr>
            </w:pPr>
          </w:p>
        </w:tc>
        <w:tc>
          <w:tcPr>
            <w:tcW w:w="0" w:type="auto"/>
            <w:shd w:val="clear" w:color="auto" w:fill="auto"/>
          </w:tcPr>
          <w:p w14:paraId="7E7844B9" w14:textId="77777777" w:rsidR="00A82082" w:rsidRDefault="00A82082">
            <w:pPr>
              <w:rPr>
                <w:rFonts w:ascii="宋体"/>
                <w:vanish/>
              </w:rPr>
            </w:pPr>
          </w:p>
        </w:tc>
        <w:tc>
          <w:tcPr>
            <w:tcW w:w="0" w:type="auto"/>
            <w:shd w:val="clear" w:color="auto" w:fill="auto"/>
          </w:tcPr>
          <w:p w14:paraId="7E7844BA" w14:textId="77777777" w:rsidR="00A82082" w:rsidRDefault="00A82082">
            <w:pPr>
              <w:rPr>
                <w:rFonts w:ascii="宋体"/>
                <w:vanish/>
              </w:rPr>
            </w:pPr>
          </w:p>
        </w:tc>
        <w:tc>
          <w:tcPr>
            <w:tcW w:w="0" w:type="auto"/>
            <w:shd w:val="clear" w:color="auto" w:fill="auto"/>
          </w:tcPr>
          <w:p w14:paraId="7E7844BB" w14:textId="77777777" w:rsidR="00A82082" w:rsidRDefault="00A82082">
            <w:pPr>
              <w:rPr>
                <w:rFonts w:ascii="宋体"/>
                <w:vanish/>
              </w:rPr>
            </w:pPr>
          </w:p>
        </w:tc>
      </w:tr>
      <w:tr w:rsidR="00A82082" w14:paraId="7E7844D8" w14:textId="77777777">
        <w:tc>
          <w:tcPr>
            <w:tcW w:w="0" w:type="auto"/>
            <w:gridSpan w:val="3"/>
            <w:shd w:val="clear" w:color="auto" w:fill="FFFFFF"/>
            <w:tcMar>
              <w:top w:w="40" w:type="dxa"/>
              <w:left w:w="20" w:type="dxa"/>
              <w:bottom w:w="40" w:type="dxa"/>
              <w:right w:w="20" w:type="dxa"/>
            </w:tcMar>
            <w:vAlign w:val="center"/>
          </w:tcPr>
          <w:p w14:paraId="7E7844BD" w14:textId="77777777" w:rsidR="00A82082" w:rsidRDefault="00E946F9">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FFFFFF"/>
            <w:tcMar>
              <w:top w:w="40" w:type="dxa"/>
              <w:left w:w="20" w:type="dxa"/>
              <w:bottom w:w="40" w:type="dxa"/>
              <w:right w:w="0" w:type="dxa"/>
            </w:tcMar>
            <w:vAlign w:val="center"/>
          </w:tcPr>
          <w:p w14:paraId="7E7844B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B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C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C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C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C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C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4C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CA" w14:textId="77777777" w:rsidR="00A82082" w:rsidRDefault="00E946F9">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7E7844C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CD" w14:textId="77777777" w:rsidR="00A82082" w:rsidRDefault="00E946F9">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7E7844C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C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D0" w14:textId="77777777" w:rsidR="00A82082" w:rsidRDefault="00E946F9">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7E7844D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4D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4D3" w14:textId="77777777" w:rsidR="00A82082" w:rsidRDefault="00E946F9">
            <w:pPr>
              <w:jc w:val="right"/>
              <w:textAlignment w:val="center"/>
            </w:pPr>
            <w:r>
              <w:rPr>
                <w:rFonts w:ascii="Times New Roman" w:eastAsia="宋体" w:hAnsi="Times New Roman"/>
                <w:color w:val="000000"/>
                <w:sz w:val="16"/>
                <w:szCs w:val="16"/>
              </w:rPr>
              <w:t>436 </w:t>
            </w:r>
          </w:p>
        </w:tc>
        <w:tc>
          <w:tcPr>
            <w:tcW w:w="0" w:type="auto"/>
            <w:shd w:val="clear" w:color="auto" w:fill="FFFFFF"/>
            <w:tcMar>
              <w:top w:w="40" w:type="dxa"/>
              <w:left w:w="0" w:type="dxa"/>
              <w:bottom w:w="40" w:type="dxa"/>
              <w:right w:w="20" w:type="dxa"/>
            </w:tcMar>
            <w:vAlign w:val="center"/>
          </w:tcPr>
          <w:p w14:paraId="7E7844D4" w14:textId="77777777" w:rsidR="00A82082" w:rsidRDefault="00A82082">
            <w:pPr>
              <w:jc w:val="right"/>
              <w:rPr>
                <w:rFonts w:ascii="宋体"/>
              </w:rPr>
            </w:pPr>
          </w:p>
        </w:tc>
        <w:tc>
          <w:tcPr>
            <w:tcW w:w="0" w:type="auto"/>
            <w:shd w:val="clear" w:color="auto" w:fill="auto"/>
          </w:tcPr>
          <w:p w14:paraId="7E7844D5" w14:textId="77777777" w:rsidR="00A82082" w:rsidRDefault="00A82082">
            <w:pPr>
              <w:rPr>
                <w:rFonts w:ascii="宋体"/>
                <w:vanish/>
              </w:rPr>
            </w:pPr>
          </w:p>
        </w:tc>
        <w:tc>
          <w:tcPr>
            <w:tcW w:w="0" w:type="auto"/>
            <w:shd w:val="clear" w:color="auto" w:fill="auto"/>
          </w:tcPr>
          <w:p w14:paraId="7E7844D6" w14:textId="77777777" w:rsidR="00A82082" w:rsidRDefault="00A82082">
            <w:pPr>
              <w:rPr>
                <w:rFonts w:ascii="宋体"/>
                <w:vanish/>
              </w:rPr>
            </w:pPr>
          </w:p>
        </w:tc>
        <w:tc>
          <w:tcPr>
            <w:tcW w:w="0" w:type="auto"/>
            <w:shd w:val="clear" w:color="auto" w:fill="auto"/>
          </w:tcPr>
          <w:p w14:paraId="7E7844D7" w14:textId="77777777" w:rsidR="00A82082" w:rsidRDefault="00A82082">
            <w:pPr>
              <w:rPr>
                <w:rFonts w:ascii="宋体"/>
                <w:vanish/>
              </w:rPr>
            </w:pPr>
          </w:p>
        </w:tc>
      </w:tr>
      <w:tr w:rsidR="00A82082" w14:paraId="7E7844EC" w14:textId="77777777">
        <w:trPr>
          <w:hidden/>
        </w:trPr>
        <w:tc>
          <w:tcPr>
            <w:tcW w:w="0" w:type="auto"/>
            <w:gridSpan w:val="3"/>
            <w:shd w:val="clear" w:color="auto" w:fill="auto"/>
          </w:tcPr>
          <w:p w14:paraId="7E7844D9" w14:textId="77777777" w:rsidR="00A82082" w:rsidRDefault="00A82082">
            <w:pPr>
              <w:rPr>
                <w:rFonts w:ascii="宋体"/>
                <w:vanish/>
              </w:rPr>
            </w:pPr>
          </w:p>
        </w:tc>
        <w:tc>
          <w:tcPr>
            <w:tcW w:w="0" w:type="auto"/>
            <w:gridSpan w:val="3"/>
            <w:shd w:val="clear" w:color="auto" w:fill="auto"/>
          </w:tcPr>
          <w:p w14:paraId="7E7844DA" w14:textId="77777777" w:rsidR="00A82082" w:rsidRDefault="00A82082">
            <w:pPr>
              <w:rPr>
                <w:rFonts w:ascii="宋体"/>
                <w:vanish/>
              </w:rPr>
            </w:pPr>
          </w:p>
        </w:tc>
        <w:tc>
          <w:tcPr>
            <w:tcW w:w="0" w:type="auto"/>
            <w:gridSpan w:val="3"/>
            <w:shd w:val="clear" w:color="auto" w:fill="auto"/>
          </w:tcPr>
          <w:p w14:paraId="7E7844DB" w14:textId="77777777" w:rsidR="00A82082" w:rsidRDefault="00A82082">
            <w:pPr>
              <w:rPr>
                <w:rFonts w:ascii="宋体"/>
                <w:vanish/>
              </w:rPr>
            </w:pPr>
          </w:p>
        </w:tc>
        <w:tc>
          <w:tcPr>
            <w:tcW w:w="0" w:type="auto"/>
            <w:gridSpan w:val="3"/>
            <w:shd w:val="clear" w:color="auto" w:fill="auto"/>
          </w:tcPr>
          <w:p w14:paraId="7E7844DC" w14:textId="77777777" w:rsidR="00A82082" w:rsidRDefault="00A82082">
            <w:pPr>
              <w:rPr>
                <w:rFonts w:ascii="宋体"/>
                <w:vanish/>
              </w:rPr>
            </w:pPr>
          </w:p>
        </w:tc>
        <w:tc>
          <w:tcPr>
            <w:tcW w:w="0" w:type="auto"/>
            <w:gridSpan w:val="3"/>
            <w:shd w:val="clear" w:color="auto" w:fill="auto"/>
          </w:tcPr>
          <w:p w14:paraId="7E7844DD" w14:textId="77777777" w:rsidR="00A82082" w:rsidRDefault="00A82082">
            <w:pPr>
              <w:rPr>
                <w:rFonts w:ascii="宋体"/>
                <w:vanish/>
              </w:rPr>
            </w:pPr>
          </w:p>
        </w:tc>
        <w:tc>
          <w:tcPr>
            <w:tcW w:w="0" w:type="auto"/>
            <w:gridSpan w:val="3"/>
            <w:shd w:val="clear" w:color="auto" w:fill="auto"/>
          </w:tcPr>
          <w:p w14:paraId="7E7844DE" w14:textId="77777777" w:rsidR="00A82082" w:rsidRDefault="00A82082">
            <w:pPr>
              <w:rPr>
                <w:rFonts w:ascii="宋体"/>
                <w:vanish/>
              </w:rPr>
            </w:pPr>
          </w:p>
        </w:tc>
        <w:tc>
          <w:tcPr>
            <w:tcW w:w="0" w:type="auto"/>
            <w:gridSpan w:val="3"/>
            <w:shd w:val="clear" w:color="auto" w:fill="auto"/>
          </w:tcPr>
          <w:p w14:paraId="7E7844DF" w14:textId="77777777" w:rsidR="00A82082" w:rsidRDefault="00A82082">
            <w:pPr>
              <w:rPr>
                <w:rFonts w:ascii="宋体"/>
                <w:vanish/>
              </w:rPr>
            </w:pPr>
          </w:p>
        </w:tc>
        <w:tc>
          <w:tcPr>
            <w:tcW w:w="0" w:type="auto"/>
            <w:gridSpan w:val="3"/>
            <w:shd w:val="clear" w:color="auto" w:fill="auto"/>
          </w:tcPr>
          <w:p w14:paraId="7E7844E0" w14:textId="77777777" w:rsidR="00A82082" w:rsidRDefault="00A82082">
            <w:pPr>
              <w:rPr>
                <w:rFonts w:ascii="宋体"/>
                <w:vanish/>
              </w:rPr>
            </w:pPr>
          </w:p>
        </w:tc>
        <w:tc>
          <w:tcPr>
            <w:tcW w:w="0" w:type="auto"/>
            <w:gridSpan w:val="3"/>
            <w:shd w:val="clear" w:color="auto" w:fill="auto"/>
          </w:tcPr>
          <w:p w14:paraId="7E7844E1" w14:textId="77777777" w:rsidR="00A82082" w:rsidRDefault="00A82082">
            <w:pPr>
              <w:rPr>
                <w:rFonts w:ascii="宋体"/>
                <w:vanish/>
              </w:rPr>
            </w:pPr>
          </w:p>
        </w:tc>
        <w:tc>
          <w:tcPr>
            <w:tcW w:w="0" w:type="auto"/>
            <w:gridSpan w:val="3"/>
            <w:shd w:val="clear" w:color="auto" w:fill="auto"/>
          </w:tcPr>
          <w:p w14:paraId="7E7844E2" w14:textId="77777777" w:rsidR="00A82082" w:rsidRDefault="00A82082">
            <w:pPr>
              <w:rPr>
                <w:rFonts w:ascii="宋体"/>
                <w:vanish/>
              </w:rPr>
            </w:pPr>
          </w:p>
        </w:tc>
        <w:tc>
          <w:tcPr>
            <w:tcW w:w="0" w:type="auto"/>
            <w:gridSpan w:val="3"/>
            <w:shd w:val="clear" w:color="auto" w:fill="auto"/>
          </w:tcPr>
          <w:p w14:paraId="7E7844E3" w14:textId="77777777" w:rsidR="00A82082" w:rsidRDefault="00A82082">
            <w:pPr>
              <w:rPr>
                <w:rFonts w:ascii="宋体"/>
                <w:vanish/>
              </w:rPr>
            </w:pPr>
          </w:p>
        </w:tc>
        <w:tc>
          <w:tcPr>
            <w:tcW w:w="0" w:type="auto"/>
            <w:gridSpan w:val="3"/>
            <w:shd w:val="clear" w:color="auto" w:fill="auto"/>
          </w:tcPr>
          <w:p w14:paraId="7E7844E4" w14:textId="77777777" w:rsidR="00A82082" w:rsidRDefault="00A82082">
            <w:pPr>
              <w:rPr>
                <w:rFonts w:ascii="宋体"/>
                <w:vanish/>
              </w:rPr>
            </w:pPr>
          </w:p>
        </w:tc>
        <w:tc>
          <w:tcPr>
            <w:tcW w:w="0" w:type="auto"/>
            <w:gridSpan w:val="3"/>
            <w:shd w:val="clear" w:color="auto" w:fill="auto"/>
          </w:tcPr>
          <w:p w14:paraId="7E7844E5" w14:textId="77777777" w:rsidR="00A82082" w:rsidRDefault="00A82082">
            <w:pPr>
              <w:rPr>
                <w:rFonts w:ascii="宋体"/>
                <w:vanish/>
              </w:rPr>
            </w:pPr>
          </w:p>
        </w:tc>
        <w:tc>
          <w:tcPr>
            <w:tcW w:w="0" w:type="auto"/>
            <w:gridSpan w:val="3"/>
            <w:shd w:val="clear" w:color="auto" w:fill="auto"/>
          </w:tcPr>
          <w:p w14:paraId="7E7844E6" w14:textId="77777777" w:rsidR="00A82082" w:rsidRDefault="00A82082">
            <w:pPr>
              <w:rPr>
                <w:rFonts w:ascii="宋体"/>
                <w:vanish/>
              </w:rPr>
            </w:pPr>
          </w:p>
        </w:tc>
        <w:tc>
          <w:tcPr>
            <w:tcW w:w="0" w:type="auto"/>
            <w:gridSpan w:val="3"/>
            <w:shd w:val="clear" w:color="auto" w:fill="auto"/>
          </w:tcPr>
          <w:p w14:paraId="7E7844E7" w14:textId="77777777" w:rsidR="00A82082" w:rsidRDefault="00A82082">
            <w:pPr>
              <w:rPr>
                <w:rFonts w:ascii="宋体"/>
                <w:vanish/>
              </w:rPr>
            </w:pPr>
          </w:p>
        </w:tc>
        <w:tc>
          <w:tcPr>
            <w:tcW w:w="0" w:type="auto"/>
            <w:gridSpan w:val="3"/>
            <w:shd w:val="clear" w:color="auto" w:fill="auto"/>
          </w:tcPr>
          <w:p w14:paraId="7E7844E8" w14:textId="77777777" w:rsidR="00A82082" w:rsidRDefault="00A82082">
            <w:pPr>
              <w:rPr>
                <w:rFonts w:ascii="宋体"/>
                <w:vanish/>
              </w:rPr>
            </w:pPr>
          </w:p>
        </w:tc>
        <w:tc>
          <w:tcPr>
            <w:tcW w:w="0" w:type="auto"/>
            <w:shd w:val="clear" w:color="auto" w:fill="auto"/>
          </w:tcPr>
          <w:p w14:paraId="7E7844E9" w14:textId="77777777" w:rsidR="00A82082" w:rsidRDefault="00A82082">
            <w:pPr>
              <w:rPr>
                <w:rFonts w:ascii="宋体"/>
                <w:vanish/>
              </w:rPr>
            </w:pPr>
          </w:p>
        </w:tc>
        <w:tc>
          <w:tcPr>
            <w:tcW w:w="0" w:type="auto"/>
            <w:shd w:val="clear" w:color="auto" w:fill="auto"/>
          </w:tcPr>
          <w:p w14:paraId="7E7844EA" w14:textId="77777777" w:rsidR="00A82082" w:rsidRDefault="00A82082">
            <w:pPr>
              <w:rPr>
                <w:rFonts w:ascii="宋体"/>
                <w:vanish/>
              </w:rPr>
            </w:pPr>
          </w:p>
        </w:tc>
        <w:tc>
          <w:tcPr>
            <w:tcW w:w="0" w:type="auto"/>
            <w:shd w:val="clear" w:color="auto" w:fill="auto"/>
          </w:tcPr>
          <w:p w14:paraId="7E7844EB" w14:textId="77777777" w:rsidR="00A82082" w:rsidRDefault="00A82082">
            <w:pPr>
              <w:rPr>
                <w:rFonts w:ascii="宋体"/>
                <w:vanish/>
              </w:rPr>
            </w:pPr>
          </w:p>
        </w:tc>
      </w:tr>
      <w:tr w:rsidR="00A82082" w14:paraId="7E784500" w14:textId="77777777">
        <w:trPr>
          <w:hidden/>
        </w:trPr>
        <w:tc>
          <w:tcPr>
            <w:tcW w:w="0" w:type="auto"/>
            <w:gridSpan w:val="3"/>
            <w:shd w:val="clear" w:color="auto" w:fill="auto"/>
          </w:tcPr>
          <w:p w14:paraId="7E7844ED" w14:textId="77777777" w:rsidR="00A82082" w:rsidRDefault="00A82082">
            <w:pPr>
              <w:rPr>
                <w:rFonts w:ascii="宋体"/>
                <w:vanish/>
              </w:rPr>
            </w:pPr>
          </w:p>
        </w:tc>
        <w:tc>
          <w:tcPr>
            <w:tcW w:w="0" w:type="auto"/>
            <w:gridSpan w:val="3"/>
            <w:shd w:val="clear" w:color="auto" w:fill="auto"/>
          </w:tcPr>
          <w:p w14:paraId="7E7844EE" w14:textId="77777777" w:rsidR="00A82082" w:rsidRDefault="00A82082">
            <w:pPr>
              <w:rPr>
                <w:rFonts w:ascii="宋体"/>
                <w:vanish/>
              </w:rPr>
            </w:pPr>
          </w:p>
        </w:tc>
        <w:tc>
          <w:tcPr>
            <w:tcW w:w="0" w:type="auto"/>
            <w:gridSpan w:val="3"/>
            <w:shd w:val="clear" w:color="auto" w:fill="auto"/>
          </w:tcPr>
          <w:p w14:paraId="7E7844EF" w14:textId="77777777" w:rsidR="00A82082" w:rsidRDefault="00A82082">
            <w:pPr>
              <w:rPr>
                <w:rFonts w:ascii="宋体"/>
                <w:vanish/>
              </w:rPr>
            </w:pPr>
          </w:p>
        </w:tc>
        <w:tc>
          <w:tcPr>
            <w:tcW w:w="0" w:type="auto"/>
            <w:gridSpan w:val="3"/>
            <w:shd w:val="clear" w:color="auto" w:fill="auto"/>
          </w:tcPr>
          <w:p w14:paraId="7E7844F0" w14:textId="77777777" w:rsidR="00A82082" w:rsidRDefault="00A82082">
            <w:pPr>
              <w:rPr>
                <w:rFonts w:ascii="宋体"/>
                <w:vanish/>
              </w:rPr>
            </w:pPr>
          </w:p>
        </w:tc>
        <w:tc>
          <w:tcPr>
            <w:tcW w:w="0" w:type="auto"/>
            <w:gridSpan w:val="3"/>
            <w:shd w:val="clear" w:color="auto" w:fill="auto"/>
          </w:tcPr>
          <w:p w14:paraId="7E7844F1" w14:textId="77777777" w:rsidR="00A82082" w:rsidRDefault="00A82082">
            <w:pPr>
              <w:rPr>
                <w:rFonts w:ascii="宋体"/>
                <w:vanish/>
              </w:rPr>
            </w:pPr>
          </w:p>
        </w:tc>
        <w:tc>
          <w:tcPr>
            <w:tcW w:w="0" w:type="auto"/>
            <w:gridSpan w:val="3"/>
            <w:shd w:val="clear" w:color="auto" w:fill="auto"/>
          </w:tcPr>
          <w:p w14:paraId="7E7844F2" w14:textId="77777777" w:rsidR="00A82082" w:rsidRDefault="00A82082">
            <w:pPr>
              <w:rPr>
                <w:rFonts w:ascii="宋体"/>
                <w:vanish/>
              </w:rPr>
            </w:pPr>
          </w:p>
        </w:tc>
        <w:tc>
          <w:tcPr>
            <w:tcW w:w="0" w:type="auto"/>
            <w:gridSpan w:val="3"/>
            <w:shd w:val="clear" w:color="auto" w:fill="auto"/>
          </w:tcPr>
          <w:p w14:paraId="7E7844F3" w14:textId="77777777" w:rsidR="00A82082" w:rsidRDefault="00A82082">
            <w:pPr>
              <w:rPr>
                <w:rFonts w:ascii="宋体"/>
                <w:vanish/>
              </w:rPr>
            </w:pPr>
          </w:p>
        </w:tc>
        <w:tc>
          <w:tcPr>
            <w:tcW w:w="0" w:type="auto"/>
            <w:gridSpan w:val="3"/>
            <w:shd w:val="clear" w:color="auto" w:fill="auto"/>
          </w:tcPr>
          <w:p w14:paraId="7E7844F4" w14:textId="77777777" w:rsidR="00A82082" w:rsidRDefault="00A82082">
            <w:pPr>
              <w:rPr>
                <w:rFonts w:ascii="宋体"/>
                <w:vanish/>
              </w:rPr>
            </w:pPr>
          </w:p>
        </w:tc>
        <w:tc>
          <w:tcPr>
            <w:tcW w:w="0" w:type="auto"/>
            <w:gridSpan w:val="3"/>
            <w:shd w:val="clear" w:color="auto" w:fill="auto"/>
          </w:tcPr>
          <w:p w14:paraId="7E7844F5" w14:textId="77777777" w:rsidR="00A82082" w:rsidRDefault="00A82082">
            <w:pPr>
              <w:rPr>
                <w:rFonts w:ascii="宋体"/>
                <w:vanish/>
              </w:rPr>
            </w:pPr>
          </w:p>
        </w:tc>
        <w:tc>
          <w:tcPr>
            <w:tcW w:w="0" w:type="auto"/>
            <w:gridSpan w:val="3"/>
            <w:shd w:val="clear" w:color="auto" w:fill="auto"/>
          </w:tcPr>
          <w:p w14:paraId="7E7844F6" w14:textId="77777777" w:rsidR="00A82082" w:rsidRDefault="00A82082">
            <w:pPr>
              <w:rPr>
                <w:rFonts w:ascii="宋体"/>
                <w:vanish/>
              </w:rPr>
            </w:pPr>
          </w:p>
        </w:tc>
        <w:tc>
          <w:tcPr>
            <w:tcW w:w="0" w:type="auto"/>
            <w:gridSpan w:val="3"/>
            <w:shd w:val="clear" w:color="auto" w:fill="auto"/>
          </w:tcPr>
          <w:p w14:paraId="7E7844F7" w14:textId="77777777" w:rsidR="00A82082" w:rsidRDefault="00A82082">
            <w:pPr>
              <w:rPr>
                <w:rFonts w:ascii="宋体"/>
                <w:vanish/>
              </w:rPr>
            </w:pPr>
          </w:p>
        </w:tc>
        <w:tc>
          <w:tcPr>
            <w:tcW w:w="0" w:type="auto"/>
            <w:gridSpan w:val="3"/>
            <w:shd w:val="clear" w:color="auto" w:fill="auto"/>
          </w:tcPr>
          <w:p w14:paraId="7E7844F8" w14:textId="77777777" w:rsidR="00A82082" w:rsidRDefault="00A82082">
            <w:pPr>
              <w:rPr>
                <w:rFonts w:ascii="宋体"/>
                <w:vanish/>
              </w:rPr>
            </w:pPr>
          </w:p>
        </w:tc>
        <w:tc>
          <w:tcPr>
            <w:tcW w:w="0" w:type="auto"/>
            <w:gridSpan w:val="3"/>
            <w:shd w:val="clear" w:color="auto" w:fill="auto"/>
          </w:tcPr>
          <w:p w14:paraId="7E7844F9" w14:textId="77777777" w:rsidR="00A82082" w:rsidRDefault="00A82082">
            <w:pPr>
              <w:rPr>
                <w:rFonts w:ascii="宋体"/>
                <w:vanish/>
              </w:rPr>
            </w:pPr>
          </w:p>
        </w:tc>
        <w:tc>
          <w:tcPr>
            <w:tcW w:w="0" w:type="auto"/>
            <w:gridSpan w:val="3"/>
            <w:shd w:val="clear" w:color="auto" w:fill="auto"/>
          </w:tcPr>
          <w:p w14:paraId="7E7844FA" w14:textId="77777777" w:rsidR="00A82082" w:rsidRDefault="00A82082">
            <w:pPr>
              <w:rPr>
                <w:rFonts w:ascii="宋体"/>
                <w:vanish/>
              </w:rPr>
            </w:pPr>
          </w:p>
        </w:tc>
        <w:tc>
          <w:tcPr>
            <w:tcW w:w="0" w:type="auto"/>
            <w:gridSpan w:val="3"/>
            <w:shd w:val="clear" w:color="auto" w:fill="auto"/>
          </w:tcPr>
          <w:p w14:paraId="7E7844FB" w14:textId="77777777" w:rsidR="00A82082" w:rsidRDefault="00A82082">
            <w:pPr>
              <w:rPr>
                <w:rFonts w:ascii="宋体"/>
                <w:vanish/>
              </w:rPr>
            </w:pPr>
          </w:p>
        </w:tc>
        <w:tc>
          <w:tcPr>
            <w:tcW w:w="0" w:type="auto"/>
            <w:gridSpan w:val="3"/>
            <w:shd w:val="clear" w:color="auto" w:fill="auto"/>
          </w:tcPr>
          <w:p w14:paraId="7E7844FC" w14:textId="77777777" w:rsidR="00A82082" w:rsidRDefault="00A82082">
            <w:pPr>
              <w:rPr>
                <w:rFonts w:ascii="宋体"/>
                <w:vanish/>
              </w:rPr>
            </w:pPr>
          </w:p>
        </w:tc>
        <w:tc>
          <w:tcPr>
            <w:tcW w:w="0" w:type="auto"/>
            <w:shd w:val="clear" w:color="auto" w:fill="auto"/>
          </w:tcPr>
          <w:p w14:paraId="7E7844FD" w14:textId="77777777" w:rsidR="00A82082" w:rsidRDefault="00A82082">
            <w:pPr>
              <w:rPr>
                <w:rFonts w:ascii="宋体"/>
                <w:vanish/>
              </w:rPr>
            </w:pPr>
          </w:p>
        </w:tc>
        <w:tc>
          <w:tcPr>
            <w:tcW w:w="0" w:type="auto"/>
            <w:shd w:val="clear" w:color="auto" w:fill="auto"/>
          </w:tcPr>
          <w:p w14:paraId="7E7844FE" w14:textId="77777777" w:rsidR="00A82082" w:rsidRDefault="00A82082">
            <w:pPr>
              <w:rPr>
                <w:rFonts w:ascii="宋体"/>
                <w:vanish/>
              </w:rPr>
            </w:pPr>
          </w:p>
        </w:tc>
        <w:tc>
          <w:tcPr>
            <w:tcW w:w="0" w:type="auto"/>
            <w:shd w:val="clear" w:color="auto" w:fill="auto"/>
          </w:tcPr>
          <w:p w14:paraId="7E7844FF" w14:textId="77777777" w:rsidR="00A82082" w:rsidRDefault="00A82082">
            <w:pPr>
              <w:rPr>
                <w:rFonts w:ascii="宋体"/>
                <w:vanish/>
              </w:rPr>
            </w:pPr>
          </w:p>
        </w:tc>
      </w:tr>
      <w:tr w:rsidR="00A82082" w14:paraId="7E784514" w14:textId="77777777">
        <w:trPr>
          <w:hidden/>
        </w:trPr>
        <w:tc>
          <w:tcPr>
            <w:tcW w:w="0" w:type="auto"/>
            <w:gridSpan w:val="3"/>
            <w:shd w:val="clear" w:color="auto" w:fill="auto"/>
          </w:tcPr>
          <w:p w14:paraId="7E784501" w14:textId="77777777" w:rsidR="00A82082" w:rsidRDefault="00A82082">
            <w:pPr>
              <w:rPr>
                <w:rFonts w:ascii="宋体"/>
                <w:vanish/>
              </w:rPr>
            </w:pPr>
          </w:p>
        </w:tc>
        <w:tc>
          <w:tcPr>
            <w:tcW w:w="0" w:type="auto"/>
            <w:gridSpan w:val="3"/>
            <w:shd w:val="clear" w:color="auto" w:fill="auto"/>
          </w:tcPr>
          <w:p w14:paraId="7E784502" w14:textId="77777777" w:rsidR="00A82082" w:rsidRDefault="00A82082">
            <w:pPr>
              <w:rPr>
                <w:rFonts w:ascii="宋体"/>
                <w:vanish/>
              </w:rPr>
            </w:pPr>
          </w:p>
        </w:tc>
        <w:tc>
          <w:tcPr>
            <w:tcW w:w="0" w:type="auto"/>
            <w:gridSpan w:val="3"/>
            <w:shd w:val="clear" w:color="auto" w:fill="auto"/>
          </w:tcPr>
          <w:p w14:paraId="7E784503" w14:textId="77777777" w:rsidR="00A82082" w:rsidRDefault="00A82082">
            <w:pPr>
              <w:rPr>
                <w:rFonts w:ascii="宋体"/>
                <w:vanish/>
              </w:rPr>
            </w:pPr>
          </w:p>
        </w:tc>
        <w:tc>
          <w:tcPr>
            <w:tcW w:w="0" w:type="auto"/>
            <w:gridSpan w:val="3"/>
            <w:shd w:val="clear" w:color="auto" w:fill="auto"/>
          </w:tcPr>
          <w:p w14:paraId="7E784504" w14:textId="77777777" w:rsidR="00A82082" w:rsidRDefault="00A82082">
            <w:pPr>
              <w:rPr>
                <w:rFonts w:ascii="宋体"/>
                <w:vanish/>
              </w:rPr>
            </w:pPr>
          </w:p>
        </w:tc>
        <w:tc>
          <w:tcPr>
            <w:tcW w:w="0" w:type="auto"/>
            <w:gridSpan w:val="3"/>
            <w:shd w:val="clear" w:color="auto" w:fill="auto"/>
          </w:tcPr>
          <w:p w14:paraId="7E784505" w14:textId="77777777" w:rsidR="00A82082" w:rsidRDefault="00A82082">
            <w:pPr>
              <w:rPr>
                <w:rFonts w:ascii="宋体"/>
                <w:vanish/>
              </w:rPr>
            </w:pPr>
          </w:p>
        </w:tc>
        <w:tc>
          <w:tcPr>
            <w:tcW w:w="0" w:type="auto"/>
            <w:gridSpan w:val="3"/>
            <w:shd w:val="clear" w:color="auto" w:fill="auto"/>
          </w:tcPr>
          <w:p w14:paraId="7E784506" w14:textId="77777777" w:rsidR="00A82082" w:rsidRDefault="00A82082">
            <w:pPr>
              <w:rPr>
                <w:rFonts w:ascii="宋体"/>
                <w:vanish/>
              </w:rPr>
            </w:pPr>
          </w:p>
        </w:tc>
        <w:tc>
          <w:tcPr>
            <w:tcW w:w="0" w:type="auto"/>
            <w:gridSpan w:val="3"/>
            <w:shd w:val="clear" w:color="auto" w:fill="auto"/>
          </w:tcPr>
          <w:p w14:paraId="7E784507" w14:textId="77777777" w:rsidR="00A82082" w:rsidRDefault="00A82082">
            <w:pPr>
              <w:rPr>
                <w:rFonts w:ascii="宋体"/>
                <w:vanish/>
              </w:rPr>
            </w:pPr>
          </w:p>
        </w:tc>
        <w:tc>
          <w:tcPr>
            <w:tcW w:w="0" w:type="auto"/>
            <w:gridSpan w:val="3"/>
            <w:shd w:val="clear" w:color="auto" w:fill="auto"/>
          </w:tcPr>
          <w:p w14:paraId="7E784508" w14:textId="77777777" w:rsidR="00A82082" w:rsidRDefault="00A82082">
            <w:pPr>
              <w:rPr>
                <w:rFonts w:ascii="宋体"/>
                <w:vanish/>
              </w:rPr>
            </w:pPr>
          </w:p>
        </w:tc>
        <w:tc>
          <w:tcPr>
            <w:tcW w:w="0" w:type="auto"/>
            <w:gridSpan w:val="3"/>
            <w:shd w:val="clear" w:color="auto" w:fill="auto"/>
          </w:tcPr>
          <w:p w14:paraId="7E784509" w14:textId="77777777" w:rsidR="00A82082" w:rsidRDefault="00A82082">
            <w:pPr>
              <w:rPr>
                <w:rFonts w:ascii="宋体"/>
                <w:vanish/>
              </w:rPr>
            </w:pPr>
          </w:p>
        </w:tc>
        <w:tc>
          <w:tcPr>
            <w:tcW w:w="0" w:type="auto"/>
            <w:gridSpan w:val="3"/>
            <w:shd w:val="clear" w:color="auto" w:fill="auto"/>
          </w:tcPr>
          <w:p w14:paraId="7E78450A" w14:textId="77777777" w:rsidR="00A82082" w:rsidRDefault="00A82082">
            <w:pPr>
              <w:rPr>
                <w:rFonts w:ascii="宋体"/>
                <w:vanish/>
              </w:rPr>
            </w:pPr>
          </w:p>
        </w:tc>
        <w:tc>
          <w:tcPr>
            <w:tcW w:w="0" w:type="auto"/>
            <w:gridSpan w:val="3"/>
            <w:shd w:val="clear" w:color="auto" w:fill="auto"/>
          </w:tcPr>
          <w:p w14:paraId="7E78450B" w14:textId="77777777" w:rsidR="00A82082" w:rsidRDefault="00A82082">
            <w:pPr>
              <w:rPr>
                <w:rFonts w:ascii="宋体"/>
                <w:vanish/>
              </w:rPr>
            </w:pPr>
          </w:p>
        </w:tc>
        <w:tc>
          <w:tcPr>
            <w:tcW w:w="0" w:type="auto"/>
            <w:gridSpan w:val="3"/>
            <w:shd w:val="clear" w:color="auto" w:fill="auto"/>
          </w:tcPr>
          <w:p w14:paraId="7E78450C" w14:textId="77777777" w:rsidR="00A82082" w:rsidRDefault="00A82082">
            <w:pPr>
              <w:rPr>
                <w:rFonts w:ascii="宋体"/>
                <w:vanish/>
              </w:rPr>
            </w:pPr>
          </w:p>
        </w:tc>
        <w:tc>
          <w:tcPr>
            <w:tcW w:w="0" w:type="auto"/>
            <w:gridSpan w:val="3"/>
            <w:shd w:val="clear" w:color="auto" w:fill="auto"/>
          </w:tcPr>
          <w:p w14:paraId="7E78450D" w14:textId="77777777" w:rsidR="00A82082" w:rsidRDefault="00A82082">
            <w:pPr>
              <w:rPr>
                <w:rFonts w:ascii="宋体"/>
                <w:vanish/>
              </w:rPr>
            </w:pPr>
          </w:p>
        </w:tc>
        <w:tc>
          <w:tcPr>
            <w:tcW w:w="0" w:type="auto"/>
            <w:gridSpan w:val="3"/>
            <w:shd w:val="clear" w:color="auto" w:fill="auto"/>
          </w:tcPr>
          <w:p w14:paraId="7E78450E" w14:textId="77777777" w:rsidR="00A82082" w:rsidRDefault="00A82082">
            <w:pPr>
              <w:rPr>
                <w:rFonts w:ascii="宋体"/>
                <w:vanish/>
              </w:rPr>
            </w:pPr>
          </w:p>
        </w:tc>
        <w:tc>
          <w:tcPr>
            <w:tcW w:w="0" w:type="auto"/>
            <w:gridSpan w:val="3"/>
            <w:shd w:val="clear" w:color="auto" w:fill="auto"/>
          </w:tcPr>
          <w:p w14:paraId="7E78450F" w14:textId="77777777" w:rsidR="00A82082" w:rsidRDefault="00A82082">
            <w:pPr>
              <w:rPr>
                <w:rFonts w:ascii="宋体"/>
                <w:vanish/>
              </w:rPr>
            </w:pPr>
          </w:p>
        </w:tc>
        <w:tc>
          <w:tcPr>
            <w:tcW w:w="0" w:type="auto"/>
            <w:gridSpan w:val="3"/>
            <w:shd w:val="clear" w:color="auto" w:fill="auto"/>
          </w:tcPr>
          <w:p w14:paraId="7E784510" w14:textId="77777777" w:rsidR="00A82082" w:rsidRDefault="00A82082">
            <w:pPr>
              <w:rPr>
                <w:rFonts w:ascii="宋体"/>
                <w:vanish/>
              </w:rPr>
            </w:pPr>
          </w:p>
        </w:tc>
        <w:tc>
          <w:tcPr>
            <w:tcW w:w="0" w:type="auto"/>
            <w:shd w:val="clear" w:color="auto" w:fill="auto"/>
          </w:tcPr>
          <w:p w14:paraId="7E784511" w14:textId="77777777" w:rsidR="00A82082" w:rsidRDefault="00A82082">
            <w:pPr>
              <w:rPr>
                <w:rFonts w:ascii="宋体"/>
                <w:vanish/>
              </w:rPr>
            </w:pPr>
          </w:p>
        </w:tc>
        <w:tc>
          <w:tcPr>
            <w:tcW w:w="0" w:type="auto"/>
            <w:shd w:val="clear" w:color="auto" w:fill="auto"/>
          </w:tcPr>
          <w:p w14:paraId="7E784512" w14:textId="77777777" w:rsidR="00A82082" w:rsidRDefault="00A82082">
            <w:pPr>
              <w:rPr>
                <w:rFonts w:ascii="宋体"/>
                <w:vanish/>
              </w:rPr>
            </w:pPr>
          </w:p>
        </w:tc>
        <w:tc>
          <w:tcPr>
            <w:tcW w:w="0" w:type="auto"/>
            <w:shd w:val="clear" w:color="auto" w:fill="auto"/>
          </w:tcPr>
          <w:p w14:paraId="7E784513" w14:textId="77777777" w:rsidR="00A82082" w:rsidRDefault="00A82082">
            <w:pPr>
              <w:rPr>
                <w:rFonts w:ascii="宋体"/>
                <w:vanish/>
              </w:rPr>
            </w:pPr>
          </w:p>
        </w:tc>
      </w:tr>
      <w:tr w:rsidR="00A82082" w14:paraId="7E784528" w14:textId="77777777">
        <w:trPr>
          <w:hidden/>
        </w:trPr>
        <w:tc>
          <w:tcPr>
            <w:tcW w:w="0" w:type="auto"/>
            <w:gridSpan w:val="3"/>
            <w:shd w:val="clear" w:color="auto" w:fill="auto"/>
          </w:tcPr>
          <w:p w14:paraId="7E784515" w14:textId="77777777" w:rsidR="00A82082" w:rsidRDefault="00A82082">
            <w:pPr>
              <w:rPr>
                <w:rFonts w:ascii="宋体"/>
                <w:vanish/>
              </w:rPr>
            </w:pPr>
          </w:p>
        </w:tc>
        <w:tc>
          <w:tcPr>
            <w:tcW w:w="0" w:type="auto"/>
            <w:gridSpan w:val="3"/>
            <w:shd w:val="clear" w:color="auto" w:fill="auto"/>
          </w:tcPr>
          <w:p w14:paraId="7E784516" w14:textId="77777777" w:rsidR="00A82082" w:rsidRDefault="00A82082">
            <w:pPr>
              <w:rPr>
                <w:rFonts w:ascii="宋体"/>
                <w:vanish/>
              </w:rPr>
            </w:pPr>
          </w:p>
        </w:tc>
        <w:tc>
          <w:tcPr>
            <w:tcW w:w="0" w:type="auto"/>
            <w:gridSpan w:val="3"/>
            <w:shd w:val="clear" w:color="auto" w:fill="auto"/>
          </w:tcPr>
          <w:p w14:paraId="7E784517" w14:textId="77777777" w:rsidR="00A82082" w:rsidRDefault="00A82082">
            <w:pPr>
              <w:rPr>
                <w:rFonts w:ascii="宋体"/>
                <w:vanish/>
              </w:rPr>
            </w:pPr>
          </w:p>
        </w:tc>
        <w:tc>
          <w:tcPr>
            <w:tcW w:w="0" w:type="auto"/>
            <w:gridSpan w:val="3"/>
            <w:shd w:val="clear" w:color="auto" w:fill="auto"/>
          </w:tcPr>
          <w:p w14:paraId="7E784518" w14:textId="77777777" w:rsidR="00A82082" w:rsidRDefault="00A82082">
            <w:pPr>
              <w:rPr>
                <w:rFonts w:ascii="宋体"/>
                <w:vanish/>
              </w:rPr>
            </w:pPr>
          </w:p>
        </w:tc>
        <w:tc>
          <w:tcPr>
            <w:tcW w:w="0" w:type="auto"/>
            <w:gridSpan w:val="3"/>
            <w:shd w:val="clear" w:color="auto" w:fill="auto"/>
          </w:tcPr>
          <w:p w14:paraId="7E784519" w14:textId="77777777" w:rsidR="00A82082" w:rsidRDefault="00A82082">
            <w:pPr>
              <w:rPr>
                <w:rFonts w:ascii="宋体"/>
                <w:vanish/>
              </w:rPr>
            </w:pPr>
          </w:p>
        </w:tc>
        <w:tc>
          <w:tcPr>
            <w:tcW w:w="0" w:type="auto"/>
            <w:gridSpan w:val="3"/>
            <w:shd w:val="clear" w:color="auto" w:fill="auto"/>
          </w:tcPr>
          <w:p w14:paraId="7E78451A" w14:textId="77777777" w:rsidR="00A82082" w:rsidRDefault="00A82082">
            <w:pPr>
              <w:rPr>
                <w:rFonts w:ascii="宋体"/>
                <w:vanish/>
              </w:rPr>
            </w:pPr>
          </w:p>
        </w:tc>
        <w:tc>
          <w:tcPr>
            <w:tcW w:w="0" w:type="auto"/>
            <w:gridSpan w:val="3"/>
            <w:shd w:val="clear" w:color="auto" w:fill="auto"/>
          </w:tcPr>
          <w:p w14:paraId="7E78451B" w14:textId="77777777" w:rsidR="00A82082" w:rsidRDefault="00A82082">
            <w:pPr>
              <w:rPr>
                <w:rFonts w:ascii="宋体"/>
                <w:vanish/>
              </w:rPr>
            </w:pPr>
          </w:p>
        </w:tc>
        <w:tc>
          <w:tcPr>
            <w:tcW w:w="0" w:type="auto"/>
            <w:gridSpan w:val="3"/>
            <w:shd w:val="clear" w:color="auto" w:fill="auto"/>
          </w:tcPr>
          <w:p w14:paraId="7E78451C" w14:textId="77777777" w:rsidR="00A82082" w:rsidRDefault="00A82082">
            <w:pPr>
              <w:rPr>
                <w:rFonts w:ascii="宋体"/>
                <w:vanish/>
              </w:rPr>
            </w:pPr>
          </w:p>
        </w:tc>
        <w:tc>
          <w:tcPr>
            <w:tcW w:w="0" w:type="auto"/>
            <w:gridSpan w:val="3"/>
            <w:shd w:val="clear" w:color="auto" w:fill="auto"/>
          </w:tcPr>
          <w:p w14:paraId="7E78451D" w14:textId="77777777" w:rsidR="00A82082" w:rsidRDefault="00A82082">
            <w:pPr>
              <w:rPr>
                <w:rFonts w:ascii="宋体"/>
                <w:vanish/>
              </w:rPr>
            </w:pPr>
          </w:p>
        </w:tc>
        <w:tc>
          <w:tcPr>
            <w:tcW w:w="0" w:type="auto"/>
            <w:gridSpan w:val="3"/>
            <w:shd w:val="clear" w:color="auto" w:fill="auto"/>
          </w:tcPr>
          <w:p w14:paraId="7E78451E" w14:textId="77777777" w:rsidR="00A82082" w:rsidRDefault="00A82082">
            <w:pPr>
              <w:rPr>
                <w:rFonts w:ascii="宋体"/>
                <w:vanish/>
              </w:rPr>
            </w:pPr>
          </w:p>
        </w:tc>
        <w:tc>
          <w:tcPr>
            <w:tcW w:w="0" w:type="auto"/>
            <w:gridSpan w:val="3"/>
            <w:shd w:val="clear" w:color="auto" w:fill="auto"/>
          </w:tcPr>
          <w:p w14:paraId="7E78451F" w14:textId="77777777" w:rsidR="00A82082" w:rsidRDefault="00A82082">
            <w:pPr>
              <w:rPr>
                <w:rFonts w:ascii="宋体"/>
                <w:vanish/>
              </w:rPr>
            </w:pPr>
          </w:p>
        </w:tc>
        <w:tc>
          <w:tcPr>
            <w:tcW w:w="0" w:type="auto"/>
            <w:gridSpan w:val="3"/>
            <w:shd w:val="clear" w:color="auto" w:fill="auto"/>
          </w:tcPr>
          <w:p w14:paraId="7E784520" w14:textId="77777777" w:rsidR="00A82082" w:rsidRDefault="00A82082">
            <w:pPr>
              <w:rPr>
                <w:rFonts w:ascii="宋体"/>
                <w:vanish/>
              </w:rPr>
            </w:pPr>
          </w:p>
        </w:tc>
        <w:tc>
          <w:tcPr>
            <w:tcW w:w="0" w:type="auto"/>
            <w:gridSpan w:val="3"/>
            <w:shd w:val="clear" w:color="auto" w:fill="auto"/>
          </w:tcPr>
          <w:p w14:paraId="7E784521" w14:textId="77777777" w:rsidR="00A82082" w:rsidRDefault="00A82082">
            <w:pPr>
              <w:rPr>
                <w:rFonts w:ascii="宋体"/>
                <w:vanish/>
              </w:rPr>
            </w:pPr>
          </w:p>
        </w:tc>
        <w:tc>
          <w:tcPr>
            <w:tcW w:w="0" w:type="auto"/>
            <w:gridSpan w:val="3"/>
            <w:shd w:val="clear" w:color="auto" w:fill="auto"/>
          </w:tcPr>
          <w:p w14:paraId="7E784522" w14:textId="77777777" w:rsidR="00A82082" w:rsidRDefault="00A82082">
            <w:pPr>
              <w:rPr>
                <w:rFonts w:ascii="宋体"/>
                <w:vanish/>
              </w:rPr>
            </w:pPr>
          </w:p>
        </w:tc>
        <w:tc>
          <w:tcPr>
            <w:tcW w:w="0" w:type="auto"/>
            <w:gridSpan w:val="3"/>
            <w:shd w:val="clear" w:color="auto" w:fill="auto"/>
          </w:tcPr>
          <w:p w14:paraId="7E784523" w14:textId="77777777" w:rsidR="00A82082" w:rsidRDefault="00A82082">
            <w:pPr>
              <w:rPr>
                <w:rFonts w:ascii="宋体"/>
                <w:vanish/>
              </w:rPr>
            </w:pPr>
          </w:p>
        </w:tc>
        <w:tc>
          <w:tcPr>
            <w:tcW w:w="0" w:type="auto"/>
            <w:gridSpan w:val="3"/>
            <w:shd w:val="clear" w:color="auto" w:fill="auto"/>
          </w:tcPr>
          <w:p w14:paraId="7E784524" w14:textId="77777777" w:rsidR="00A82082" w:rsidRDefault="00A82082">
            <w:pPr>
              <w:rPr>
                <w:rFonts w:ascii="宋体"/>
                <w:vanish/>
              </w:rPr>
            </w:pPr>
          </w:p>
        </w:tc>
        <w:tc>
          <w:tcPr>
            <w:tcW w:w="0" w:type="auto"/>
            <w:shd w:val="clear" w:color="auto" w:fill="auto"/>
          </w:tcPr>
          <w:p w14:paraId="7E784525" w14:textId="77777777" w:rsidR="00A82082" w:rsidRDefault="00A82082">
            <w:pPr>
              <w:rPr>
                <w:rFonts w:ascii="宋体"/>
                <w:vanish/>
              </w:rPr>
            </w:pPr>
          </w:p>
        </w:tc>
        <w:tc>
          <w:tcPr>
            <w:tcW w:w="0" w:type="auto"/>
            <w:shd w:val="clear" w:color="auto" w:fill="auto"/>
          </w:tcPr>
          <w:p w14:paraId="7E784526" w14:textId="77777777" w:rsidR="00A82082" w:rsidRDefault="00A82082">
            <w:pPr>
              <w:rPr>
                <w:rFonts w:ascii="宋体"/>
                <w:vanish/>
              </w:rPr>
            </w:pPr>
          </w:p>
        </w:tc>
        <w:tc>
          <w:tcPr>
            <w:tcW w:w="0" w:type="auto"/>
            <w:shd w:val="clear" w:color="auto" w:fill="auto"/>
          </w:tcPr>
          <w:p w14:paraId="7E784527" w14:textId="77777777" w:rsidR="00A82082" w:rsidRDefault="00A82082">
            <w:pPr>
              <w:rPr>
                <w:rFonts w:ascii="宋体"/>
                <w:vanish/>
              </w:rPr>
            </w:pPr>
          </w:p>
        </w:tc>
      </w:tr>
      <w:tr w:rsidR="00A82082" w14:paraId="7E78453C" w14:textId="77777777">
        <w:trPr>
          <w:hidden/>
        </w:trPr>
        <w:tc>
          <w:tcPr>
            <w:tcW w:w="0" w:type="auto"/>
            <w:gridSpan w:val="3"/>
            <w:shd w:val="clear" w:color="auto" w:fill="auto"/>
          </w:tcPr>
          <w:p w14:paraId="7E784529" w14:textId="77777777" w:rsidR="00A82082" w:rsidRDefault="00A82082">
            <w:pPr>
              <w:rPr>
                <w:rFonts w:ascii="宋体"/>
                <w:vanish/>
              </w:rPr>
            </w:pPr>
          </w:p>
        </w:tc>
        <w:tc>
          <w:tcPr>
            <w:tcW w:w="0" w:type="auto"/>
            <w:gridSpan w:val="3"/>
            <w:shd w:val="clear" w:color="auto" w:fill="auto"/>
          </w:tcPr>
          <w:p w14:paraId="7E78452A" w14:textId="77777777" w:rsidR="00A82082" w:rsidRDefault="00A82082">
            <w:pPr>
              <w:rPr>
                <w:rFonts w:ascii="宋体"/>
                <w:vanish/>
              </w:rPr>
            </w:pPr>
          </w:p>
        </w:tc>
        <w:tc>
          <w:tcPr>
            <w:tcW w:w="0" w:type="auto"/>
            <w:gridSpan w:val="3"/>
            <w:shd w:val="clear" w:color="auto" w:fill="auto"/>
          </w:tcPr>
          <w:p w14:paraId="7E78452B" w14:textId="77777777" w:rsidR="00A82082" w:rsidRDefault="00A82082">
            <w:pPr>
              <w:rPr>
                <w:rFonts w:ascii="宋体"/>
                <w:vanish/>
              </w:rPr>
            </w:pPr>
          </w:p>
        </w:tc>
        <w:tc>
          <w:tcPr>
            <w:tcW w:w="0" w:type="auto"/>
            <w:gridSpan w:val="3"/>
            <w:shd w:val="clear" w:color="auto" w:fill="auto"/>
          </w:tcPr>
          <w:p w14:paraId="7E78452C" w14:textId="77777777" w:rsidR="00A82082" w:rsidRDefault="00A82082">
            <w:pPr>
              <w:rPr>
                <w:rFonts w:ascii="宋体"/>
                <w:vanish/>
              </w:rPr>
            </w:pPr>
          </w:p>
        </w:tc>
        <w:tc>
          <w:tcPr>
            <w:tcW w:w="0" w:type="auto"/>
            <w:gridSpan w:val="3"/>
            <w:shd w:val="clear" w:color="auto" w:fill="auto"/>
          </w:tcPr>
          <w:p w14:paraId="7E78452D" w14:textId="77777777" w:rsidR="00A82082" w:rsidRDefault="00A82082">
            <w:pPr>
              <w:rPr>
                <w:rFonts w:ascii="宋体"/>
                <w:vanish/>
              </w:rPr>
            </w:pPr>
          </w:p>
        </w:tc>
        <w:tc>
          <w:tcPr>
            <w:tcW w:w="0" w:type="auto"/>
            <w:gridSpan w:val="3"/>
            <w:shd w:val="clear" w:color="auto" w:fill="auto"/>
          </w:tcPr>
          <w:p w14:paraId="7E78452E" w14:textId="77777777" w:rsidR="00A82082" w:rsidRDefault="00A82082">
            <w:pPr>
              <w:rPr>
                <w:rFonts w:ascii="宋体"/>
                <w:vanish/>
              </w:rPr>
            </w:pPr>
          </w:p>
        </w:tc>
        <w:tc>
          <w:tcPr>
            <w:tcW w:w="0" w:type="auto"/>
            <w:gridSpan w:val="3"/>
            <w:shd w:val="clear" w:color="auto" w:fill="auto"/>
          </w:tcPr>
          <w:p w14:paraId="7E78452F" w14:textId="77777777" w:rsidR="00A82082" w:rsidRDefault="00A82082">
            <w:pPr>
              <w:rPr>
                <w:rFonts w:ascii="宋体"/>
                <w:vanish/>
              </w:rPr>
            </w:pPr>
          </w:p>
        </w:tc>
        <w:tc>
          <w:tcPr>
            <w:tcW w:w="0" w:type="auto"/>
            <w:gridSpan w:val="3"/>
            <w:shd w:val="clear" w:color="auto" w:fill="auto"/>
          </w:tcPr>
          <w:p w14:paraId="7E784530" w14:textId="77777777" w:rsidR="00A82082" w:rsidRDefault="00A82082">
            <w:pPr>
              <w:rPr>
                <w:rFonts w:ascii="宋体"/>
                <w:vanish/>
              </w:rPr>
            </w:pPr>
          </w:p>
        </w:tc>
        <w:tc>
          <w:tcPr>
            <w:tcW w:w="0" w:type="auto"/>
            <w:gridSpan w:val="3"/>
            <w:shd w:val="clear" w:color="auto" w:fill="auto"/>
          </w:tcPr>
          <w:p w14:paraId="7E784531" w14:textId="77777777" w:rsidR="00A82082" w:rsidRDefault="00A82082">
            <w:pPr>
              <w:rPr>
                <w:rFonts w:ascii="宋体"/>
                <w:vanish/>
              </w:rPr>
            </w:pPr>
          </w:p>
        </w:tc>
        <w:tc>
          <w:tcPr>
            <w:tcW w:w="0" w:type="auto"/>
            <w:gridSpan w:val="3"/>
            <w:shd w:val="clear" w:color="auto" w:fill="auto"/>
          </w:tcPr>
          <w:p w14:paraId="7E784532" w14:textId="77777777" w:rsidR="00A82082" w:rsidRDefault="00A82082">
            <w:pPr>
              <w:rPr>
                <w:rFonts w:ascii="宋体"/>
                <w:vanish/>
              </w:rPr>
            </w:pPr>
          </w:p>
        </w:tc>
        <w:tc>
          <w:tcPr>
            <w:tcW w:w="0" w:type="auto"/>
            <w:gridSpan w:val="3"/>
            <w:shd w:val="clear" w:color="auto" w:fill="auto"/>
          </w:tcPr>
          <w:p w14:paraId="7E784533" w14:textId="77777777" w:rsidR="00A82082" w:rsidRDefault="00A82082">
            <w:pPr>
              <w:rPr>
                <w:rFonts w:ascii="宋体"/>
                <w:vanish/>
              </w:rPr>
            </w:pPr>
          </w:p>
        </w:tc>
        <w:tc>
          <w:tcPr>
            <w:tcW w:w="0" w:type="auto"/>
            <w:gridSpan w:val="3"/>
            <w:shd w:val="clear" w:color="auto" w:fill="auto"/>
          </w:tcPr>
          <w:p w14:paraId="7E784534" w14:textId="77777777" w:rsidR="00A82082" w:rsidRDefault="00A82082">
            <w:pPr>
              <w:rPr>
                <w:rFonts w:ascii="宋体"/>
                <w:vanish/>
              </w:rPr>
            </w:pPr>
          </w:p>
        </w:tc>
        <w:tc>
          <w:tcPr>
            <w:tcW w:w="0" w:type="auto"/>
            <w:gridSpan w:val="3"/>
            <w:shd w:val="clear" w:color="auto" w:fill="auto"/>
          </w:tcPr>
          <w:p w14:paraId="7E784535" w14:textId="77777777" w:rsidR="00A82082" w:rsidRDefault="00A82082">
            <w:pPr>
              <w:rPr>
                <w:rFonts w:ascii="宋体"/>
                <w:vanish/>
              </w:rPr>
            </w:pPr>
          </w:p>
        </w:tc>
        <w:tc>
          <w:tcPr>
            <w:tcW w:w="0" w:type="auto"/>
            <w:gridSpan w:val="3"/>
            <w:shd w:val="clear" w:color="auto" w:fill="auto"/>
          </w:tcPr>
          <w:p w14:paraId="7E784536" w14:textId="77777777" w:rsidR="00A82082" w:rsidRDefault="00A82082">
            <w:pPr>
              <w:rPr>
                <w:rFonts w:ascii="宋体"/>
                <w:vanish/>
              </w:rPr>
            </w:pPr>
          </w:p>
        </w:tc>
        <w:tc>
          <w:tcPr>
            <w:tcW w:w="0" w:type="auto"/>
            <w:gridSpan w:val="3"/>
            <w:shd w:val="clear" w:color="auto" w:fill="auto"/>
          </w:tcPr>
          <w:p w14:paraId="7E784537" w14:textId="77777777" w:rsidR="00A82082" w:rsidRDefault="00A82082">
            <w:pPr>
              <w:rPr>
                <w:rFonts w:ascii="宋体"/>
                <w:vanish/>
              </w:rPr>
            </w:pPr>
          </w:p>
        </w:tc>
        <w:tc>
          <w:tcPr>
            <w:tcW w:w="0" w:type="auto"/>
            <w:gridSpan w:val="3"/>
            <w:shd w:val="clear" w:color="auto" w:fill="auto"/>
          </w:tcPr>
          <w:p w14:paraId="7E784538" w14:textId="77777777" w:rsidR="00A82082" w:rsidRDefault="00A82082">
            <w:pPr>
              <w:rPr>
                <w:rFonts w:ascii="宋体"/>
                <w:vanish/>
              </w:rPr>
            </w:pPr>
          </w:p>
        </w:tc>
        <w:tc>
          <w:tcPr>
            <w:tcW w:w="0" w:type="auto"/>
            <w:shd w:val="clear" w:color="auto" w:fill="auto"/>
          </w:tcPr>
          <w:p w14:paraId="7E784539" w14:textId="77777777" w:rsidR="00A82082" w:rsidRDefault="00A82082">
            <w:pPr>
              <w:rPr>
                <w:rFonts w:ascii="宋体"/>
                <w:vanish/>
              </w:rPr>
            </w:pPr>
          </w:p>
        </w:tc>
        <w:tc>
          <w:tcPr>
            <w:tcW w:w="0" w:type="auto"/>
            <w:shd w:val="clear" w:color="auto" w:fill="auto"/>
          </w:tcPr>
          <w:p w14:paraId="7E78453A" w14:textId="77777777" w:rsidR="00A82082" w:rsidRDefault="00A82082">
            <w:pPr>
              <w:rPr>
                <w:rFonts w:ascii="宋体"/>
                <w:vanish/>
              </w:rPr>
            </w:pPr>
          </w:p>
        </w:tc>
        <w:tc>
          <w:tcPr>
            <w:tcW w:w="0" w:type="auto"/>
            <w:shd w:val="clear" w:color="auto" w:fill="auto"/>
          </w:tcPr>
          <w:p w14:paraId="7E78453B" w14:textId="77777777" w:rsidR="00A82082" w:rsidRDefault="00A82082">
            <w:pPr>
              <w:rPr>
                <w:rFonts w:ascii="宋体"/>
                <w:vanish/>
              </w:rPr>
            </w:pPr>
          </w:p>
        </w:tc>
      </w:tr>
      <w:tr w:rsidR="00A82082" w14:paraId="7E784550" w14:textId="77777777">
        <w:trPr>
          <w:hidden/>
        </w:trPr>
        <w:tc>
          <w:tcPr>
            <w:tcW w:w="0" w:type="auto"/>
            <w:gridSpan w:val="3"/>
            <w:shd w:val="clear" w:color="auto" w:fill="auto"/>
          </w:tcPr>
          <w:p w14:paraId="7E78453D" w14:textId="77777777" w:rsidR="00A82082" w:rsidRDefault="00A82082">
            <w:pPr>
              <w:rPr>
                <w:rFonts w:ascii="宋体"/>
                <w:vanish/>
              </w:rPr>
            </w:pPr>
          </w:p>
        </w:tc>
        <w:tc>
          <w:tcPr>
            <w:tcW w:w="0" w:type="auto"/>
            <w:gridSpan w:val="3"/>
            <w:shd w:val="clear" w:color="auto" w:fill="auto"/>
          </w:tcPr>
          <w:p w14:paraId="7E78453E" w14:textId="77777777" w:rsidR="00A82082" w:rsidRDefault="00A82082">
            <w:pPr>
              <w:rPr>
                <w:rFonts w:ascii="宋体"/>
                <w:vanish/>
              </w:rPr>
            </w:pPr>
          </w:p>
        </w:tc>
        <w:tc>
          <w:tcPr>
            <w:tcW w:w="0" w:type="auto"/>
            <w:gridSpan w:val="3"/>
            <w:shd w:val="clear" w:color="auto" w:fill="auto"/>
          </w:tcPr>
          <w:p w14:paraId="7E78453F" w14:textId="77777777" w:rsidR="00A82082" w:rsidRDefault="00A82082">
            <w:pPr>
              <w:rPr>
                <w:rFonts w:ascii="宋体"/>
                <w:vanish/>
              </w:rPr>
            </w:pPr>
          </w:p>
        </w:tc>
        <w:tc>
          <w:tcPr>
            <w:tcW w:w="0" w:type="auto"/>
            <w:gridSpan w:val="3"/>
            <w:shd w:val="clear" w:color="auto" w:fill="auto"/>
          </w:tcPr>
          <w:p w14:paraId="7E784540" w14:textId="77777777" w:rsidR="00A82082" w:rsidRDefault="00A82082">
            <w:pPr>
              <w:rPr>
                <w:rFonts w:ascii="宋体"/>
                <w:vanish/>
              </w:rPr>
            </w:pPr>
          </w:p>
        </w:tc>
        <w:tc>
          <w:tcPr>
            <w:tcW w:w="0" w:type="auto"/>
            <w:gridSpan w:val="3"/>
            <w:shd w:val="clear" w:color="auto" w:fill="auto"/>
          </w:tcPr>
          <w:p w14:paraId="7E784541" w14:textId="77777777" w:rsidR="00A82082" w:rsidRDefault="00A82082">
            <w:pPr>
              <w:rPr>
                <w:rFonts w:ascii="宋体"/>
                <w:vanish/>
              </w:rPr>
            </w:pPr>
          </w:p>
        </w:tc>
        <w:tc>
          <w:tcPr>
            <w:tcW w:w="0" w:type="auto"/>
            <w:gridSpan w:val="3"/>
            <w:shd w:val="clear" w:color="auto" w:fill="auto"/>
          </w:tcPr>
          <w:p w14:paraId="7E784542" w14:textId="77777777" w:rsidR="00A82082" w:rsidRDefault="00A82082">
            <w:pPr>
              <w:rPr>
                <w:rFonts w:ascii="宋体"/>
                <w:vanish/>
              </w:rPr>
            </w:pPr>
          </w:p>
        </w:tc>
        <w:tc>
          <w:tcPr>
            <w:tcW w:w="0" w:type="auto"/>
            <w:gridSpan w:val="3"/>
            <w:shd w:val="clear" w:color="auto" w:fill="auto"/>
          </w:tcPr>
          <w:p w14:paraId="7E784543" w14:textId="77777777" w:rsidR="00A82082" w:rsidRDefault="00A82082">
            <w:pPr>
              <w:rPr>
                <w:rFonts w:ascii="宋体"/>
                <w:vanish/>
              </w:rPr>
            </w:pPr>
          </w:p>
        </w:tc>
        <w:tc>
          <w:tcPr>
            <w:tcW w:w="0" w:type="auto"/>
            <w:gridSpan w:val="3"/>
            <w:shd w:val="clear" w:color="auto" w:fill="auto"/>
          </w:tcPr>
          <w:p w14:paraId="7E784544" w14:textId="77777777" w:rsidR="00A82082" w:rsidRDefault="00A82082">
            <w:pPr>
              <w:rPr>
                <w:rFonts w:ascii="宋体"/>
                <w:vanish/>
              </w:rPr>
            </w:pPr>
          </w:p>
        </w:tc>
        <w:tc>
          <w:tcPr>
            <w:tcW w:w="0" w:type="auto"/>
            <w:gridSpan w:val="3"/>
            <w:shd w:val="clear" w:color="auto" w:fill="auto"/>
          </w:tcPr>
          <w:p w14:paraId="7E784545" w14:textId="77777777" w:rsidR="00A82082" w:rsidRDefault="00A82082">
            <w:pPr>
              <w:rPr>
                <w:rFonts w:ascii="宋体"/>
                <w:vanish/>
              </w:rPr>
            </w:pPr>
          </w:p>
        </w:tc>
        <w:tc>
          <w:tcPr>
            <w:tcW w:w="0" w:type="auto"/>
            <w:gridSpan w:val="3"/>
            <w:shd w:val="clear" w:color="auto" w:fill="auto"/>
          </w:tcPr>
          <w:p w14:paraId="7E784546" w14:textId="77777777" w:rsidR="00A82082" w:rsidRDefault="00A82082">
            <w:pPr>
              <w:rPr>
                <w:rFonts w:ascii="宋体"/>
                <w:vanish/>
              </w:rPr>
            </w:pPr>
          </w:p>
        </w:tc>
        <w:tc>
          <w:tcPr>
            <w:tcW w:w="0" w:type="auto"/>
            <w:gridSpan w:val="3"/>
            <w:shd w:val="clear" w:color="auto" w:fill="auto"/>
          </w:tcPr>
          <w:p w14:paraId="7E784547" w14:textId="77777777" w:rsidR="00A82082" w:rsidRDefault="00A82082">
            <w:pPr>
              <w:rPr>
                <w:rFonts w:ascii="宋体"/>
                <w:vanish/>
              </w:rPr>
            </w:pPr>
          </w:p>
        </w:tc>
        <w:tc>
          <w:tcPr>
            <w:tcW w:w="0" w:type="auto"/>
            <w:gridSpan w:val="3"/>
            <w:shd w:val="clear" w:color="auto" w:fill="auto"/>
          </w:tcPr>
          <w:p w14:paraId="7E784548" w14:textId="77777777" w:rsidR="00A82082" w:rsidRDefault="00A82082">
            <w:pPr>
              <w:rPr>
                <w:rFonts w:ascii="宋体"/>
                <w:vanish/>
              </w:rPr>
            </w:pPr>
          </w:p>
        </w:tc>
        <w:tc>
          <w:tcPr>
            <w:tcW w:w="0" w:type="auto"/>
            <w:gridSpan w:val="3"/>
            <w:shd w:val="clear" w:color="auto" w:fill="auto"/>
          </w:tcPr>
          <w:p w14:paraId="7E784549" w14:textId="77777777" w:rsidR="00A82082" w:rsidRDefault="00A82082">
            <w:pPr>
              <w:rPr>
                <w:rFonts w:ascii="宋体"/>
                <w:vanish/>
              </w:rPr>
            </w:pPr>
          </w:p>
        </w:tc>
        <w:tc>
          <w:tcPr>
            <w:tcW w:w="0" w:type="auto"/>
            <w:gridSpan w:val="3"/>
            <w:shd w:val="clear" w:color="auto" w:fill="auto"/>
          </w:tcPr>
          <w:p w14:paraId="7E78454A" w14:textId="77777777" w:rsidR="00A82082" w:rsidRDefault="00A82082">
            <w:pPr>
              <w:rPr>
                <w:rFonts w:ascii="宋体"/>
                <w:vanish/>
              </w:rPr>
            </w:pPr>
          </w:p>
        </w:tc>
        <w:tc>
          <w:tcPr>
            <w:tcW w:w="0" w:type="auto"/>
            <w:gridSpan w:val="3"/>
            <w:shd w:val="clear" w:color="auto" w:fill="auto"/>
          </w:tcPr>
          <w:p w14:paraId="7E78454B" w14:textId="77777777" w:rsidR="00A82082" w:rsidRDefault="00A82082">
            <w:pPr>
              <w:rPr>
                <w:rFonts w:ascii="宋体"/>
                <w:vanish/>
              </w:rPr>
            </w:pPr>
          </w:p>
        </w:tc>
        <w:tc>
          <w:tcPr>
            <w:tcW w:w="0" w:type="auto"/>
            <w:gridSpan w:val="3"/>
            <w:shd w:val="clear" w:color="auto" w:fill="auto"/>
          </w:tcPr>
          <w:p w14:paraId="7E78454C" w14:textId="77777777" w:rsidR="00A82082" w:rsidRDefault="00A82082">
            <w:pPr>
              <w:rPr>
                <w:rFonts w:ascii="宋体"/>
                <w:vanish/>
              </w:rPr>
            </w:pPr>
          </w:p>
        </w:tc>
        <w:tc>
          <w:tcPr>
            <w:tcW w:w="0" w:type="auto"/>
            <w:shd w:val="clear" w:color="auto" w:fill="auto"/>
          </w:tcPr>
          <w:p w14:paraId="7E78454D" w14:textId="77777777" w:rsidR="00A82082" w:rsidRDefault="00A82082">
            <w:pPr>
              <w:rPr>
                <w:rFonts w:ascii="宋体"/>
                <w:vanish/>
              </w:rPr>
            </w:pPr>
          </w:p>
        </w:tc>
        <w:tc>
          <w:tcPr>
            <w:tcW w:w="0" w:type="auto"/>
            <w:shd w:val="clear" w:color="auto" w:fill="auto"/>
          </w:tcPr>
          <w:p w14:paraId="7E78454E" w14:textId="77777777" w:rsidR="00A82082" w:rsidRDefault="00A82082">
            <w:pPr>
              <w:rPr>
                <w:rFonts w:ascii="宋体"/>
                <w:vanish/>
              </w:rPr>
            </w:pPr>
          </w:p>
        </w:tc>
        <w:tc>
          <w:tcPr>
            <w:tcW w:w="0" w:type="auto"/>
            <w:shd w:val="clear" w:color="auto" w:fill="auto"/>
          </w:tcPr>
          <w:p w14:paraId="7E78454F" w14:textId="77777777" w:rsidR="00A82082" w:rsidRDefault="00A82082">
            <w:pPr>
              <w:rPr>
                <w:rFonts w:ascii="宋体"/>
                <w:vanish/>
              </w:rPr>
            </w:pPr>
          </w:p>
        </w:tc>
      </w:tr>
      <w:tr w:rsidR="00A82082" w14:paraId="7E78456C" w14:textId="77777777">
        <w:tc>
          <w:tcPr>
            <w:tcW w:w="0" w:type="auto"/>
            <w:gridSpan w:val="3"/>
            <w:shd w:val="clear" w:color="auto" w:fill="CCEEFF"/>
            <w:tcMar>
              <w:top w:w="40" w:type="dxa"/>
              <w:left w:w="20" w:type="dxa"/>
              <w:bottom w:w="40" w:type="dxa"/>
              <w:right w:w="20" w:type="dxa"/>
            </w:tcMar>
            <w:vAlign w:val="center"/>
          </w:tcPr>
          <w:p w14:paraId="7E784551" w14:textId="77777777" w:rsidR="00A82082" w:rsidRDefault="00E946F9">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7E78455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5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5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5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5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5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5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5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5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5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5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5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5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5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6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6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6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6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64" w14:textId="77777777" w:rsidR="00A82082" w:rsidRDefault="00E946F9">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7E78456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6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67" w14:textId="77777777" w:rsidR="00A82082" w:rsidRDefault="00E946F9">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7E784568" w14:textId="77777777" w:rsidR="00A82082" w:rsidRDefault="00A82082">
            <w:pPr>
              <w:jc w:val="right"/>
              <w:rPr>
                <w:rFonts w:ascii="宋体"/>
              </w:rPr>
            </w:pPr>
          </w:p>
        </w:tc>
        <w:tc>
          <w:tcPr>
            <w:tcW w:w="0" w:type="auto"/>
            <w:shd w:val="clear" w:color="auto" w:fill="auto"/>
          </w:tcPr>
          <w:p w14:paraId="7E784569" w14:textId="77777777" w:rsidR="00A82082" w:rsidRDefault="00A82082">
            <w:pPr>
              <w:rPr>
                <w:rFonts w:ascii="宋体"/>
                <w:vanish/>
              </w:rPr>
            </w:pPr>
          </w:p>
        </w:tc>
        <w:tc>
          <w:tcPr>
            <w:tcW w:w="0" w:type="auto"/>
            <w:shd w:val="clear" w:color="auto" w:fill="auto"/>
          </w:tcPr>
          <w:p w14:paraId="7E78456A" w14:textId="77777777" w:rsidR="00A82082" w:rsidRDefault="00A82082">
            <w:pPr>
              <w:rPr>
                <w:rFonts w:ascii="宋体"/>
                <w:vanish/>
              </w:rPr>
            </w:pPr>
          </w:p>
        </w:tc>
        <w:tc>
          <w:tcPr>
            <w:tcW w:w="0" w:type="auto"/>
            <w:shd w:val="clear" w:color="auto" w:fill="auto"/>
          </w:tcPr>
          <w:p w14:paraId="7E78456B" w14:textId="77777777" w:rsidR="00A82082" w:rsidRDefault="00A82082">
            <w:pPr>
              <w:rPr>
                <w:rFonts w:ascii="宋体"/>
                <w:vanish/>
              </w:rPr>
            </w:pPr>
          </w:p>
        </w:tc>
      </w:tr>
      <w:tr w:rsidR="00A82082" w14:paraId="7E784588" w14:textId="77777777">
        <w:tc>
          <w:tcPr>
            <w:tcW w:w="0" w:type="auto"/>
            <w:gridSpan w:val="3"/>
            <w:shd w:val="clear" w:color="auto" w:fill="FFFFFF"/>
            <w:tcMar>
              <w:top w:w="40" w:type="dxa"/>
              <w:left w:w="20" w:type="dxa"/>
              <w:bottom w:w="40" w:type="dxa"/>
              <w:right w:w="20" w:type="dxa"/>
            </w:tcMar>
            <w:vAlign w:val="center"/>
          </w:tcPr>
          <w:p w14:paraId="7E78456D"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7E78456E" w14:textId="77777777" w:rsidR="00A82082" w:rsidRDefault="00E946F9">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7E78456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71"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7E78457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74" w14:textId="77777777" w:rsidR="00A82082" w:rsidRDefault="00E946F9">
            <w:pPr>
              <w:jc w:val="right"/>
              <w:textAlignment w:val="center"/>
            </w:pPr>
            <w:r>
              <w:rPr>
                <w:rFonts w:ascii="Times New Roman" w:eastAsia="宋体" w:hAnsi="Times New Roman"/>
                <w:color w:val="000000"/>
                <w:sz w:val="16"/>
                <w:szCs w:val="16"/>
              </w:rPr>
              <w:t>214 </w:t>
            </w:r>
          </w:p>
        </w:tc>
        <w:tc>
          <w:tcPr>
            <w:tcW w:w="0" w:type="auto"/>
            <w:shd w:val="clear" w:color="auto" w:fill="FFFFFF"/>
            <w:tcMar>
              <w:top w:w="40" w:type="dxa"/>
              <w:left w:w="0" w:type="dxa"/>
              <w:bottom w:w="40" w:type="dxa"/>
              <w:right w:w="20" w:type="dxa"/>
            </w:tcMar>
            <w:vAlign w:val="center"/>
          </w:tcPr>
          <w:p w14:paraId="7E78457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77" w14:textId="77777777" w:rsidR="00A82082" w:rsidRDefault="00E946F9">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7E78457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7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57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7D" w14:textId="77777777" w:rsidR="00A82082" w:rsidRDefault="00E946F9">
            <w:pPr>
              <w:jc w:val="right"/>
              <w:textAlignment w:val="center"/>
            </w:pPr>
            <w:r>
              <w:rPr>
                <w:rFonts w:ascii="Times New Roman" w:eastAsia="宋体" w:hAnsi="Times New Roman"/>
                <w:color w:val="000000"/>
                <w:sz w:val="16"/>
                <w:szCs w:val="16"/>
              </w:rPr>
              <w:t>210 </w:t>
            </w:r>
          </w:p>
        </w:tc>
        <w:tc>
          <w:tcPr>
            <w:tcW w:w="0" w:type="auto"/>
            <w:shd w:val="clear" w:color="auto" w:fill="FFFFFF"/>
            <w:tcMar>
              <w:top w:w="40" w:type="dxa"/>
              <w:left w:w="0" w:type="dxa"/>
              <w:bottom w:w="40" w:type="dxa"/>
              <w:right w:w="20" w:type="dxa"/>
            </w:tcMar>
            <w:vAlign w:val="center"/>
          </w:tcPr>
          <w:p w14:paraId="7E78457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7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80" w14:textId="77777777" w:rsidR="00A82082" w:rsidRDefault="00E946F9">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7E78458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8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83" w14:textId="77777777" w:rsidR="00A82082" w:rsidRDefault="00E946F9">
            <w:pPr>
              <w:jc w:val="right"/>
              <w:textAlignment w:val="center"/>
            </w:pPr>
            <w:r>
              <w:rPr>
                <w:rFonts w:ascii="Times New Roman" w:eastAsia="宋体" w:hAnsi="Times New Roman"/>
                <w:color w:val="000000"/>
                <w:sz w:val="16"/>
                <w:szCs w:val="16"/>
              </w:rPr>
              <w:t>215 </w:t>
            </w:r>
          </w:p>
        </w:tc>
        <w:tc>
          <w:tcPr>
            <w:tcW w:w="0" w:type="auto"/>
            <w:shd w:val="clear" w:color="auto" w:fill="FFFFFF"/>
            <w:tcMar>
              <w:top w:w="40" w:type="dxa"/>
              <w:left w:w="0" w:type="dxa"/>
              <w:bottom w:w="40" w:type="dxa"/>
              <w:right w:w="20" w:type="dxa"/>
            </w:tcMar>
            <w:vAlign w:val="center"/>
          </w:tcPr>
          <w:p w14:paraId="7E784584" w14:textId="77777777" w:rsidR="00A82082" w:rsidRDefault="00A82082">
            <w:pPr>
              <w:jc w:val="right"/>
              <w:rPr>
                <w:rFonts w:ascii="宋体"/>
              </w:rPr>
            </w:pPr>
          </w:p>
        </w:tc>
        <w:tc>
          <w:tcPr>
            <w:tcW w:w="0" w:type="auto"/>
            <w:shd w:val="clear" w:color="auto" w:fill="auto"/>
          </w:tcPr>
          <w:p w14:paraId="7E784585" w14:textId="77777777" w:rsidR="00A82082" w:rsidRDefault="00A82082">
            <w:pPr>
              <w:rPr>
                <w:rFonts w:ascii="宋体"/>
                <w:vanish/>
              </w:rPr>
            </w:pPr>
          </w:p>
        </w:tc>
        <w:tc>
          <w:tcPr>
            <w:tcW w:w="0" w:type="auto"/>
            <w:shd w:val="clear" w:color="auto" w:fill="auto"/>
          </w:tcPr>
          <w:p w14:paraId="7E784586" w14:textId="77777777" w:rsidR="00A82082" w:rsidRDefault="00A82082">
            <w:pPr>
              <w:rPr>
                <w:rFonts w:ascii="宋体"/>
                <w:vanish/>
              </w:rPr>
            </w:pPr>
          </w:p>
        </w:tc>
        <w:tc>
          <w:tcPr>
            <w:tcW w:w="0" w:type="auto"/>
            <w:shd w:val="clear" w:color="auto" w:fill="auto"/>
          </w:tcPr>
          <w:p w14:paraId="7E784587" w14:textId="77777777" w:rsidR="00A82082" w:rsidRDefault="00A82082">
            <w:pPr>
              <w:rPr>
                <w:rFonts w:ascii="宋体"/>
                <w:vanish/>
              </w:rPr>
            </w:pPr>
          </w:p>
        </w:tc>
      </w:tr>
      <w:tr w:rsidR="00E946F9" w14:paraId="7E7845AB" w14:textId="77777777">
        <w:tc>
          <w:tcPr>
            <w:tcW w:w="0" w:type="auto"/>
            <w:gridSpan w:val="3"/>
            <w:shd w:val="clear" w:color="auto" w:fill="CCEEFF"/>
            <w:tcMar>
              <w:top w:w="40" w:type="dxa"/>
              <w:left w:w="20" w:type="dxa"/>
              <w:bottom w:w="40" w:type="dxa"/>
              <w:right w:w="20" w:type="dxa"/>
            </w:tcMar>
            <w:vAlign w:val="center"/>
          </w:tcPr>
          <w:p w14:paraId="7E784589" w14:textId="77777777" w:rsidR="00A82082" w:rsidRDefault="00E946F9">
            <w:pPr>
              <w:textAlignment w:val="center"/>
            </w:pPr>
            <w:r>
              <w:rPr>
                <w:rFonts w:ascii="Times New Roman" w:eastAsia="宋体" w:hAnsi="Times New Roman"/>
                <w:b/>
                <w:bCs/>
                <w:color w:val="000000"/>
                <w:sz w:val="16"/>
                <w:szCs w:val="16"/>
              </w:rPr>
              <w:t>Balances as of July 31,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58A" w14:textId="77777777" w:rsidR="00A82082" w:rsidRDefault="00E946F9">
            <w:pPr>
              <w:jc w:val="right"/>
              <w:textAlignment w:val="center"/>
            </w:pPr>
            <w:r>
              <w:rPr>
                <w:rFonts w:ascii="Times New Roman" w:eastAsia="宋体" w:hAnsi="Times New Roman"/>
                <w:color w:val="000000"/>
                <w:sz w:val="16"/>
                <w:szCs w:val="16"/>
              </w:rPr>
              <w:t>2,834 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8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8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8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8E" w14:textId="77777777" w:rsidR="00A82082" w:rsidRDefault="00E946F9">
            <w:pPr>
              <w:jc w:val="right"/>
              <w:textAlignment w:val="center"/>
            </w:pPr>
            <w:r>
              <w:rPr>
                <w:rFonts w:ascii="Times New Roman" w:eastAsia="宋体" w:hAnsi="Times New Roman"/>
                <w:color w:val="000000"/>
                <w:sz w:val="16"/>
                <w:szCs w:val="16"/>
              </w:rPr>
              <w:t>283 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8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9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9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92" w14:textId="77777777" w:rsidR="00A82082" w:rsidRDefault="00E946F9">
            <w:pPr>
              <w:jc w:val="right"/>
              <w:textAlignment w:val="center"/>
            </w:pPr>
            <w:r>
              <w:rPr>
                <w:rFonts w:ascii="Times New Roman" w:eastAsia="宋体" w:hAnsi="Times New Roman"/>
                <w:color w:val="000000"/>
                <w:sz w:val="16"/>
                <w:szCs w:val="16"/>
              </w:rPr>
              <w:t>3,197 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9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9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9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96" w14:textId="77777777" w:rsidR="00A82082" w:rsidRDefault="00E946F9">
            <w:pPr>
              <w:jc w:val="right"/>
              <w:textAlignment w:val="center"/>
            </w:pPr>
            <w:r>
              <w:rPr>
                <w:rFonts w:ascii="Times New Roman" w:eastAsia="宋体" w:hAnsi="Times New Roman"/>
                <w:color w:val="000000"/>
                <w:sz w:val="16"/>
                <w:szCs w:val="16"/>
              </w:rPr>
              <w:t>87,614 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9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9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9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9A" w14:textId="77777777" w:rsidR="00A82082" w:rsidRDefault="00E946F9">
            <w:pPr>
              <w:jc w:val="right"/>
              <w:textAlignment w:val="center"/>
            </w:pPr>
            <w:r>
              <w:rPr>
                <w:rFonts w:ascii="Times New Roman" w:eastAsia="宋体" w:hAnsi="Times New Roman"/>
                <w:color w:val="000000"/>
                <w:sz w:val="16"/>
                <w:szCs w:val="16"/>
              </w:rPr>
              <w:t>(15,784)</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9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9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9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9E" w14:textId="77777777" w:rsidR="00A82082" w:rsidRDefault="00E946F9">
            <w:pPr>
              <w:jc w:val="right"/>
              <w:textAlignment w:val="center"/>
            </w:pPr>
            <w:r>
              <w:rPr>
                <w:rFonts w:ascii="Times New Roman" w:eastAsia="宋体" w:hAnsi="Times New Roman"/>
                <w:color w:val="000000"/>
                <w:sz w:val="16"/>
                <w:szCs w:val="16"/>
              </w:rPr>
              <w:t>75,310 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9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A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A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A2" w14:textId="77777777" w:rsidR="00A82082" w:rsidRDefault="00E946F9">
            <w:pPr>
              <w:jc w:val="right"/>
              <w:textAlignment w:val="center"/>
            </w:pPr>
            <w:r>
              <w:rPr>
                <w:rFonts w:ascii="Times New Roman" w:eastAsia="宋体" w:hAnsi="Times New Roman"/>
                <w:color w:val="000000"/>
                <w:sz w:val="16"/>
                <w:szCs w:val="16"/>
              </w:rPr>
              <w:t>5,887 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A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A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5A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5A6" w14:textId="77777777" w:rsidR="00A82082" w:rsidRDefault="00E946F9">
            <w:pPr>
              <w:jc w:val="right"/>
              <w:textAlignment w:val="center"/>
            </w:pPr>
            <w:r>
              <w:rPr>
                <w:rFonts w:ascii="Times New Roman" w:eastAsia="宋体" w:hAnsi="Times New Roman"/>
                <w:color w:val="000000"/>
                <w:sz w:val="16"/>
                <w:szCs w:val="16"/>
              </w:rPr>
              <w:t>81,197 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5A7" w14:textId="77777777" w:rsidR="00A82082" w:rsidRDefault="00A82082">
            <w:pPr>
              <w:jc w:val="right"/>
              <w:rPr>
                <w:rFonts w:ascii="宋体"/>
              </w:rPr>
            </w:pPr>
          </w:p>
        </w:tc>
        <w:tc>
          <w:tcPr>
            <w:tcW w:w="0" w:type="auto"/>
            <w:shd w:val="clear" w:color="auto" w:fill="auto"/>
          </w:tcPr>
          <w:p w14:paraId="7E7845A8" w14:textId="77777777" w:rsidR="00A82082" w:rsidRDefault="00A82082">
            <w:pPr>
              <w:rPr>
                <w:rFonts w:ascii="宋体"/>
                <w:vanish/>
              </w:rPr>
            </w:pPr>
          </w:p>
        </w:tc>
        <w:tc>
          <w:tcPr>
            <w:tcW w:w="0" w:type="auto"/>
            <w:shd w:val="clear" w:color="auto" w:fill="auto"/>
          </w:tcPr>
          <w:p w14:paraId="7E7845A9" w14:textId="77777777" w:rsidR="00A82082" w:rsidRDefault="00A82082">
            <w:pPr>
              <w:rPr>
                <w:rFonts w:ascii="宋体"/>
                <w:vanish/>
              </w:rPr>
            </w:pPr>
          </w:p>
        </w:tc>
        <w:tc>
          <w:tcPr>
            <w:tcW w:w="0" w:type="auto"/>
            <w:shd w:val="clear" w:color="auto" w:fill="auto"/>
          </w:tcPr>
          <w:p w14:paraId="7E7845AA" w14:textId="77777777" w:rsidR="00A82082" w:rsidRDefault="00A82082">
            <w:pPr>
              <w:rPr>
                <w:rFonts w:ascii="宋体"/>
                <w:vanish/>
              </w:rPr>
            </w:pPr>
          </w:p>
        </w:tc>
      </w:tr>
      <w:tr w:rsidR="00A82082" w14:paraId="7E7845BF" w14:textId="77777777">
        <w:trPr>
          <w:hidden/>
        </w:trPr>
        <w:tc>
          <w:tcPr>
            <w:tcW w:w="0" w:type="auto"/>
            <w:gridSpan w:val="3"/>
            <w:shd w:val="clear" w:color="auto" w:fill="auto"/>
          </w:tcPr>
          <w:p w14:paraId="7E7845AC" w14:textId="77777777" w:rsidR="00A82082" w:rsidRDefault="00A82082">
            <w:pPr>
              <w:rPr>
                <w:rFonts w:ascii="宋体"/>
                <w:vanish/>
              </w:rPr>
            </w:pPr>
          </w:p>
        </w:tc>
        <w:tc>
          <w:tcPr>
            <w:tcW w:w="0" w:type="auto"/>
            <w:gridSpan w:val="3"/>
            <w:shd w:val="clear" w:color="auto" w:fill="auto"/>
          </w:tcPr>
          <w:p w14:paraId="7E7845AD" w14:textId="77777777" w:rsidR="00A82082" w:rsidRDefault="00A82082">
            <w:pPr>
              <w:rPr>
                <w:rFonts w:ascii="宋体"/>
                <w:vanish/>
              </w:rPr>
            </w:pPr>
          </w:p>
        </w:tc>
        <w:tc>
          <w:tcPr>
            <w:tcW w:w="0" w:type="auto"/>
            <w:gridSpan w:val="3"/>
            <w:shd w:val="clear" w:color="auto" w:fill="auto"/>
          </w:tcPr>
          <w:p w14:paraId="7E7845AE" w14:textId="77777777" w:rsidR="00A82082" w:rsidRDefault="00A82082">
            <w:pPr>
              <w:rPr>
                <w:rFonts w:ascii="宋体"/>
                <w:vanish/>
              </w:rPr>
            </w:pPr>
          </w:p>
        </w:tc>
        <w:tc>
          <w:tcPr>
            <w:tcW w:w="0" w:type="auto"/>
            <w:gridSpan w:val="3"/>
            <w:shd w:val="clear" w:color="auto" w:fill="auto"/>
          </w:tcPr>
          <w:p w14:paraId="7E7845AF" w14:textId="77777777" w:rsidR="00A82082" w:rsidRDefault="00A82082">
            <w:pPr>
              <w:rPr>
                <w:rFonts w:ascii="宋体"/>
                <w:vanish/>
              </w:rPr>
            </w:pPr>
          </w:p>
        </w:tc>
        <w:tc>
          <w:tcPr>
            <w:tcW w:w="0" w:type="auto"/>
            <w:gridSpan w:val="3"/>
            <w:shd w:val="clear" w:color="auto" w:fill="auto"/>
          </w:tcPr>
          <w:p w14:paraId="7E7845B0" w14:textId="77777777" w:rsidR="00A82082" w:rsidRDefault="00A82082">
            <w:pPr>
              <w:rPr>
                <w:rFonts w:ascii="宋体"/>
                <w:vanish/>
              </w:rPr>
            </w:pPr>
          </w:p>
        </w:tc>
        <w:tc>
          <w:tcPr>
            <w:tcW w:w="0" w:type="auto"/>
            <w:gridSpan w:val="3"/>
            <w:shd w:val="clear" w:color="auto" w:fill="auto"/>
          </w:tcPr>
          <w:p w14:paraId="7E7845B1" w14:textId="77777777" w:rsidR="00A82082" w:rsidRDefault="00A82082">
            <w:pPr>
              <w:rPr>
                <w:rFonts w:ascii="宋体"/>
                <w:vanish/>
              </w:rPr>
            </w:pPr>
          </w:p>
        </w:tc>
        <w:tc>
          <w:tcPr>
            <w:tcW w:w="0" w:type="auto"/>
            <w:gridSpan w:val="3"/>
            <w:shd w:val="clear" w:color="auto" w:fill="auto"/>
          </w:tcPr>
          <w:p w14:paraId="7E7845B2" w14:textId="77777777" w:rsidR="00A82082" w:rsidRDefault="00A82082">
            <w:pPr>
              <w:rPr>
                <w:rFonts w:ascii="宋体"/>
                <w:vanish/>
              </w:rPr>
            </w:pPr>
          </w:p>
        </w:tc>
        <w:tc>
          <w:tcPr>
            <w:tcW w:w="0" w:type="auto"/>
            <w:gridSpan w:val="3"/>
            <w:shd w:val="clear" w:color="auto" w:fill="auto"/>
          </w:tcPr>
          <w:p w14:paraId="7E7845B3" w14:textId="77777777" w:rsidR="00A82082" w:rsidRDefault="00A82082">
            <w:pPr>
              <w:rPr>
                <w:rFonts w:ascii="宋体"/>
                <w:vanish/>
              </w:rPr>
            </w:pPr>
          </w:p>
        </w:tc>
        <w:tc>
          <w:tcPr>
            <w:tcW w:w="0" w:type="auto"/>
            <w:gridSpan w:val="3"/>
            <w:shd w:val="clear" w:color="auto" w:fill="auto"/>
          </w:tcPr>
          <w:p w14:paraId="7E7845B4" w14:textId="77777777" w:rsidR="00A82082" w:rsidRDefault="00A82082">
            <w:pPr>
              <w:rPr>
                <w:rFonts w:ascii="宋体"/>
                <w:vanish/>
              </w:rPr>
            </w:pPr>
          </w:p>
        </w:tc>
        <w:tc>
          <w:tcPr>
            <w:tcW w:w="0" w:type="auto"/>
            <w:gridSpan w:val="3"/>
            <w:shd w:val="clear" w:color="auto" w:fill="auto"/>
          </w:tcPr>
          <w:p w14:paraId="7E7845B5" w14:textId="77777777" w:rsidR="00A82082" w:rsidRDefault="00A82082">
            <w:pPr>
              <w:rPr>
                <w:rFonts w:ascii="宋体"/>
                <w:vanish/>
              </w:rPr>
            </w:pPr>
          </w:p>
        </w:tc>
        <w:tc>
          <w:tcPr>
            <w:tcW w:w="0" w:type="auto"/>
            <w:gridSpan w:val="3"/>
            <w:shd w:val="clear" w:color="auto" w:fill="auto"/>
          </w:tcPr>
          <w:p w14:paraId="7E7845B6" w14:textId="77777777" w:rsidR="00A82082" w:rsidRDefault="00A82082">
            <w:pPr>
              <w:rPr>
                <w:rFonts w:ascii="宋体"/>
                <w:vanish/>
              </w:rPr>
            </w:pPr>
          </w:p>
        </w:tc>
        <w:tc>
          <w:tcPr>
            <w:tcW w:w="0" w:type="auto"/>
            <w:gridSpan w:val="3"/>
            <w:shd w:val="clear" w:color="auto" w:fill="auto"/>
          </w:tcPr>
          <w:p w14:paraId="7E7845B7" w14:textId="77777777" w:rsidR="00A82082" w:rsidRDefault="00A82082">
            <w:pPr>
              <w:rPr>
                <w:rFonts w:ascii="宋体"/>
                <w:vanish/>
              </w:rPr>
            </w:pPr>
          </w:p>
        </w:tc>
        <w:tc>
          <w:tcPr>
            <w:tcW w:w="0" w:type="auto"/>
            <w:gridSpan w:val="3"/>
            <w:shd w:val="clear" w:color="auto" w:fill="auto"/>
          </w:tcPr>
          <w:p w14:paraId="7E7845B8" w14:textId="77777777" w:rsidR="00A82082" w:rsidRDefault="00A82082">
            <w:pPr>
              <w:rPr>
                <w:rFonts w:ascii="宋体"/>
                <w:vanish/>
              </w:rPr>
            </w:pPr>
          </w:p>
        </w:tc>
        <w:tc>
          <w:tcPr>
            <w:tcW w:w="0" w:type="auto"/>
            <w:gridSpan w:val="3"/>
            <w:shd w:val="clear" w:color="auto" w:fill="auto"/>
          </w:tcPr>
          <w:p w14:paraId="7E7845B9" w14:textId="77777777" w:rsidR="00A82082" w:rsidRDefault="00A82082">
            <w:pPr>
              <w:rPr>
                <w:rFonts w:ascii="宋体"/>
                <w:vanish/>
              </w:rPr>
            </w:pPr>
          </w:p>
        </w:tc>
        <w:tc>
          <w:tcPr>
            <w:tcW w:w="0" w:type="auto"/>
            <w:gridSpan w:val="3"/>
            <w:shd w:val="clear" w:color="auto" w:fill="auto"/>
          </w:tcPr>
          <w:p w14:paraId="7E7845BA" w14:textId="77777777" w:rsidR="00A82082" w:rsidRDefault="00A82082">
            <w:pPr>
              <w:rPr>
                <w:rFonts w:ascii="宋体"/>
                <w:vanish/>
              </w:rPr>
            </w:pPr>
          </w:p>
        </w:tc>
        <w:tc>
          <w:tcPr>
            <w:tcW w:w="0" w:type="auto"/>
            <w:gridSpan w:val="3"/>
            <w:shd w:val="clear" w:color="auto" w:fill="auto"/>
          </w:tcPr>
          <w:p w14:paraId="7E7845BB" w14:textId="77777777" w:rsidR="00A82082" w:rsidRDefault="00A82082">
            <w:pPr>
              <w:rPr>
                <w:rFonts w:ascii="宋体"/>
                <w:vanish/>
              </w:rPr>
            </w:pPr>
          </w:p>
        </w:tc>
        <w:tc>
          <w:tcPr>
            <w:tcW w:w="0" w:type="auto"/>
            <w:shd w:val="clear" w:color="auto" w:fill="auto"/>
          </w:tcPr>
          <w:p w14:paraId="7E7845BC" w14:textId="77777777" w:rsidR="00A82082" w:rsidRDefault="00A82082">
            <w:pPr>
              <w:rPr>
                <w:rFonts w:ascii="宋体"/>
                <w:vanish/>
              </w:rPr>
            </w:pPr>
          </w:p>
        </w:tc>
        <w:tc>
          <w:tcPr>
            <w:tcW w:w="0" w:type="auto"/>
            <w:shd w:val="clear" w:color="auto" w:fill="auto"/>
          </w:tcPr>
          <w:p w14:paraId="7E7845BD" w14:textId="77777777" w:rsidR="00A82082" w:rsidRDefault="00A82082">
            <w:pPr>
              <w:rPr>
                <w:rFonts w:ascii="宋体"/>
                <w:vanish/>
              </w:rPr>
            </w:pPr>
          </w:p>
        </w:tc>
        <w:tc>
          <w:tcPr>
            <w:tcW w:w="0" w:type="auto"/>
            <w:shd w:val="clear" w:color="auto" w:fill="auto"/>
          </w:tcPr>
          <w:p w14:paraId="7E7845BE" w14:textId="77777777" w:rsidR="00A82082" w:rsidRDefault="00A82082">
            <w:pPr>
              <w:rPr>
                <w:rFonts w:ascii="宋体"/>
                <w:vanish/>
              </w:rPr>
            </w:pPr>
          </w:p>
        </w:tc>
      </w:tr>
      <w:tr w:rsidR="00A82082" w14:paraId="7E7845DB" w14:textId="77777777">
        <w:tc>
          <w:tcPr>
            <w:tcW w:w="0" w:type="auto"/>
            <w:gridSpan w:val="3"/>
            <w:shd w:val="clear" w:color="auto" w:fill="FFFFFF"/>
            <w:tcMar>
              <w:top w:w="40" w:type="dxa"/>
              <w:left w:w="20" w:type="dxa"/>
              <w:bottom w:w="40" w:type="dxa"/>
              <w:right w:w="20" w:type="dxa"/>
            </w:tcMar>
            <w:vAlign w:val="center"/>
          </w:tcPr>
          <w:p w14:paraId="7E7845C0"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7E7845C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5C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C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C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5C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C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C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5C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C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CA" w14:textId="77777777" w:rsidR="00A82082" w:rsidRDefault="00E946F9">
            <w:pPr>
              <w:jc w:val="right"/>
              <w:textAlignment w:val="center"/>
            </w:pPr>
            <w:r>
              <w:rPr>
                <w:rFonts w:ascii="Times New Roman" w:eastAsia="宋体" w:hAnsi="Times New Roman"/>
                <w:color w:val="000000"/>
                <w:sz w:val="16"/>
                <w:szCs w:val="16"/>
              </w:rPr>
              <w:t>5,135 </w:t>
            </w:r>
          </w:p>
        </w:tc>
        <w:tc>
          <w:tcPr>
            <w:tcW w:w="0" w:type="auto"/>
            <w:shd w:val="clear" w:color="auto" w:fill="FFFFFF"/>
            <w:tcMar>
              <w:top w:w="40" w:type="dxa"/>
              <w:left w:w="0" w:type="dxa"/>
              <w:bottom w:w="40" w:type="dxa"/>
              <w:right w:w="20" w:type="dxa"/>
            </w:tcMar>
            <w:vAlign w:val="center"/>
          </w:tcPr>
          <w:p w14:paraId="7E7845C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C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C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5C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C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D0" w14:textId="77777777" w:rsidR="00A82082" w:rsidRDefault="00E946F9">
            <w:pPr>
              <w:jc w:val="right"/>
              <w:textAlignment w:val="center"/>
            </w:pPr>
            <w:r>
              <w:rPr>
                <w:rFonts w:ascii="Times New Roman" w:eastAsia="宋体" w:hAnsi="Times New Roman"/>
                <w:color w:val="000000"/>
                <w:sz w:val="16"/>
                <w:szCs w:val="16"/>
              </w:rPr>
              <w:t>5,135 </w:t>
            </w:r>
          </w:p>
        </w:tc>
        <w:tc>
          <w:tcPr>
            <w:tcW w:w="0" w:type="auto"/>
            <w:shd w:val="clear" w:color="auto" w:fill="FFFFFF"/>
            <w:tcMar>
              <w:top w:w="40" w:type="dxa"/>
              <w:left w:w="0" w:type="dxa"/>
              <w:bottom w:w="40" w:type="dxa"/>
              <w:right w:w="20" w:type="dxa"/>
            </w:tcMar>
            <w:vAlign w:val="center"/>
          </w:tcPr>
          <w:p w14:paraId="7E7845D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D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D3" w14:textId="77777777" w:rsidR="00A82082" w:rsidRDefault="00E946F9">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7E7845D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5D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5D6" w14:textId="77777777" w:rsidR="00A82082" w:rsidRDefault="00E946F9">
            <w:pPr>
              <w:jc w:val="right"/>
              <w:textAlignment w:val="center"/>
            </w:pPr>
            <w:r>
              <w:rPr>
                <w:rFonts w:ascii="Times New Roman" w:eastAsia="宋体" w:hAnsi="Times New Roman"/>
                <w:color w:val="000000"/>
                <w:sz w:val="16"/>
                <w:szCs w:val="16"/>
              </w:rPr>
              <w:t>5,201 </w:t>
            </w:r>
          </w:p>
        </w:tc>
        <w:tc>
          <w:tcPr>
            <w:tcW w:w="0" w:type="auto"/>
            <w:shd w:val="clear" w:color="auto" w:fill="FFFFFF"/>
            <w:tcMar>
              <w:top w:w="40" w:type="dxa"/>
              <w:left w:w="0" w:type="dxa"/>
              <w:bottom w:w="40" w:type="dxa"/>
              <w:right w:w="20" w:type="dxa"/>
            </w:tcMar>
            <w:vAlign w:val="center"/>
          </w:tcPr>
          <w:p w14:paraId="7E7845D7" w14:textId="77777777" w:rsidR="00A82082" w:rsidRDefault="00A82082">
            <w:pPr>
              <w:jc w:val="right"/>
              <w:rPr>
                <w:rFonts w:ascii="宋体"/>
              </w:rPr>
            </w:pPr>
          </w:p>
        </w:tc>
        <w:tc>
          <w:tcPr>
            <w:tcW w:w="0" w:type="auto"/>
            <w:shd w:val="clear" w:color="auto" w:fill="auto"/>
          </w:tcPr>
          <w:p w14:paraId="7E7845D8" w14:textId="77777777" w:rsidR="00A82082" w:rsidRDefault="00A82082">
            <w:pPr>
              <w:rPr>
                <w:rFonts w:ascii="宋体"/>
                <w:vanish/>
              </w:rPr>
            </w:pPr>
          </w:p>
        </w:tc>
        <w:tc>
          <w:tcPr>
            <w:tcW w:w="0" w:type="auto"/>
            <w:shd w:val="clear" w:color="auto" w:fill="auto"/>
          </w:tcPr>
          <w:p w14:paraId="7E7845D9" w14:textId="77777777" w:rsidR="00A82082" w:rsidRDefault="00A82082">
            <w:pPr>
              <w:rPr>
                <w:rFonts w:ascii="宋体"/>
                <w:vanish/>
              </w:rPr>
            </w:pPr>
          </w:p>
        </w:tc>
        <w:tc>
          <w:tcPr>
            <w:tcW w:w="0" w:type="auto"/>
            <w:shd w:val="clear" w:color="auto" w:fill="auto"/>
          </w:tcPr>
          <w:p w14:paraId="7E7845DA" w14:textId="77777777" w:rsidR="00A82082" w:rsidRDefault="00A82082">
            <w:pPr>
              <w:rPr>
                <w:rFonts w:ascii="宋体"/>
                <w:vanish/>
              </w:rPr>
            </w:pPr>
          </w:p>
        </w:tc>
      </w:tr>
      <w:tr w:rsidR="00A82082" w14:paraId="7E7845F7" w14:textId="77777777">
        <w:tc>
          <w:tcPr>
            <w:tcW w:w="0" w:type="auto"/>
            <w:gridSpan w:val="3"/>
            <w:shd w:val="clear" w:color="auto" w:fill="CCEEFF"/>
            <w:tcMar>
              <w:top w:w="40" w:type="dxa"/>
              <w:left w:w="20" w:type="dxa"/>
              <w:bottom w:w="40" w:type="dxa"/>
              <w:right w:w="20" w:type="dxa"/>
            </w:tcMar>
            <w:vAlign w:val="center"/>
          </w:tcPr>
          <w:p w14:paraId="7E7845DC" w14:textId="77777777" w:rsidR="00A82082" w:rsidRDefault="00E946F9">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CCEEFF"/>
            <w:tcMar>
              <w:top w:w="40" w:type="dxa"/>
              <w:left w:w="20" w:type="dxa"/>
              <w:bottom w:w="40" w:type="dxa"/>
              <w:right w:w="0" w:type="dxa"/>
            </w:tcMar>
            <w:vAlign w:val="center"/>
          </w:tcPr>
          <w:p w14:paraId="7E7845D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D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D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E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E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E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E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5E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E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9" w14:textId="77777777" w:rsidR="00A82082" w:rsidRDefault="00E946F9">
            <w:pPr>
              <w:jc w:val="right"/>
              <w:textAlignment w:val="center"/>
            </w:pPr>
            <w:r>
              <w:rPr>
                <w:rFonts w:ascii="Times New Roman" w:eastAsia="宋体" w:hAnsi="Times New Roman"/>
                <w:color w:val="000000"/>
                <w:sz w:val="16"/>
                <w:szCs w:val="16"/>
              </w:rPr>
              <w:t>1,168 </w:t>
            </w:r>
          </w:p>
        </w:tc>
        <w:tc>
          <w:tcPr>
            <w:tcW w:w="0" w:type="auto"/>
            <w:shd w:val="clear" w:color="auto" w:fill="CCEEFF"/>
            <w:tcMar>
              <w:top w:w="40" w:type="dxa"/>
              <w:left w:w="0" w:type="dxa"/>
              <w:bottom w:w="40" w:type="dxa"/>
              <w:right w:w="20" w:type="dxa"/>
            </w:tcMar>
            <w:vAlign w:val="center"/>
          </w:tcPr>
          <w:p w14:paraId="7E7845E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E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C" w14:textId="77777777" w:rsidR="00A82082" w:rsidRDefault="00E946F9">
            <w:pPr>
              <w:jc w:val="right"/>
              <w:textAlignment w:val="center"/>
            </w:pPr>
            <w:r>
              <w:rPr>
                <w:rFonts w:ascii="Times New Roman" w:eastAsia="宋体" w:hAnsi="Times New Roman"/>
                <w:color w:val="000000"/>
                <w:sz w:val="16"/>
                <w:szCs w:val="16"/>
              </w:rPr>
              <w:t>1,168 </w:t>
            </w:r>
          </w:p>
        </w:tc>
        <w:tc>
          <w:tcPr>
            <w:tcW w:w="0" w:type="auto"/>
            <w:shd w:val="clear" w:color="auto" w:fill="CCEEFF"/>
            <w:tcMar>
              <w:top w:w="40" w:type="dxa"/>
              <w:left w:w="0" w:type="dxa"/>
              <w:bottom w:w="40" w:type="dxa"/>
              <w:right w:w="20" w:type="dxa"/>
            </w:tcMar>
            <w:vAlign w:val="center"/>
          </w:tcPr>
          <w:p w14:paraId="7E7845E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E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EF" w14:textId="77777777" w:rsidR="00A82082" w:rsidRDefault="00E946F9">
            <w:pPr>
              <w:jc w:val="right"/>
              <w:textAlignment w:val="center"/>
            </w:pPr>
            <w:r>
              <w:rPr>
                <w:rFonts w:ascii="Times New Roman" w:eastAsia="宋体" w:hAnsi="Times New Roman"/>
                <w:color w:val="000000"/>
                <w:sz w:val="16"/>
                <w:szCs w:val="16"/>
              </w:rPr>
              <w:t>109 </w:t>
            </w:r>
          </w:p>
        </w:tc>
        <w:tc>
          <w:tcPr>
            <w:tcW w:w="0" w:type="auto"/>
            <w:shd w:val="clear" w:color="auto" w:fill="CCEEFF"/>
            <w:tcMar>
              <w:top w:w="40" w:type="dxa"/>
              <w:left w:w="0" w:type="dxa"/>
              <w:bottom w:w="40" w:type="dxa"/>
              <w:right w:w="20" w:type="dxa"/>
            </w:tcMar>
            <w:vAlign w:val="center"/>
          </w:tcPr>
          <w:p w14:paraId="7E7845F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5F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5F2" w14:textId="77777777" w:rsidR="00A82082" w:rsidRDefault="00E946F9">
            <w:pPr>
              <w:jc w:val="right"/>
              <w:textAlignment w:val="center"/>
            </w:pPr>
            <w:r>
              <w:rPr>
                <w:rFonts w:ascii="Times New Roman" w:eastAsia="宋体" w:hAnsi="Times New Roman"/>
                <w:color w:val="000000"/>
                <w:sz w:val="16"/>
                <w:szCs w:val="16"/>
              </w:rPr>
              <w:t>1,277 </w:t>
            </w:r>
          </w:p>
        </w:tc>
        <w:tc>
          <w:tcPr>
            <w:tcW w:w="0" w:type="auto"/>
            <w:shd w:val="clear" w:color="auto" w:fill="CCEEFF"/>
            <w:tcMar>
              <w:top w:w="40" w:type="dxa"/>
              <w:left w:w="0" w:type="dxa"/>
              <w:bottom w:w="40" w:type="dxa"/>
              <w:right w:w="20" w:type="dxa"/>
            </w:tcMar>
            <w:vAlign w:val="center"/>
          </w:tcPr>
          <w:p w14:paraId="7E7845F3" w14:textId="77777777" w:rsidR="00A82082" w:rsidRDefault="00A82082">
            <w:pPr>
              <w:jc w:val="right"/>
              <w:rPr>
                <w:rFonts w:ascii="宋体"/>
              </w:rPr>
            </w:pPr>
          </w:p>
        </w:tc>
        <w:tc>
          <w:tcPr>
            <w:tcW w:w="0" w:type="auto"/>
            <w:shd w:val="clear" w:color="auto" w:fill="auto"/>
          </w:tcPr>
          <w:p w14:paraId="7E7845F4" w14:textId="77777777" w:rsidR="00A82082" w:rsidRDefault="00A82082">
            <w:pPr>
              <w:rPr>
                <w:rFonts w:ascii="宋体"/>
                <w:vanish/>
              </w:rPr>
            </w:pPr>
          </w:p>
        </w:tc>
        <w:tc>
          <w:tcPr>
            <w:tcW w:w="0" w:type="auto"/>
            <w:shd w:val="clear" w:color="auto" w:fill="auto"/>
          </w:tcPr>
          <w:p w14:paraId="7E7845F5" w14:textId="77777777" w:rsidR="00A82082" w:rsidRDefault="00A82082">
            <w:pPr>
              <w:rPr>
                <w:rFonts w:ascii="宋体"/>
                <w:vanish/>
              </w:rPr>
            </w:pPr>
          </w:p>
        </w:tc>
        <w:tc>
          <w:tcPr>
            <w:tcW w:w="0" w:type="auto"/>
            <w:shd w:val="clear" w:color="auto" w:fill="auto"/>
          </w:tcPr>
          <w:p w14:paraId="7E7845F6" w14:textId="77777777" w:rsidR="00A82082" w:rsidRDefault="00A82082">
            <w:pPr>
              <w:rPr>
                <w:rFonts w:ascii="宋体"/>
                <w:vanish/>
              </w:rPr>
            </w:pPr>
          </w:p>
        </w:tc>
      </w:tr>
      <w:tr w:rsidR="00A82082" w14:paraId="7E78460B" w14:textId="77777777">
        <w:trPr>
          <w:hidden/>
        </w:trPr>
        <w:tc>
          <w:tcPr>
            <w:tcW w:w="0" w:type="auto"/>
            <w:gridSpan w:val="3"/>
            <w:shd w:val="clear" w:color="auto" w:fill="auto"/>
          </w:tcPr>
          <w:p w14:paraId="7E7845F8" w14:textId="77777777" w:rsidR="00A82082" w:rsidRDefault="00A82082">
            <w:pPr>
              <w:rPr>
                <w:rFonts w:ascii="宋体"/>
                <w:vanish/>
              </w:rPr>
            </w:pPr>
          </w:p>
        </w:tc>
        <w:tc>
          <w:tcPr>
            <w:tcW w:w="0" w:type="auto"/>
            <w:gridSpan w:val="3"/>
            <w:shd w:val="clear" w:color="auto" w:fill="auto"/>
          </w:tcPr>
          <w:p w14:paraId="7E7845F9" w14:textId="77777777" w:rsidR="00A82082" w:rsidRDefault="00A82082">
            <w:pPr>
              <w:rPr>
                <w:rFonts w:ascii="宋体"/>
                <w:vanish/>
              </w:rPr>
            </w:pPr>
          </w:p>
        </w:tc>
        <w:tc>
          <w:tcPr>
            <w:tcW w:w="0" w:type="auto"/>
            <w:gridSpan w:val="3"/>
            <w:shd w:val="clear" w:color="auto" w:fill="auto"/>
          </w:tcPr>
          <w:p w14:paraId="7E7845FA" w14:textId="77777777" w:rsidR="00A82082" w:rsidRDefault="00A82082">
            <w:pPr>
              <w:rPr>
                <w:rFonts w:ascii="宋体"/>
                <w:vanish/>
              </w:rPr>
            </w:pPr>
          </w:p>
        </w:tc>
        <w:tc>
          <w:tcPr>
            <w:tcW w:w="0" w:type="auto"/>
            <w:gridSpan w:val="3"/>
            <w:shd w:val="clear" w:color="auto" w:fill="auto"/>
          </w:tcPr>
          <w:p w14:paraId="7E7845FB" w14:textId="77777777" w:rsidR="00A82082" w:rsidRDefault="00A82082">
            <w:pPr>
              <w:rPr>
                <w:rFonts w:ascii="宋体"/>
                <w:vanish/>
              </w:rPr>
            </w:pPr>
          </w:p>
        </w:tc>
        <w:tc>
          <w:tcPr>
            <w:tcW w:w="0" w:type="auto"/>
            <w:gridSpan w:val="3"/>
            <w:shd w:val="clear" w:color="auto" w:fill="auto"/>
          </w:tcPr>
          <w:p w14:paraId="7E7845FC" w14:textId="77777777" w:rsidR="00A82082" w:rsidRDefault="00A82082">
            <w:pPr>
              <w:rPr>
                <w:rFonts w:ascii="宋体"/>
                <w:vanish/>
              </w:rPr>
            </w:pPr>
          </w:p>
        </w:tc>
        <w:tc>
          <w:tcPr>
            <w:tcW w:w="0" w:type="auto"/>
            <w:gridSpan w:val="3"/>
            <w:shd w:val="clear" w:color="auto" w:fill="auto"/>
          </w:tcPr>
          <w:p w14:paraId="7E7845FD" w14:textId="77777777" w:rsidR="00A82082" w:rsidRDefault="00A82082">
            <w:pPr>
              <w:rPr>
                <w:rFonts w:ascii="宋体"/>
                <w:vanish/>
              </w:rPr>
            </w:pPr>
          </w:p>
        </w:tc>
        <w:tc>
          <w:tcPr>
            <w:tcW w:w="0" w:type="auto"/>
            <w:gridSpan w:val="3"/>
            <w:shd w:val="clear" w:color="auto" w:fill="auto"/>
          </w:tcPr>
          <w:p w14:paraId="7E7845FE" w14:textId="77777777" w:rsidR="00A82082" w:rsidRDefault="00A82082">
            <w:pPr>
              <w:rPr>
                <w:rFonts w:ascii="宋体"/>
                <w:vanish/>
              </w:rPr>
            </w:pPr>
          </w:p>
        </w:tc>
        <w:tc>
          <w:tcPr>
            <w:tcW w:w="0" w:type="auto"/>
            <w:gridSpan w:val="3"/>
            <w:shd w:val="clear" w:color="auto" w:fill="auto"/>
          </w:tcPr>
          <w:p w14:paraId="7E7845FF" w14:textId="77777777" w:rsidR="00A82082" w:rsidRDefault="00A82082">
            <w:pPr>
              <w:rPr>
                <w:rFonts w:ascii="宋体"/>
                <w:vanish/>
              </w:rPr>
            </w:pPr>
          </w:p>
        </w:tc>
        <w:tc>
          <w:tcPr>
            <w:tcW w:w="0" w:type="auto"/>
            <w:gridSpan w:val="3"/>
            <w:shd w:val="clear" w:color="auto" w:fill="auto"/>
          </w:tcPr>
          <w:p w14:paraId="7E784600" w14:textId="77777777" w:rsidR="00A82082" w:rsidRDefault="00A82082">
            <w:pPr>
              <w:rPr>
                <w:rFonts w:ascii="宋体"/>
                <w:vanish/>
              </w:rPr>
            </w:pPr>
          </w:p>
        </w:tc>
        <w:tc>
          <w:tcPr>
            <w:tcW w:w="0" w:type="auto"/>
            <w:gridSpan w:val="3"/>
            <w:shd w:val="clear" w:color="auto" w:fill="auto"/>
          </w:tcPr>
          <w:p w14:paraId="7E784601" w14:textId="77777777" w:rsidR="00A82082" w:rsidRDefault="00A82082">
            <w:pPr>
              <w:rPr>
                <w:rFonts w:ascii="宋体"/>
                <w:vanish/>
              </w:rPr>
            </w:pPr>
          </w:p>
        </w:tc>
        <w:tc>
          <w:tcPr>
            <w:tcW w:w="0" w:type="auto"/>
            <w:gridSpan w:val="3"/>
            <w:shd w:val="clear" w:color="auto" w:fill="auto"/>
          </w:tcPr>
          <w:p w14:paraId="7E784602" w14:textId="77777777" w:rsidR="00A82082" w:rsidRDefault="00A82082">
            <w:pPr>
              <w:rPr>
                <w:rFonts w:ascii="宋体"/>
                <w:vanish/>
              </w:rPr>
            </w:pPr>
          </w:p>
        </w:tc>
        <w:tc>
          <w:tcPr>
            <w:tcW w:w="0" w:type="auto"/>
            <w:gridSpan w:val="3"/>
            <w:shd w:val="clear" w:color="auto" w:fill="auto"/>
          </w:tcPr>
          <w:p w14:paraId="7E784603" w14:textId="77777777" w:rsidR="00A82082" w:rsidRDefault="00A82082">
            <w:pPr>
              <w:rPr>
                <w:rFonts w:ascii="宋体"/>
                <w:vanish/>
              </w:rPr>
            </w:pPr>
          </w:p>
        </w:tc>
        <w:tc>
          <w:tcPr>
            <w:tcW w:w="0" w:type="auto"/>
            <w:gridSpan w:val="3"/>
            <w:shd w:val="clear" w:color="auto" w:fill="auto"/>
          </w:tcPr>
          <w:p w14:paraId="7E784604" w14:textId="77777777" w:rsidR="00A82082" w:rsidRDefault="00A82082">
            <w:pPr>
              <w:rPr>
                <w:rFonts w:ascii="宋体"/>
                <w:vanish/>
              </w:rPr>
            </w:pPr>
          </w:p>
        </w:tc>
        <w:tc>
          <w:tcPr>
            <w:tcW w:w="0" w:type="auto"/>
            <w:gridSpan w:val="3"/>
            <w:shd w:val="clear" w:color="auto" w:fill="auto"/>
          </w:tcPr>
          <w:p w14:paraId="7E784605" w14:textId="77777777" w:rsidR="00A82082" w:rsidRDefault="00A82082">
            <w:pPr>
              <w:rPr>
                <w:rFonts w:ascii="宋体"/>
                <w:vanish/>
              </w:rPr>
            </w:pPr>
          </w:p>
        </w:tc>
        <w:tc>
          <w:tcPr>
            <w:tcW w:w="0" w:type="auto"/>
            <w:gridSpan w:val="3"/>
            <w:shd w:val="clear" w:color="auto" w:fill="auto"/>
          </w:tcPr>
          <w:p w14:paraId="7E784606" w14:textId="77777777" w:rsidR="00A82082" w:rsidRDefault="00A82082">
            <w:pPr>
              <w:rPr>
                <w:rFonts w:ascii="宋体"/>
                <w:vanish/>
              </w:rPr>
            </w:pPr>
          </w:p>
        </w:tc>
        <w:tc>
          <w:tcPr>
            <w:tcW w:w="0" w:type="auto"/>
            <w:gridSpan w:val="3"/>
            <w:shd w:val="clear" w:color="auto" w:fill="auto"/>
          </w:tcPr>
          <w:p w14:paraId="7E784607" w14:textId="77777777" w:rsidR="00A82082" w:rsidRDefault="00A82082">
            <w:pPr>
              <w:rPr>
                <w:rFonts w:ascii="宋体"/>
                <w:vanish/>
              </w:rPr>
            </w:pPr>
          </w:p>
        </w:tc>
        <w:tc>
          <w:tcPr>
            <w:tcW w:w="0" w:type="auto"/>
            <w:shd w:val="clear" w:color="auto" w:fill="auto"/>
          </w:tcPr>
          <w:p w14:paraId="7E784608" w14:textId="77777777" w:rsidR="00A82082" w:rsidRDefault="00A82082">
            <w:pPr>
              <w:rPr>
                <w:rFonts w:ascii="宋体"/>
                <w:vanish/>
              </w:rPr>
            </w:pPr>
          </w:p>
        </w:tc>
        <w:tc>
          <w:tcPr>
            <w:tcW w:w="0" w:type="auto"/>
            <w:shd w:val="clear" w:color="auto" w:fill="auto"/>
          </w:tcPr>
          <w:p w14:paraId="7E784609" w14:textId="77777777" w:rsidR="00A82082" w:rsidRDefault="00A82082">
            <w:pPr>
              <w:rPr>
                <w:rFonts w:ascii="宋体"/>
                <w:vanish/>
              </w:rPr>
            </w:pPr>
          </w:p>
        </w:tc>
        <w:tc>
          <w:tcPr>
            <w:tcW w:w="0" w:type="auto"/>
            <w:shd w:val="clear" w:color="auto" w:fill="auto"/>
          </w:tcPr>
          <w:p w14:paraId="7E78460A" w14:textId="77777777" w:rsidR="00A82082" w:rsidRDefault="00A82082">
            <w:pPr>
              <w:rPr>
                <w:rFonts w:ascii="宋体"/>
                <w:vanish/>
              </w:rPr>
            </w:pPr>
          </w:p>
        </w:tc>
      </w:tr>
      <w:tr w:rsidR="00A82082" w14:paraId="7E78461F" w14:textId="77777777">
        <w:trPr>
          <w:hidden/>
        </w:trPr>
        <w:tc>
          <w:tcPr>
            <w:tcW w:w="0" w:type="auto"/>
            <w:gridSpan w:val="3"/>
            <w:shd w:val="clear" w:color="auto" w:fill="auto"/>
          </w:tcPr>
          <w:p w14:paraId="7E78460C" w14:textId="77777777" w:rsidR="00A82082" w:rsidRDefault="00A82082">
            <w:pPr>
              <w:rPr>
                <w:rFonts w:ascii="宋体"/>
                <w:vanish/>
              </w:rPr>
            </w:pPr>
          </w:p>
        </w:tc>
        <w:tc>
          <w:tcPr>
            <w:tcW w:w="0" w:type="auto"/>
            <w:gridSpan w:val="3"/>
            <w:shd w:val="clear" w:color="auto" w:fill="auto"/>
          </w:tcPr>
          <w:p w14:paraId="7E78460D" w14:textId="77777777" w:rsidR="00A82082" w:rsidRDefault="00A82082">
            <w:pPr>
              <w:rPr>
                <w:rFonts w:ascii="宋体"/>
                <w:vanish/>
              </w:rPr>
            </w:pPr>
          </w:p>
        </w:tc>
        <w:tc>
          <w:tcPr>
            <w:tcW w:w="0" w:type="auto"/>
            <w:gridSpan w:val="3"/>
            <w:shd w:val="clear" w:color="auto" w:fill="auto"/>
          </w:tcPr>
          <w:p w14:paraId="7E78460E" w14:textId="77777777" w:rsidR="00A82082" w:rsidRDefault="00A82082">
            <w:pPr>
              <w:rPr>
                <w:rFonts w:ascii="宋体"/>
                <w:vanish/>
              </w:rPr>
            </w:pPr>
          </w:p>
        </w:tc>
        <w:tc>
          <w:tcPr>
            <w:tcW w:w="0" w:type="auto"/>
            <w:gridSpan w:val="3"/>
            <w:shd w:val="clear" w:color="auto" w:fill="auto"/>
          </w:tcPr>
          <w:p w14:paraId="7E78460F" w14:textId="77777777" w:rsidR="00A82082" w:rsidRDefault="00A82082">
            <w:pPr>
              <w:rPr>
                <w:rFonts w:ascii="宋体"/>
                <w:vanish/>
              </w:rPr>
            </w:pPr>
          </w:p>
        </w:tc>
        <w:tc>
          <w:tcPr>
            <w:tcW w:w="0" w:type="auto"/>
            <w:gridSpan w:val="3"/>
            <w:shd w:val="clear" w:color="auto" w:fill="auto"/>
          </w:tcPr>
          <w:p w14:paraId="7E784610" w14:textId="77777777" w:rsidR="00A82082" w:rsidRDefault="00A82082">
            <w:pPr>
              <w:rPr>
                <w:rFonts w:ascii="宋体"/>
                <w:vanish/>
              </w:rPr>
            </w:pPr>
          </w:p>
        </w:tc>
        <w:tc>
          <w:tcPr>
            <w:tcW w:w="0" w:type="auto"/>
            <w:gridSpan w:val="3"/>
            <w:shd w:val="clear" w:color="auto" w:fill="auto"/>
          </w:tcPr>
          <w:p w14:paraId="7E784611" w14:textId="77777777" w:rsidR="00A82082" w:rsidRDefault="00A82082">
            <w:pPr>
              <w:rPr>
                <w:rFonts w:ascii="宋体"/>
                <w:vanish/>
              </w:rPr>
            </w:pPr>
          </w:p>
        </w:tc>
        <w:tc>
          <w:tcPr>
            <w:tcW w:w="0" w:type="auto"/>
            <w:gridSpan w:val="3"/>
            <w:shd w:val="clear" w:color="auto" w:fill="auto"/>
          </w:tcPr>
          <w:p w14:paraId="7E784612" w14:textId="77777777" w:rsidR="00A82082" w:rsidRDefault="00A82082">
            <w:pPr>
              <w:rPr>
                <w:rFonts w:ascii="宋体"/>
                <w:vanish/>
              </w:rPr>
            </w:pPr>
          </w:p>
        </w:tc>
        <w:tc>
          <w:tcPr>
            <w:tcW w:w="0" w:type="auto"/>
            <w:gridSpan w:val="3"/>
            <w:shd w:val="clear" w:color="auto" w:fill="auto"/>
          </w:tcPr>
          <w:p w14:paraId="7E784613" w14:textId="77777777" w:rsidR="00A82082" w:rsidRDefault="00A82082">
            <w:pPr>
              <w:rPr>
                <w:rFonts w:ascii="宋体"/>
                <w:vanish/>
              </w:rPr>
            </w:pPr>
          </w:p>
        </w:tc>
        <w:tc>
          <w:tcPr>
            <w:tcW w:w="0" w:type="auto"/>
            <w:gridSpan w:val="3"/>
            <w:shd w:val="clear" w:color="auto" w:fill="auto"/>
          </w:tcPr>
          <w:p w14:paraId="7E784614" w14:textId="77777777" w:rsidR="00A82082" w:rsidRDefault="00A82082">
            <w:pPr>
              <w:rPr>
                <w:rFonts w:ascii="宋体"/>
                <w:vanish/>
              </w:rPr>
            </w:pPr>
          </w:p>
        </w:tc>
        <w:tc>
          <w:tcPr>
            <w:tcW w:w="0" w:type="auto"/>
            <w:gridSpan w:val="3"/>
            <w:shd w:val="clear" w:color="auto" w:fill="auto"/>
          </w:tcPr>
          <w:p w14:paraId="7E784615" w14:textId="77777777" w:rsidR="00A82082" w:rsidRDefault="00A82082">
            <w:pPr>
              <w:rPr>
                <w:rFonts w:ascii="宋体"/>
                <w:vanish/>
              </w:rPr>
            </w:pPr>
          </w:p>
        </w:tc>
        <w:tc>
          <w:tcPr>
            <w:tcW w:w="0" w:type="auto"/>
            <w:gridSpan w:val="3"/>
            <w:shd w:val="clear" w:color="auto" w:fill="auto"/>
          </w:tcPr>
          <w:p w14:paraId="7E784616" w14:textId="77777777" w:rsidR="00A82082" w:rsidRDefault="00A82082">
            <w:pPr>
              <w:rPr>
                <w:rFonts w:ascii="宋体"/>
                <w:vanish/>
              </w:rPr>
            </w:pPr>
          </w:p>
        </w:tc>
        <w:tc>
          <w:tcPr>
            <w:tcW w:w="0" w:type="auto"/>
            <w:gridSpan w:val="3"/>
            <w:shd w:val="clear" w:color="auto" w:fill="auto"/>
          </w:tcPr>
          <w:p w14:paraId="7E784617" w14:textId="77777777" w:rsidR="00A82082" w:rsidRDefault="00A82082">
            <w:pPr>
              <w:rPr>
                <w:rFonts w:ascii="宋体"/>
                <w:vanish/>
              </w:rPr>
            </w:pPr>
          </w:p>
        </w:tc>
        <w:tc>
          <w:tcPr>
            <w:tcW w:w="0" w:type="auto"/>
            <w:gridSpan w:val="3"/>
            <w:shd w:val="clear" w:color="auto" w:fill="auto"/>
          </w:tcPr>
          <w:p w14:paraId="7E784618" w14:textId="77777777" w:rsidR="00A82082" w:rsidRDefault="00A82082">
            <w:pPr>
              <w:rPr>
                <w:rFonts w:ascii="宋体"/>
                <w:vanish/>
              </w:rPr>
            </w:pPr>
          </w:p>
        </w:tc>
        <w:tc>
          <w:tcPr>
            <w:tcW w:w="0" w:type="auto"/>
            <w:gridSpan w:val="3"/>
            <w:shd w:val="clear" w:color="auto" w:fill="auto"/>
          </w:tcPr>
          <w:p w14:paraId="7E784619" w14:textId="77777777" w:rsidR="00A82082" w:rsidRDefault="00A82082">
            <w:pPr>
              <w:rPr>
                <w:rFonts w:ascii="宋体"/>
                <w:vanish/>
              </w:rPr>
            </w:pPr>
          </w:p>
        </w:tc>
        <w:tc>
          <w:tcPr>
            <w:tcW w:w="0" w:type="auto"/>
            <w:gridSpan w:val="3"/>
            <w:shd w:val="clear" w:color="auto" w:fill="auto"/>
          </w:tcPr>
          <w:p w14:paraId="7E78461A" w14:textId="77777777" w:rsidR="00A82082" w:rsidRDefault="00A82082">
            <w:pPr>
              <w:rPr>
                <w:rFonts w:ascii="宋体"/>
                <w:vanish/>
              </w:rPr>
            </w:pPr>
          </w:p>
        </w:tc>
        <w:tc>
          <w:tcPr>
            <w:tcW w:w="0" w:type="auto"/>
            <w:gridSpan w:val="3"/>
            <w:shd w:val="clear" w:color="auto" w:fill="auto"/>
          </w:tcPr>
          <w:p w14:paraId="7E78461B" w14:textId="77777777" w:rsidR="00A82082" w:rsidRDefault="00A82082">
            <w:pPr>
              <w:rPr>
                <w:rFonts w:ascii="宋体"/>
                <w:vanish/>
              </w:rPr>
            </w:pPr>
          </w:p>
        </w:tc>
        <w:tc>
          <w:tcPr>
            <w:tcW w:w="0" w:type="auto"/>
            <w:shd w:val="clear" w:color="auto" w:fill="auto"/>
          </w:tcPr>
          <w:p w14:paraId="7E78461C" w14:textId="77777777" w:rsidR="00A82082" w:rsidRDefault="00A82082">
            <w:pPr>
              <w:rPr>
                <w:rFonts w:ascii="宋体"/>
                <w:vanish/>
              </w:rPr>
            </w:pPr>
          </w:p>
        </w:tc>
        <w:tc>
          <w:tcPr>
            <w:tcW w:w="0" w:type="auto"/>
            <w:shd w:val="clear" w:color="auto" w:fill="auto"/>
          </w:tcPr>
          <w:p w14:paraId="7E78461D" w14:textId="77777777" w:rsidR="00A82082" w:rsidRDefault="00A82082">
            <w:pPr>
              <w:rPr>
                <w:rFonts w:ascii="宋体"/>
                <w:vanish/>
              </w:rPr>
            </w:pPr>
          </w:p>
        </w:tc>
        <w:tc>
          <w:tcPr>
            <w:tcW w:w="0" w:type="auto"/>
            <w:shd w:val="clear" w:color="auto" w:fill="auto"/>
          </w:tcPr>
          <w:p w14:paraId="7E78461E" w14:textId="77777777" w:rsidR="00A82082" w:rsidRDefault="00A82082">
            <w:pPr>
              <w:rPr>
                <w:rFonts w:ascii="宋体"/>
                <w:vanish/>
              </w:rPr>
            </w:pPr>
          </w:p>
        </w:tc>
      </w:tr>
      <w:tr w:rsidR="00A82082" w14:paraId="7E784633" w14:textId="77777777">
        <w:trPr>
          <w:hidden/>
        </w:trPr>
        <w:tc>
          <w:tcPr>
            <w:tcW w:w="0" w:type="auto"/>
            <w:gridSpan w:val="3"/>
            <w:shd w:val="clear" w:color="auto" w:fill="auto"/>
          </w:tcPr>
          <w:p w14:paraId="7E784620" w14:textId="77777777" w:rsidR="00A82082" w:rsidRDefault="00A82082">
            <w:pPr>
              <w:rPr>
                <w:rFonts w:ascii="宋体"/>
                <w:vanish/>
              </w:rPr>
            </w:pPr>
          </w:p>
        </w:tc>
        <w:tc>
          <w:tcPr>
            <w:tcW w:w="0" w:type="auto"/>
            <w:gridSpan w:val="3"/>
            <w:shd w:val="clear" w:color="auto" w:fill="auto"/>
          </w:tcPr>
          <w:p w14:paraId="7E784621" w14:textId="77777777" w:rsidR="00A82082" w:rsidRDefault="00A82082">
            <w:pPr>
              <w:rPr>
                <w:rFonts w:ascii="宋体"/>
                <w:vanish/>
              </w:rPr>
            </w:pPr>
          </w:p>
        </w:tc>
        <w:tc>
          <w:tcPr>
            <w:tcW w:w="0" w:type="auto"/>
            <w:gridSpan w:val="3"/>
            <w:shd w:val="clear" w:color="auto" w:fill="auto"/>
          </w:tcPr>
          <w:p w14:paraId="7E784622" w14:textId="77777777" w:rsidR="00A82082" w:rsidRDefault="00A82082">
            <w:pPr>
              <w:rPr>
                <w:rFonts w:ascii="宋体"/>
                <w:vanish/>
              </w:rPr>
            </w:pPr>
          </w:p>
        </w:tc>
        <w:tc>
          <w:tcPr>
            <w:tcW w:w="0" w:type="auto"/>
            <w:gridSpan w:val="3"/>
            <w:shd w:val="clear" w:color="auto" w:fill="auto"/>
          </w:tcPr>
          <w:p w14:paraId="7E784623" w14:textId="77777777" w:rsidR="00A82082" w:rsidRDefault="00A82082">
            <w:pPr>
              <w:rPr>
                <w:rFonts w:ascii="宋体"/>
                <w:vanish/>
              </w:rPr>
            </w:pPr>
          </w:p>
        </w:tc>
        <w:tc>
          <w:tcPr>
            <w:tcW w:w="0" w:type="auto"/>
            <w:gridSpan w:val="3"/>
            <w:shd w:val="clear" w:color="auto" w:fill="auto"/>
          </w:tcPr>
          <w:p w14:paraId="7E784624" w14:textId="77777777" w:rsidR="00A82082" w:rsidRDefault="00A82082">
            <w:pPr>
              <w:rPr>
                <w:rFonts w:ascii="宋体"/>
                <w:vanish/>
              </w:rPr>
            </w:pPr>
          </w:p>
        </w:tc>
        <w:tc>
          <w:tcPr>
            <w:tcW w:w="0" w:type="auto"/>
            <w:gridSpan w:val="3"/>
            <w:shd w:val="clear" w:color="auto" w:fill="auto"/>
          </w:tcPr>
          <w:p w14:paraId="7E784625" w14:textId="77777777" w:rsidR="00A82082" w:rsidRDefault="00A82082">
            <w:pPr>
              <w:rPr>
                <w:rFonts w:ascii="宋体"/>
                <w:vanish/>
              </w:rPr>
            </w:pPr>
          </w:p>
        </w:tc>
        <w:tc>
          <w:tcPr>
            <w:tcW w:w="0" w:type="auto"/>
            <w:gridSpan w:val="3"/>
            <w:shd w:val="clear" w:color="auto" w:fill="auto"/>
          </w:tcPr>
          <w:p w14:paraId="7E784626" w14:textId="77777777" w:rsidR="00A82082" w:rsidRDefault="00A82082">
            <w:pPr>
              <w:rPr>
                <w:rFonts w:ascii="宋体"/>
                <w:vanish/>
              </w:rPr>
            </w:pPr>
          </w:p>
        </w:tc>
        <w:tc>
          <w:tcPr>
            <w:tcW w:w="0" w:type="auto"/>
            <w:gridSpan w:val="3"/>
            <w:shd w:val="clear" w:color="auto" w:fill="auto"/>
          </w:tcPr>
          <w:p w14:paraId="7E784627" w14:textId="77777777" w:rsidR="00A82082" w:rsidRDefault="00A82082">
            <w:pPr>
              <w:rPr>
                <w:rFonts w:ascii="宋体"/>
                <w:vanish/>
              </w:rPr>
            </w:pPr>
          </w:p>
        </w:tc>
        <w:tc>
          <w:tcPr>
            <w:tcW w:w="0" w:type="auto"/>
            <w:gridSpan w:val="3"/>
            <w:shd w:val="clear" w:color="auto" w:fill="auto"/>
          </w:tcPr>
          <w:p w14:paraId="7E784628" w14:textId="77777777" w:rsidR="00A82082" w:rsidRDefault="00A82082">
            <w:pPr>
              <w:rPr>
                <w:rFonts w:ascii="宋体"/>
                <w:vanish/>
              </w:rPr>
            </w:pPr>
          </w:p>
        </w:tc>
        <w:tc>
          <w:tcPr>
            <w:tcW w:w="0" w:type="auto"/>
            <w:gridSpan w:val="3"/>
            <w:shd w:val="clear" w:color="auto" w:fill="auto"/>
          </w:tcPr>
          <w:p w14:paraId="7E784629" w14:textId="77777777" w:rsidR="00A82082" w:rsidRDefault="00A82082">
            <w:pPr>
              <w:rPr>
                <w:rFonts w:ascii="宋体"/>
                <w:vanish/>
              </w:rPr>
            </w:pPr>
          </w:p>
        </w:tc>
        <w:tc>
          <w:tcPr>
            <w:tcW w:w="0" w:type="auto"/>
            <w:gridSpan w:val="3"/>
            <w:shd w:val="clear" w:color="auto" w:fill="auto"/>
          </w:tcPr>
          <w:p w14:paraId="7E78462A" w14:textId="77777777" w:rsidR="00A82082" w:rsidRDefault="00A82082">
            <w:pPr>
              <w:rPr>
                <w:rFonts w:ascii="宋体"/>
                <w:vanish/>
              </w:rPr>
            </w:pPr>
          </w:p>
        </w:tc>
        <w:tc>
          <w:tcPr>
            <w:tcW w:w="0" w:type="auto"/>
            <w:gridSpan w:val="3"/>
            <w:shd w:val="clear" w:color="auto" w:fill="auto"/>
          </w:tcPr>
          <w:p w14:paraId="7E78462B" w14:textId="77777777" w:rsidR="00A82082" w:rsidRDefault="00A82082">
            <w:pPr>
              <w:rPr>
                <w:rFonts w:ascii="宋体"/>
                <w:vanish/>
              </w:rPr>
            </w:pPr>
          </w:p>
        </w:tc>
        <w:tc>
          <w:tcPr>
            <w:tcW w:w="0" w:type="auto"/>
            <w:gridSpan w:val="3"/>
            <w:shd w:val="clear" w:color="auto" w:fill="auto"/>
          </w:tcPr>
          <w:p w14:paraId="7E78462C" w14:textId="77777777" w:rsidR="00A82082" w:rsidRDefault="00A82082">
            <w:pPr>
              <w:rPr>
                <w:rFonts w:ascii="宋体"/>
                <w:vanish/>
              </w:rPr>
            </w:pPr>
          </w:p>
        </w:tc>
        <w:tc>
          <w:tcPr>
            <w:tcW w:w="0" w:type="auto"/>
            <w:gridSpan w:val="3"/>
            <w:shd w:val="clear" w:color="auto" w:fill="auto"/>
          </w:tcPr>
          <w:p w14:paraId="7E78462D" w14:textId="77777777" w:rsidR="00A82082" w:rsidRDefault="00A82082">
            <w:pPr>
              <w:rPr>
                <w:rFonts w:ascii="宋体"/>
                <w:vanish/>
              </w:rPr>
            </w:pPr>
          </w:p>
        </w:tc>
        <w:tc>
          <w:tcPr>
            <w:tcW w:w="0" w:type="auto"/>
            <w:gridSpan w:val="3"/>
            <w:shd w:val="clear" w:color="auto" w:fill="auto"/>
          </w:tcPr>
          <w:p w14:paraId="7E78462E" w14:textId="77777777" w:rsidR="00A82082" w:rsidRDefault="00A82082">
            <w:pPr>
              <w:rPr>
                <w:rFonts w:ascii="宋体"/>
                <w:vanish/>
              </w:rPr>
            </w:pPr>
          </w:p>
        </w:tc>
        <w:tc>
          <w:tcPr>
            <w:tcW w:w="0" w:type="auto"/>
            <w:gridSpan w:val="3"/>
            <w:shd w:val="clear" w:color="auto" w:fill="auto"/>
          </w:tcPr>
          <w:p w14:paraId="7E78462F" w14:textId="77777777" w:rsidR="00A82082" w:rsidRDefault="00A82082">
            <w:pPr>
              <w:rPr>
                <w:rFonts w:ascii="宋体"/>
                <w:vanish/>
              </w:rPr>
            </w:pPr>
          </w:p>
        </w:tc>
        <w:tc>
          <w:tcPr>
            <w:tcW w:w="0" w:type="auto"/>
            <w:shd w:val="clear" w:color="auto" w:fill="auto"/>
          </w:tcPr>
          <w:p w14:paraId="7E784630" w14:textId="77777777" w:rsidR="00A82082" w:rsidRDefault="00A82082">
            <w:pPr>
              <w:rPr>
                <w:rFonts w:ascii="宋体"/>
                <w:vanish/>
              </w:rPr>
            </w:pPr>
          </w:p>
        </w:tc>
        <w:tc>
          <w:tcPr>
            <w:tcW w:w="0" w:type="auto"/>
            <w:shd w:val="clear" w:color="auto" w:fill="auto"/>
          </w:tcPr>
          <w:p w14:paraId="7E784631" w14:textId="77777777" w:rsidR="00A82082" w:rsidRDefault="00A82082">
            <w:pPr>
              <w:rPr>
                <w:rFonts w:ascii="宋体"/>
                <w:vanish/>
              </w:rPr>
            </w:pPr>
          </w:p>
        </w:tc>
        <w:tc>
          <w:tcPr>
            <w:tcW w:w="0" w:type="auto"/>
            <w:shd w:val="clear" w:color="auto" w:fill="auto"/>
          </w:tcPr>
          <w:p w14:paraId="7E784632" w14:textId="77777777" w:rsidR="00A82082" w:rsidRDefault="00A82082">
            <w:pPr>
              <w:rPr>
                <w:rFonts w:ascii="宋体"/>
                <w:vanish/>
              </w:rPr>
            </w:pPr>
          </w:p>
        </w:tc>
      </w:tr>
      <w:tr w:rsidR="00A82082" w14:paraId="7E784647" w14:textId="77777777">
        <w:trPr>
          <w:hidden/>
        </w:trPr>
        <w:tc>
          <w:tcPr>
            <w:tcW w:w="0" w:type="auto"/>
            <w:gridSpan w:val="3"/>
            <w:shd w:val="clear" w:color="auto" w:fill="auto"/>
          </w:tcPr>
          <w:p w14:paraId="7E784634" w14:textId="77777777" w:rsidR="00A82082" w:rsidRDefault="00A82082">
            <w:pPr>
              <w:rPr>
                <w:rFonts w:ascii="宋体"/>
                <w:vanish/>
              </w:rPr>
            </w:pPr>
          </w:p>
        </w:tc>
        <w:tc>
          <w:tcPr>
            <w:tcW w:w="0" w:type="auto"/>
            <w:gridSpan w:val="3"/>
            <w:shd w:val="clear" w:color="auto" w:fill="auto"/>
          </w:tcPr>
          <w:p w14:paraId="7E784635" w14:textId="77777777" w:rsidR="00A82082" w:rsidRDefault="00A82082">
            <w:pPr>
              <w:rPr>
                <w:rFonts w:ascii="宋体"/>
                <w:vanish/>
              </w:rPr>
            </w:pPr>
          </w:p>
        </w:tc>
        <w:tc>
          <w:tcPr>
            <w:tcW w:w="0" w:type="auto"/>
            <w:gridSpan w:val="3"/>
            <w:shd w:val="clear" w:color="auto" w:fill="auto"/>
          </w:tcPr>
          <w:p w14:paraId="7E784636" w14:textId="77777777" w:rsidR="00A82082" w:rsidRDefault="00A82082">
            <w:pPr>
              <w:rPr>
                <w:rFonts w:ascii="宋体"/>
                <w:vanish/>
              </w:rPr>
            </w:pPr>
          </w:p>
        </w:tc>
        <w:tc>
          <w:tcPr>
            <w:tcW w:w="0" w:type="auto"/>
            <w:gridSpan w:val="3"/>
            <w:shd w:val="clear" w:color="auto" w:fill="auto"/>
          </w:tcPr>
          <w:p w14:paraId="7E784637" w14:textId="77777777" w:rsidR="00A82082" w:rsidRDefault="00A82082">
            <w:pPr>
              <w:rPr>
                <w:rFonts w:ascii="宋体"/>
                <w:vanish/>
              </w:rPr>
            </w:pPr>
          </w:p>
        </w:tc>
        <w:tc>
          <w:tcPr>
            <w:tcW w:w="0" w:type="auto"/>
            <w:gridSpan w:val="3"/>
            <w:shd w:val="clear" w:color="auto" w:fill="auto"/>
          </w:tcPr>
          <w:p w14:paraId="7E784638" w14:textId="77777777" w:rsidR="00A82082" w:rsidRDefault="00A82082">
            <w:pPr>
              <w:rPr>
                <w:rFonts w:ascii="宋体"/>
                <w:vanish/>
              </w:rPr>
            </w:pPr>
          </w:p>
        </w:tc>
        <w:tc>
          <w:tcPr>
            <w:tcW w:w="0" w:type="auto"/>
            <w:gridSpan w:val="3"/>
            <w:shd w:val="clear" w:color="auto" w:fill="auto"/>
          </w:tcPr>
          <w:p w14:paraId="7E784639" w14:textId="77777777" w:rsidR="00A82082" w:rsidRDefault="00A82082">
            <w:pPr>
              <w:rPr>
                <w:rFonts w:ascii="宋体"/>
                <w:vanish/>
              </w:rPr>
            </w:pPr>
          </w:p>
        </w:tc>
        <w:tc>
          <w:tcPr>
            <w:tcW w:w="0" w:type="auto"/>
            <w:gridSpan w:val="3"/>
            <w:shd w:val="clear" w:color="auto" w:fill="auto"/>
          </w:tcPr>
          <w:p w14:paraId="7E78463A" w14:textId="77777777" w:rsidR="00A82082" w:rsidRDefault="00A82082">
            <w:pPr>
              <w:rPr>
                <w:rFonts w:ascii="宋体"/>
                <w:vanish/>
              </w:rPr>
            </w:pPr>
          </w:p>
        </w:tc>
        <w:tc>
          <w:tcPr>
            <w:tcW w:w="0" w:type="auto"/>
            <w:gridSpan w:val="3"/>
            <w:shd w:val="clear" w:color="auto" w:fill="auto"/>
          </w:tcPr>
          <w:p w14:paraId="7E78463B" w14:textId="77777777" w:rsidR="00A82082" w:rsidRDefault="00A82082">
            <w:pPr>
              <w:rPr>
                <w:rFonts w:ascii="宋体"/>
                <w:vanish/>
              </w:rPr>
            </w:pPr>
          </w:p>
        </w:tc>
        <w:tc>
          <w:tcPr>
            <w:tcW w:w="0" w:type="auto"/>
            <w:gridSpan w:val="3"/>
            <w:shd w:val="clear" w:color="auto" w:fill="auto"/>
          </w:tcPr>
          <w:p w14:paraId="7E78463C" w14:textId="77777777" w:rsidR="00A82082" w:rsidRDefault="00A82082">
            <w:pPr>
              <w:rPr>
                <w:rFonts w:ascii="宋体"/>
                <w:vanish/>
              </w:rPr>
            </w:pPr>
          </w:p>
        </w:tc>
        <w:tc>
          <w:tcPr>
            <w:tcW w:w="0" w:type="auto"/>
            <w:gridSpan w:val="3"/>
            <w:shd w:val="clear" w:color="auto" w:fill="auto"/>
          </w:tcPr>
          <w:p w14:paraId="7E78463D" w14:textId="77777777" w:rsidR="00A82082" w:rsidRDefault="00A82082">
            <w:pPr>
              <w:rPr>
                <w:rFonts w:ascii="宋体"/>
                <w:vanish/>
              </w:rPr>
            </w:pPr>
          </w:p>
        </w:tc>
        <w:tc>
          <w:tcPr>
            <w:tcW w:w="0" w:type="auto"/>
            <w:gridSpan w:val="3"/>
            <w:shd w:val="clear" w:color="auto" w:fill="auto"/>
          </w:tcPr>
          <w:p w14:paraId="7E78463E" w14:textId="77777777" w:rsidR="00A82082" w:rsidRDefault="00A82082">
            <w:pPr>
              <w:rPr>
                <w:rFonts w:ascii="宋体"/>
                <w:vanish/>
              </w:rPr>
            </w:pPr>
          </w:p>
        </w:tc>
        <w:tc>
          <w:tcPr>
            <w:tcW w:w="0" w:type="auto"/>
            <w:gridSpan w:val="3"/>
            <w:shd w:val="clear" w:color="auto" w:fill="auto"/>
          </w:tcPr>
          <w:p w14:paraId="7E78463F" w14:textId="77777777" w:rsidR="00A82082" w:rsidRDefault="00A82082">
            <w:pPr>
              <w:rPr>
                <w:rFonts w:ascii="宋体"/>
                <w:vanish/>
              </w:rPr>
            </w:pPr>
          </w:p>
        </w:tc>
        <w:tc>
          <w:tcPr>
            <w:tcW w:w="0" w:type="auto"/>
            <w:gridSpan w:val="3"/>
            <w:shd w:val="clear" w:color="auto" w:fill="auto"/>
          </w:tcPr>
          <w:p w14:paraId="7E784640" w14:textId="77777777" w:rsidR="00A82082" w:rsidRDefault="00A82082">
            <w:pPr>
              <w:rPr>
                <w:rFonts w:ascii="宋体"/>
                <w:vanish/>
              </w:rPr>
            </w:pPr>
          </w:p>
        </w:tc>
        <w:tc>
          <w:tcPr>
            <w:tcW w:w="0" w:type="auto"/>
            <w:gridSpan w:val="3"/>
            <w:shd w:val="clear" w:color="auto" w:fill="auto"/>
          </w:tcPr>
          <w:p w14:paraId="7E784641" w14:textId="77777777" w:rsidR="00A82082" w:rsidRDefault="00A82082">
            <w:pPr>
              <w:rPr>
                <w:rFonts w:ascii="宋体"/>
                <w:vanish/>
              </w:rPr>
            </w:pPr>
          </w:p>
        </w:tc>
        <w:tc>
          <w:tcPr>
            <w:tcW w:w="0" w:type="auto"/>
            <w:gridSpan w:val="3"/>
            <w:shd w:val="clear" w:color="auto" w:fill="auto"/>
          </w:tcPr>
          <w:p w14:paraId="7E784642" w14:textId="77777777" w:rsidR="00A82082" w:rsidRDefault="00A82082">
            <w:pPr>
              <w:rPr>
                <w:rFonts w:ascii="宋体"/>
                <w:vanish/>
              </w:rPr>
            </w:pPr>
          </w:p>
        </w:tc>
        <w:tc>
          <w:tcPr>
            <w:tcW w:w="0" w:type="auto"/>
            <w:gridSpan w:val="3"/>
            <w:shd w:val="clear" w:color="auto" w:fill="auto"/>
          </w:tcPr>
          <w:p w14:paraId="7E784643" w14:textId="77777777" w:rsidR="00A82082" w:rsidRDefault="00A82082">
            <w:pPr>
              <w:rPr>
                <w:rFonts w:ascii="宋体"/>
                <w:vanish/>
              </w:rPr>
            </w:pPr>
          </w:p>
        </w:tc>
        <w:tc>
          <w:tcPr>
            <w:tcW w:w="0" w:type="auto"/>
            <w:shd w:val="clear" w:color="auto" w:fill="auto"/>
          </w:tcPr>
          <w:p w14:paraId="7E784644" w14:textId="77777777" w:rsidR="00A82082" w:rsidRDefault="00A82082">
            <w:pPr>
              <w:rPr>
                <w:rFonts w:ascii="宋体"/>
                <w:vanish/>
              </w:rPr>
            </w:pPr>
          </w:p>
        </w:tc>
        <w:tc>
          <w:tcPr>
            <w:tcW w:w="0" w:type="auto"/>
            <w:shd w:val="clear" w:color="auto" w:fill="auto"/>
          </w:tcPr>
          <w:p w14:paraId="7E784645" w14:textId="77777777" w:rsidR="00A82082" w:rsidRDefault="00A82082">
            <w:pPr>
              <w:rPr>
                <w:rFonts w:ascii="宋体"/>
                <w:vanish/>
              </w:rPr>
            </w:pPr>
          </w:p>
        </w:tc>
        <w:tc>
          <w:tcPr>
            <w:tcW w:w="0" w:type="auto"/>
            <w:shd w:val="clear" w:color="auto" w:fill="auto"/>
          </w:tcPr>
          <w:p w14:paraId="7E784646" w14:textId="77777777" w:rsidR="00A82082" w:rsidRDefault="00A82082">
            <w:pPr>
              <w:rPr>
                <w:rFonts w:ascii="宋体"/>
                <w:vanish/>
              </w:rPr>
            </w:pPr>
          </w:p>
        </w:tc>
      </w:tr>
      <w:tr w:rsidR="00A82082" w14:paraId="7E78465B" w14:textId="77777777">
        <w:trPr>
          <w:hidden/>
        </w:trPr>
        <w:tc>
          <w:tcPr>
            <w:tcW w:w="0" w:type="auto"/>
            <w:gridSpan w:val="3"/>
            <w:shd w:val="clear" w:color="auto" w:fill="auto"/>
          </w:tcPr>
          <w:p w14:paraId="7E784648" w14:textId="77777777" w:rsidR="00A82082" w:rsidRDefault="00A82082">
            <w:pPr>
              <w:rPr>
                <w:rFonts w:ascii="宋体"/>
                <w:vanish/>
              </w:rPr>
            </w:pPr>
          </w:p>
        </w:tc>
        <w:tc>
          <w:tcPr>
            <w:tcW w:w="0" w:type="auto"/>
            <w:gridSpan w:val="3"/>
            <w:shd w:val="clear" w:color="auto" w:fill="auto"/>
          </w:tcPr>
          <w:p w14:paraId="7E784649" w14:textId="77777777" w:rsidR="00A82082" w:rsidRDefault="00A82082">
            <w:pPr>
              <w:rPr>
                <w:rFonts w:ascii="宋体"/>
                <w:vanish/>
              </w:rPr>
            </w:pPr>
          </w:p>
        </w:tc>
        <w:tc>
          <w:tcPr>
            <w:tcW w:w="0" w:type="auto"/>
            <w:gridSpan w:val="3"/>
            <w:shd w:val="clear" w:color="auto" w:fill="auto"/>
          </w:tcPr>
          <w:p w14:paraId="7E78464A" w14:textId="77777777" w:rsidR="00A82082" w:rsidRDefault="00A82082">
            <w:pPr>
              <w:rPr>
                <w:rFonts w:ascii="宋体"/>
                <w:vanish/>
              </w:rPr>
            </w:pPr>
          </w:p>
        </w:tc>
        <w:tc>
          <w:tcPr>
            <w:tcW w:w="0" w:type="auto"/>
            <w:gridSpan w:val="3"/>
            <w:shd w:val="clear" w:color="auto" w:fill="auto"/>
          </w:tcPr>
          <w:p w14:paraId="7E78464B" w14:textId="77777777" w:rsidR="00A82082" w:rsidRDefault="00A82082">
            <w:pPr>
              <w:rPr>
                <w:rFonts w:ascii="宋体"/>
                <w:vanish/>
              </w:rPr>
            </w:pPr>
          </w:p>
        </w:tc>
        <w:tc>
          <w:tcPr>
            <w:tcW w:w="0" w:type="auto"/>
            <w:gridSpan w:val="3"/>
            <w:shd w:val="clear" w:color="auto" w:fill="auto"/>
          </w:tcPr>
          <w:p w14:paraId="7E78464C" w14:textId="77777777" w:rsidR="00A82082" w:rsidRDefault="00A82082">
            <w:pPr>
              <w:rPr>
                <w:rFonts w:ascii="宋体"/>
                <w:vanish/>
              </w:rPr>
            </w:pPr>
          </w:p>
        </w:tc>
        <w:tc>
          <w:tcPr>
            <w:tcW w:w="0" w:type="auto"/>
            <w:gridSpan w:val="3"/>
            <w:shd w:val="clear" w:color="auto" w:fill="auto"/>
          </w:tcPr>
          <w:p w14:paraId="7E78464D" w14:textId="77777777" w:rsidR="00A82082" w:rsidRDefault="00A82082">
            <w:pPr>
              <w:rPr>
                <w:rFonts w:ascii="宋体"/>
                <w:vanish/>
              </w:rPr>
            </w:pPr>
          </w:p>
        </w:tc>
        <w:tc>
          <w:tcPr>
            <w:tcW w:w="0" w:type="auto"/>
            <w:gridSpan w:val="3"/>
            <w:shd w:val="clear" w:color="auto" w:fill="auto"/>
          </w:tcPr>
          <w:p w14:paraId="7E78464E" w14:textId="77777777" w:rsidR="00A82082" w:rsidRDefault="00A82082">
            <w:pPr>
              <w:rPr>
                <w:rFonts w:ascii="宋体"/>
                <w:vanish/>
              </w:rPr>
            </w:pPr>
          </w:p>
        </w:tc>
        <w:tc>
          <w:tcPr>
            <w:tcW w:w="0" w:type="auto"/>
            <w:gridSpan w:val="3"/>
            <w:shd w:val="clear" w:color="auto" w:fill="auto"/>
          </w:tcPr>
          <w:p w14:paraId="7E78464F" w14:textId="77777777" w:rsidR="00A82082" w:rsidRDefault="00A82082">
            <w:pPr>
              <w:rPr>
                <w:rFonts w:ascii="宋体"/>
                <w:vanish/>
              </w:rPr>
            </w:pPr>
          </w:p>
        </w:tc>
        <w:tc>
          <w:tcPr>
            <w:tcW w:w="0" w:type="auto"/>
            <w:gridSpan w:val="3"/>
            <w:shd w:val="clear" w:color="auto" w:fill="auto"/>
          </w:tcPr>
          <w:p w14:paraId="7E784650" w14:textId="77777777" w:rsidR="00A82082" w:rsidRDefault="00A82082">
            <w:pPr>
              <w:rPr>
                <w:rFonts w:ascii="宋体"/>
                <w:vanish/>
              </w:rPr>
            </w:pPr>
          </w:p>
        </w:tc>
        <w:tc>
          <w:tcPr>
            <w:tcW w:w="0" w:type="auto"/>
            <w:gridSpan w:val="3"/>
            <w:shd w:val="clear" w:color="auto" w:fill="auto"/>
          </w:tcPr>
          <w:p w14:paraId="7E784651" w14:textId="77777777" w:rsidR="00A82082" w:rsidRDefault="00A82082">
            <w:pPr>
              <w:rPr>
                <w:rFonts w:ascii="宋体"/>
                <w:vanish/>
              </w:rPr>
            </w:pPr>
          </w:p>
        </w:tc>
        <w:tc>
          <w:tcPr>
            <w:tcW w:w="0" w:type="auto"/>
            <w:gridSpan w:val="3"/>
            <w:shd w:val="clear" w:color="auto" w:fill="auto"/>
          </w:tcPr>
          <w:p w14:paraId="7E784652" w14:textId="77777777" w:rsidR="00A82082" w:rsidRDefault="00A82082">
            <w:pPr>
              <w:rPr>
                <w:rFonts w:ascii="宋体"/>
                <w:vanish/>
              </w:rPr>
            </w:pPr>
          </w:p>
        </w:tc>
        <w:tc>
          <w:tcPr>
            <w:tcW w:w="0" w:type="auto"/>
            <w:gridSpan w:val="3"/>
            <w:shd w:val="clear" w:color="auto" w:fill="auto"/>
          </w:tcPr>
          <w:p w14:paraId="7E784653" w14:textId="77777777" w:rsidR="00A82082" w:rsidRDefault="00A82082">
            <w:pPr>
              <w:rPr>
                <w:rFonts w:ascii="宋体"/>
                <w:vanish/>
              </w:rPr>
            </w:pPr>
          </w:p>
        </w:tc>
        <w:tc>
          <w:tcPr>
            <w:tcW w:w="0" w:type="auto"/>
            <w:gridSpan w:val="3"/>
            <w:shd w:val="clear" w:color="auto" w:fill="auto"/>
          </w:tcPr>
          <w:p w14:paraId="7E784654" w14:textId="77777777" w:rsidR="00A82082" w:rsidRDefault="00A82082">
            <w:pPr>
              <w:rPr>
                <w:rFonts w:ascii="宋体"/>
                <w:vanish/>
              </w:rPr>
            </w:pPr>
          </w:p>
        </w:tc>
        <w:tc>
          <w:tcPr>
            <w:tcW w:w="0" w:type="auto"/>
            <w:gridSpan w:val="3"/>
            <w:shd w:val="clear" w:color="auto" w:fill="auto"/>
          </w:tcPr>
          <w:p w14:paraId="7E784655" w14:textId="77777777" w:rsidR="00A82082" w:rsidRDefault="00A82082">
            <w:pPr>
              <w:rPr>
                <w:rFonts w:ascii="宋体"/>
                <w:vanish/>
              </w:rPr>
            </w:pPr>
          </w:p>
        </w:tc>
        <w:tc>
          <w:tcPr>
            <w:tcW w:w="0" w:type="auto"/>
            <w:gridSpan w:val="3"/>
            <w:shd w:val="clear" w:color="auto" w:fill="auto"/>
          </w:tcPr>
          <w:p w14:paraId="7E784656" w14:textId="77777777" w:rsidR="00A82082" w:rsidRDefault="00A82082">
            <w:pPr>
              <w:rPr>
                <w:rFonts w:ascii="宋体"/>
                <w:vanish/>
              </w:rPr>
            </w:pPr>
          </w:p>
        </w:tc>
        <w:tc>
          <w:tcPr>
            <w:tcW w:w="0" w:type="auto"/>
            <w:gridSpan w:val="3"/>
            <w:shd w:val="clear" w:color="auto" w:fill="auto"/>
          </w:tcPr>
          <w:p w14:paraId="7E784657" w14:textId="77777777" w:rsidR="00A82082" w:rsidRDefault="00A82082">
            <w:pPr>
              <w:rPr>
                <w:rFonts w:ascii="宋体"/>
                <w:vanish/>
              </w:rPr>
            </w:pPr>
          </w:p>
        </w:tc>
        <w:tc>
          <w:tcPr>
            <w:tcW w:w="0" w:type="auto"/>
            <w:shd w:val="clear" w:color="auto" w:fill="auto"/>
          </w:tcPr>
          <w:p w14:paraId="7E784658" w14:textId="77777777" w:rsidR="00A82082" w:rsidRDefault="00A82082">
            <w:pPr>
              <w:rPr>
                <w:rFonts w:ascii="宋体"/>
                <w:vanish/>
              </w:rPr>
            </w:pPr>
          </w:p>
        </w:tc>
        <w:tc>
          <w:tcPr>
            <w:tcW w:w="0" w:type="auto"/>
            <w:shd w:val="clear" w:color="auto" w:fill="auto"/>
          </w:tcPr>
          <w:p w14:paraId="7E784659" w14:textId="77777777" w:rsidR="00A82082" w:rsidRDefault="00A82082">
            <w:pPr>
              <w:rPr>
                <w:rFonts w:ascii="宋体"/>
                <w:vanish/>
              </w:rPr>
            </w:pPr>
          </w:p>
        </w:tc>
        <w:tc>
          <w:tcPr>
            <w:tcW w:w="0" w:type="auto"/>
            <w:shd w:val="clear" w:color="auto" w:fill="auto"/>
          </w:tcPr>
          <w:p w14:paraId="7E78465A" w14:textId="77777777" w:rsidR="00A82082" w:rsidRDefault="00A82082">
            <w:pPr>
              <w:rPr>
                <w:rFonts w:ascii="宋体"/>
                <w:vanish/>
              </w:rPr>
            </w:pPr>
          </w:p>
        </w:tc>
      </w:tr>
      <w:tr w:rsidR="00A82082" w14:paraId="7E784677" w14:textId="77777777">
        <w:tc>
          <w:tcPr>
            <w:tcW w:w="0" w:type="auto"/>
            <w:gridSpan w:val="3"/>
            <w:shd w:val="clear" w:color="auto" w:fill="FFFFFF"/>
            <w:tcMar>
              <w:top w:w="40" w:type="dxa"/>
              <w:left w:w="20" w:type="dxa"/>
              <w:bottom w:w="40" w:type="dxa"/>
              <w:right w:w="20" w:type="dxa"/>
            </w:tcMar>
            <w:vAlign w:val="center"/>
          </w:tcPr>
          <w:p w14:paraId="7E78465C"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7E78465D" w14:textId="77777777" w:rsidR="00A82082" w:rsidRDefault="00E946F9">
            <w:pPr>
              <w:jc w:val="right"/>
              <w:textAlignment w:val="center"/>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center"/>
          </w:tcPr>
          <w:p w14:paraId="7E78465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5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66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6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3" w14:textId="77777777" w:rsidR="00A82082" w:rsidRDefault="00E946F9">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7E78466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6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6" w14:textId="77777777" w:rsidR="00A82082" w:rsidRDefault="00E946F9">
            <w:pPr>
              <w:jc w:val="right"/>
              <w:textAlignment w:val="center"/>
            </w:pPr>
            <w:r>
              <w:rPr>
                <w:rFonts w:ascii="Times New Roman" w:eastAsia="宋体" w:hAnsi="Times New Roman"/>
                <w:color w:val="000000"/>
                <w:sz w:val="16"/>
                <w:szCs w:val="16"/>
              </w:rPr>
              <w:t>(469)</w:t>
            </w:r>
          </w:p>
        </w:tc>
        <w:tc>
          <w:tcPr>
            <w:tcW w:w="0" w:type="auto"/>
            <w:shd w:val="clear" w:color="auto" w:fill="FFFFFF"/>
            <w:tcMar>
              <w:top w:w="40" w:type="dxa"/>
              <w:left w:w="0" w:type="dxa"/>
              <w:bottom w:w="40" w:type="dxa"/>
              <w:right w:w="20" w:type="dxa"/>
            </w:tcMar>
            <w:vAlign w:val="center"/>
          </w:tcPr>
          <w:p w14:paraId="7E78466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6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66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6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C" w14:textId="77777777" w:rsidR="00A82082" w:rsidRDefault="00E946F9">
            <w:pPr>
              <w:jc w:val="right"/>
              <w:textAlignment w:val="center"/>
            </w:pPr>
            <w:r>
              <w:rPr>
                <w:rFonts w:ascii="Times New Roman" w:eastAsia="宋体" w:hAnsi="Times New Roman"/>
                <w:color w:val="000000"/>
                <w:sz w:val="16"/>
                <w:szCs w:val="16"/>
              </w:rPr>
              <w:t>(486)</w:t>
            </w:r>
          </w:p>
        </w:tc>
        <w:tc>
          <w:tcPr>
            <w:tcW w:w="0" w:type="auto"/>
            <w:shd w:val="clear" w:color="auto" w:fill="FFFFFF"/>
            <w:tcMar>
              <w:top w:w="40" w:type="dxa"/>
              <w:left w:w="0" w:type="dxa"/>
              <w:bottom w:w="40" w:type="dxa"/>
              <w:right w:w="20" w:type="dxa"/>
            </w:tcMar>
            <w:vAlign w:val="center"/>
          </w:tcPr>
          <w:p w14:paraId="7E78466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6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6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67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7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72" w14:textId="77777777" w:rsidR="00A82082" w:rsidRDefault="00E946F9">
            <w:pPr>
              <w:jc w:val="right"/>
              <w:textAlignment w:val="center"/>
            </w:pPr>
            <w:r>
              <w:rPr>
                <w:rFonts w:ascii="Times New Roman" w:eastAsia="宋体" w:hAnsi="Times New Roman"/>
                <w:color w:val="000000"/>
                <w:sz w:val="16"/>
                <w:szCs w:val="16"/>
              </w:rPr>
              <w:t>(486)</w:t>
            </w:r>
          </w:p>
        </w:tc>
        <w:tc>
          <w:tcPr>
            <w:tcW w:w="0" w:type="auto"/>
            <w:shd w:val="clear" w:color="auto" w:fill="FFFFFF"/>
            <w:tcMar>
              <w:top w:w="40" w:type="dxa"/>
              <w:left w:w="0" w:type="dxa"/>
              <w:bottom w:w="40" w:type="dxa"/>
              <w:right w:w="20" w:type="dxa"/>
            </w:tcMar>
            <w:vAlign w:val="center"/>
          </w:tcPr>
          <w:p w14:paraId="7E784673" w14:textId="77777777" w:rsidR="00A82082" w:rsidRDefault="00A82082">
            <w:pPr>
              <w:jc w:val="right"/>
              <w:rPr>
                <w:rFonts w:ascii="宋体"/>
              </w:rPr>
            </w:pPr>
          </w:p>
        </w:tc>
        <w:tc>
          <w:tcPr>
            <w:tcW w:w="0" w:type="auto"/>
            <w:shd w:val="clear" w:color="auto" w:fill="auto"/>
          </w:tcPr>
          <w:p w14:paraId="7E784674" w14:textId="77777777" w:rsidR="00A82082" w:rsidRDefault="00A82082">
            <w:pPr>
              <w:rPr>
                <w:rFonts w:ascii="宋体"/>
                <w:vanish/>
              </w:rPr>
            </w:pPr>
          </w:p>
        </w:tc>
        <w:tc>
          <w:tcPr>
            <w:tcW w:w="0" w:type="auto"/>
            <w:shd w:val="clear" w:color="auto" w:fill="auto"/>
          </w:tcPr>
          <w:p w14:paraId="7E784675" w14:textId="77777777" w:rsidR="00A82082" w:rsidRDefault="00A82082">
            <w:pPr>
              <w:rPr>
                <w:rFonts w:ascii="宋体"/>
                <w:vanish/>
              </w:rPr>
            </w:pPr>
          </w:p>
        </w:tc>
        <w:tc>
          <w:tcPr>
            <w:tcW w:w="0" w:type="auto"/>
            <w:shd w:val="clear" w:color="auto" w:fill="auto"/>
          </w:tcPr>
          <w:p w14:paraId="7E784676" w14:textId="77777777" w:rsidR="00A82082" w:rsidRDefault="00A82082">
            <w:pPr>
              <w:rPr>
                <w:rFonts w:ascii="宋体"/>
                <w:vanish/>
              </w:rPr>
            </w:pPr>
          </w:p>
        </w:tc>
      </w:tr>
      <w:tr w:rsidR="00A82082" w14:paraId="7E784693" w14:textId="77777777">
        <w:tc>
          <w:tcPr>
            <w:tcW w:w="0" w:type="auto"/>
            <w:gridSpan w:val="3"/>
            <w:shd w:val="clear" w:color="auto" w:fill="CCEEFF"/>
            <w:tcMar>
              <w:top w:w="40" w:type="dxa"/>
              <w:left w:w="20" w:type="dxa"/>
              <w:bottom w:w="40" w:type="dxa"/>
              <w:right w:w="20" w:type="dxa"/>
            </w:tcMar>
            <w:vAlign w:val="center"/>
          </w:tcPr>
          <w:p w14:paraId="7E784678" w14:textId="77777777" w:rsidR="00A82082" w:rsidRDefault="00E946F9">
            <w:pPr>
              <w:textAlignment w:val="center"/>
            </w:pPr>
            <w:r>
              <w:rPr>
                <w:rFonts w:ascii="Times New Roman" w:eastAsia="宋体" w:hAnsi="Times New Roman"/>
                <w:color w:val="000000"/>
                <w:sz w:val="16"/>
                <w:szCs w:val="16"/>
              </w:rPr>
              <w:t xml:space="preserve">Dividends to noncontrolling interest </w:t>
            </w:r>
          </w:p>
        </w:tc>
        <w:tc>
          <w:tcPr>
            <w:tcW w:w="0" w:type="auto"/>
            <w:gridSpan w:val="2"/>
            <w:shd w:val="clear" w:color="auto" w:fill="CCEEFF"/>
            <w:tcMar>
              <w:top w:w="40" w:type="dxa"/>
              <w:left w:w="20" w:type="dxa"/>
              <w:bottom w:w="40" w:type="dxa"/>
              <w:right w:w="0" w:type="dxa"/>
            </w:tcMar>
            <w:vAlign w:val="center"/>
          </w:tcPr>
          <w:p w14:paraId="7E78467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7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7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7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7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7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7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8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8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8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8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8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8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8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8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8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68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8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8B" w14:textId="77777777" w:rsidR="00A82082" w:rsidRDefault="00E946F9">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7E78468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68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68E" w14:textId="77777777" w:rsidR="00A82082" w:rsidRDefault="00E946F9">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7E78468F" w14:textId="77777777" w:rsidR="00A82082" w:rsidRDefault="00A82082">
            <w:pPr>
              <w:jc w:val="right"/>
              <w:rPr>
                <w:rFonts w:ascii="宋体"/>
              </w:rPr>
            </w:pPr>
          </w:p>
        </w:tc>
        <w:tc>
          <w:tcPr>
            <w:tcW w:w="0" w:type="auto"/>
            <w:shd w:val="clear" w:color="auto" w:fill="auto"/>
          </w:tcPr>
          <w:p w14:paraId="7E784690" w14:textId="77777777" w:rsidR="00A82082" w:rsidRDefault="00A82082">
            <w:pPr>
              <w:rPr>
                <w:rFonts w:ascii="宋体"/>
                <w:vanish/>
              </w:rPr>
            </w:pPr>
          </w:p>
        </w:tc>
        <w:tc>
          <w:tcPr>
            <w:tcW w:w="0" w:type="auto"/>
            <w:shd w:val="clear" w:color="auto" w:fill="auto"/>
          </w:tcPr>
          <w:p w14:paraId="7E784691" w14:textId="77777777" w:rsidR="00A82082" w:rsidRDefault="00A82082">
            <w:pPr>
              <w:rPr>
                <w:rFonts w:ascii="宋体"/>
                <w:vanish/>
              </w:rPr>
            </w:pPr>
          </w:p>
        </w:tc>
        <w:tc>
          <w:tcPr>
            <w:tcW w:w="0" w:type="auto"/>
            <w:shd w:val="clear" w:color="auto" w:fill="auto"/>
          </w:tcPr>
          <w:p w14:paraId="7E784692" w14:textId="77777777" w:rsidR="00A82082" w:rsidRDefault="00A82082">
            <w:pPr>
              <w:rPr>
                <w:rFonts w:ascii="宋体"/>
                <w:vanish/>
              </w:rPr>
            </w:pPr>
          </w:p>
        </w:tc>
      </w:tr>
      <w:tr w:rsidR="00A82082" w14:paraId="7E7846AF" w14:textId="77777777">
        <w:tc>
          <w:tcPr>
            <w:tcW w:w="0" w:type="auto"/>
            <w:gridSpan w:val="3"/>
            <w:shd w:val="clear" w:color="auto" w:fill="FFFFFF"/>
            <w:tcMar>
              <w:top w:w="40" w:type="dxa"/>
              <w:left w:w="20" w:type="dxa"/>
              <w:bottom w:w="40" w:type="dxa"/>
              <w:right w:w="20" w:type="dxa"/>
            </w:tcMar>
            <w:vAlign w:val="center"/>
          </w:tcPr>
          <w:p w14:paraId="7E784694"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7E784695" w14:textId="77777777" w:rsidR="00A82082" w:rsidRDefault="00E946F9">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7E78469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9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9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69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9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9B" w14:textId="77777777" w:rsidR="00A82082" w:rsidRDefault="00E946F9">
            <w:pPr>
              <w:jc w:val="right"/>
              <w:textAlignment w:val="center"/>
            </w:pPr>
            <w:r>
              <w:rPr>
                <w:rFonts w:ascii="Times New Roman" w:eastAsia="宋体" w:hAnsi="Times New Roman"/>
                <w:color w:val="000000"/>
                <w:sz w:val="16"/>
                <w:szCs w:val="16"/>
              </w:rPr>
              <w:t>305 </w:t>
            </w:r>
          </w:p>
        </w:tc>
        <w:tc>
          <w:tcPr>
            <w:tcW w:w="0" w:type="auto"/>
            <w:shd w:val="clear" w:color="auto" w:fill="FFFFFF"/>
            <w:tcMar>
              <w:top w:w="40" w:type="dxa"/>
              <w:left w:w="0" w:type="dxa"/>
              <w:bottom w:w="40" w:type="dxa"/>
              <w:right w:w="20" w:type="dxa"/>
            </w:tcMar>
            <w:vAlign w:val="center"/>
          </w:tcPr>
          <w:p w14:paraId="7E78469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9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9E"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7E78469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A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A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6A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A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A4" w14:textId="77777777" w:rsidR="00A82082" w:rsidRDefault="00E946F9">
            <w:pPr>
              <w:jc w:val="right"/>
              <w:textAlignment w:val="center"/>
            </w:pPr>
            <w:r>
              <w:rPr>
                <w:rFonts w:ascii="Times New Roman" w:eastAsia="宋体" w:hAnsi="Times New Roman"/>
                <w:color w:val="000000"/>
                <w:sz w:val="16"/>
                <w:szCs w:val="16"/>
              </w:rPr>
              <w:t>304 </w:t>
            </w:r>
          </w:p>
        </w:tc>
        <w:tc>
          <w:tcPr>
            <w:tcW w:w="0" w:type="auto"/>
            <w:shd w:val="clear" w:color="auto" w:fill="FFFFFF"/>
            <w:tcMar>
              <w:top w:w="40" w:type="dxa"/>
              <w:left w:w="0" w:type="dxa"/>
              <w:bottom w:w="40" w:type="dxa"/>
              <w:right w:w="20" w:type="dxa"/>
            </w:tcMar>
            <w:vAlign w:val="center"/>
          </w:tcPr>
          <w:p w14:paraId="7E7846A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A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A7" w14:textId="77777777" w:rsidR="00A82082" w:rsidRDefault="00E946F9">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7E7846A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6A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6AA" w14:textId="77777777" w:rsidR="00A82082" w:rsidRDefault="00E946F9">
            <w:pPr>
              <w:jc w:val="right"/>
              <w:textAlignment w:val="center"/>
            </w:pPr>
            <w:r>
              <w:rPr>
                <w:rFonts w:ascii="Times New Roman" w:eastAsia="宋体" w:hAnsi="Times New Roman"/>
                <w:color w:val="000000"/>
                <w:sz w:val="16"/>
                <w:szCs w:val="16"/>
              </w:rPr>
              <w:t>323 </w:t>
            </w:r>
          </w:p>
        </w:tc>
        <w:tc>
          <w:tcPr>
            <w:tcW w:w="0" w:type="auto"/>
            <w:shd w:val="clear" w:color="auto" w:fill="FFFFFF"/>
            <w:tcMar>
              <w:top w:w="40" w:type="dxa"/>
              <w:left w:w="0" w:type="dxa"/>
              <w:bottom w:w="40" w:type="dxa"/>
              <w:right w:w="20" w:type="dxa"/>
            </w:tcMar>
            <w:vAlign w:val="center"/>
          </w:tcPr>
          <w:p w14:paraId="7E7846AB" w14:textId="77777777" w:rsidR="00A82082" w:rsidRDefault="00A82082">
            <w:pPr>
              <w:jc w:val="right"/>
              <w:rPr>
                <w:rFonts w:ascii="宋体"/>
              </w:rPr>
            </w:pPr>
          </w:p>
        </w:tc>
        <w:tc>
          <w:tcPr>
            <w:tcW w:w="0" w:type="auto"/>
            <w:shd w:val="clear" w:color="auto" w:fill="auto"/>
          </w:tcPr>
          <w:p w14:paraId="7E7846AC" w14:textId="77777777" w:rsidR="00A82082" w:rsidRDefault="00A82082">
            <w:pPr>
              <w:rPr>
                <w:rFonts w:ascii="宋体"/>
                <w:vanish/>
              </w:rPr>
            </w:pPr>
          </w:p>
        </w:tc>
        <w:tc>
          <w:tcPr>
            <w:tcW w:w="0" w:type="auto"/>
            <w:shd w:val="clear" w:color="auto" w:fill="auto"/>
          </w:tcPr>
          <w:p w14:paraId="7E7846AD" w14:textId="77777777" w:rsidR="00A82082" w:rsidRDefault="00A82082">
            <w:pPr>
              <w:rPr>
                <w:rFonts w:ascii="宋体"/>
                <w:vanish/>
              </w:rPr>
            </w:pPr>
          </w:p>
        </w:tc>
        <w:tc>
          <w:tcPr>
            <w:tcW w:w="0" w:type="auto"/>
            <w:shd w:val="clear" w:color="auto" w:fill="auto"/>
          </w:tcPr>
          <w:p w14:paraId="7E7846AE" w14:textId="77777777" w:rsidR="00A82082" w:rsidRDefault="00A82082">
            <w:pPr>
              <w:rPr>
                <w:rFonts w:ascii="宋体"/>
                <w:vanish/>
              </w:rPr>
            </w:pPr>
          </w:p>
        </w:tc>
      </w:tr>
      <w:tr w:rsidR="00A82082" w14:paraId="7E7846C3" w14:textId="77777777">
        <w:trPr>
          <w:hidden/>
        </w:trPr>
        <w:tc>
          <w:tcPr>
            <w:tcW w:w="0" w:type="auto"/>
            <w:gridSpan w:val="3"/>
            <w:shd w:val="clear" w:color="auto" w:fill="auto"/>
          </w:tcPr>
          <w:p w14:paraId="7E7846B0" w14:textId="77777777" w:rsidR="00A82082" w:rsidRDefault="00A82082">
            <w:pPr>
              <w:rPr>
                <w:rFonts w:ascii="宋体"/>
                <w:vanish/>
              </w:rPr>
            </w:pPr>
          </w:p>
        </w:tc>
        <w:tc>
          <w:tcPr>
            <w:tcW w:w="0" w:type="auto"/>
            <w:gridSpan w:val="3"/>
            <w:shd w:val="clear" w:color="auto" w:fill="auto"/>
          </w:tcPr>
          <w:p w14:paraId="7E7846B1" w14:textId="77777777" w:rsidR="00A82082" w:rsidRDefault="00A82082">
            <w:pPr>
              <w:rPr>
                <w:rFonts w:ascii="宋体"/>
                <w:vanish/>
              </w:rPr>
            </w:pPr>
          </w:p>
        </w:tc>
        <w:tc>
          <w:tcPr>
            <w:tcW w:w="0" w:type="auto"/>
            <w:gridSpan w:val="3"/>
            <w:shd w:val="clear" w:color="auto" w:fill="auto"/>
          </w:tcPr>
          <w:p w14:paraId="7E7846B2" w14:textId="77777777" w:rsidR="00A82082" w:rsidRDefault="00A82082">
            <w:pPr>
              <w:rPr>
                <w:rFonts w:ascii="宋体"/>
                <w:vanish/>
              </w:rPr>
            </w:pPr>
          </w:p>
        </w:tc>
        <w:tc>
          <w:tcPr>
            <w:tcW w:w="0" w:type="auto"/>
            <w:gridSpan w:val="3"/>
            <w:shd w:val="clear" w:color="auto" w:fill="auto"/>
          </w:tcPr>
          <w:p w14:paraId="7E7846B3" w14:textId="77777777" w:rsidR="00A82082" w:rsidRDefault="00A82082">
            <w:pPr>
              <w:rPr>
                <w:rFonts w:ascii="宋体"/>
                <w:vanish/>
              </w:rPr>
            </w:pPr>
          </w:p>
        </w:tc>
        <w:tc>
          <w:tcPr>
            <w:tcW w:w="0" w:type="auto"/>
            <w:gridSpan w:val="3"/>
            <w:shd w:val="clear" w:color="auto" w:fill="auto"/>
          </w:tcPr>
          <w:p w14:paraId="7E7846B4" w14:textId="77777777" w:rsidR="00A82082" w:rsidRDefault="00A82082">
            <w:pPr>
              <w:rPr>
                <w:rFonts w:ascii="宋体"/>
                <w:vanish/>
              </w:rPr>
            </w:pPr>
          </w:p>
        </w:tc>
        <w:tc>
          <w:tcPr>
            <w:tcW w:w="0" w:type="auto"/>
            <w:gridSpan w:val="3"/>
            <w:shd w:val="clear" w:color="auto" w:fill="auto"/>
          </w:tcPr>
          <w:p w14:paraId="7E7846B5" w14:textId="77777777" w:rsidR="00A82082" w:rsidRDefault="00A82082">
            <w:pPr>
              <w:rPr>
                <w:rFonts w:ascii="宋体"/>
                <w:vanish/>
              </w:rPr>
            </w:pPr>
          </w:p>
        </w:tc>
        <w:tc>
          <w:tcPr>
            <w:tcW w:w="0" w:type="auto"/>
            <w:gridSpan w:val="3"/>
            <w:shd w:val="clear" w:color="auto" w:fill="auto"/>
          </w:tcPr>
          <w:p w14:paraId="7E7846B6" w14:textId="77777777" w:rsidR="00A82082" w:rsidRDefault="00A82082">
            <w:pPr>
              <w:rPr>
                <w:rFonts w:ascii="宋体"/>
                <w:vanish/>
              </w:rPr>
            </w:pPr>
          </w:p>
        </w:tc>
        <w:tc>
          <w:tcPr>
            <w:tcW w:w="0" w:type="auto"/>
            <w:gridSpan w:val="3"/>
            <w:shd w:val="clear" w:color="auto" w:fill="auto"/>
          </w:tcPr>
          <w:p w14:paraId="7E7846B7" w14:textId="77777777" w:rsidR="00A82082" w:rsidRDefault="00A82082">
            <w:pPr>
              <w:rPr>
                <w:rFonts w:ascii="宋体"/>
                <w:vanish/>
              </w:rPr>
            </w:pPr>
          </w:p>
        </w:tc>
        <w:tc>
          <w:tcPr>
            <w:tcW w:w="0" w:type="auto"/>
            <w:gridSpan w:val="3"/>
            <w:shd w:val="clear" w:color="auto" w:fill="auto"/>
          </w:tcPr>
          <w:p w14:paraId="7E7846B8" w14:textId="77777777" w:rsidR="00A82082" w:rsidRDefault="00A82082">
            <w:pPr>
              <w:rPr>
                <w:rFonts w:ascii="宋体"/>
                <w:vanish/>
              </w:rPr>
            </w:pPr>
          </w:p>
        </w:tc>
        <w:tc>
          <w:tcPr>
            <w:tcW w:w="0" w:type="auto"/>
            <w:gridSpan w:val="3"/>
            <w:shd w:val="clear" w:color="auto" w:fill="auto"/>
          </w:tcPr>
          <w:p w14:paraId="7E7846B9" w14:textId="77777777" w:rsidR="00A82082" w:rsidRDefault="00A82082">
            <w:pPr>
              <w:rPr>
                <w:rFonts w:ascii="宋体"/>
                <w:vanish/>
              </w:rPr>
            </w:pPr>
          </w:p>
        </w:tc>
        <w:tc>
          <w:tcPr>
            <w:tcW w:w="0" w:type="auto"/>
            <w:gridSpan w:val="3"/>
            <w:shd w:val="clear" w:color="auto" w:fill="auto"/>
          </w:tcPr>
          <w:p w14:paraId="7E7846BA" w14:textId="77777777" w:rsidR="00A82082" w:rsidRDefault="00A82082">
            <w:pPr>
              <w:rPr>
                <w:rFonts w:ascii="宋体"/>
                <w:vanish/>
              </w:rPr>
            </w:pPr>
          </w:p>
        </w:tc>
        <w:tc>
          <w:tcPr>
            <w:tcW w:w="0" w:type="auto"/>
            <w:gridSpan w:val="3"/>
            <w:shd w:val="clear" w:color="auto" w:fill="auto"/>
          </w:tcPr>
          <w:p w14:paraId="7E7846BB" w14:textId="77777777" w:rsidR="00A82082" w:rsidRDefault="00A82082">
            <w:pPr>
              <w:rPr>
                <w:rFonts w:ascii="宋体"/>
                <w:vanish/>
              </w:rPr>
            </w:pPr>
          </w:p>
        </w:tc>
        <w:tc>
          <w:tcPr>
            <w:tcW w:w="0" w:type="auto"/>
            <w:gridSpan w:val="3"/>
            <w:shd w:val="clear" w:color="auto" w:fill="auto"/>
          </w:tcPr>
          <w:p w14:paraId="7E7846BC" w14:textId="77777777" w:rsidR="00A82082" w:rsidRDefault="00A82082">
            <w:pPr>
              <w:rPr>
                <w:rFonts w:ascii="宋体"/>
                <w:vanish/>
              </w:rPr>
            </w:pPr>
          </w:p>
        </w:tc>
        <w:tc>
          <w:tcPr>
            <w:tcW w:w="0" w:type="auto"/>
            <w:gridSpan w:val="3"/>
            <w:shd w:val="clear" w:color="auto" w:fill="auto"/>
          </w:tcPr>
          <w:p w14:paraId="7E7846BD" w14:textId="77777777" w:rsidR="00A82082" w:rsidRDefault="00A82082">
            <w:pPr>
              <w:rPr>
                <w:rFonts w:ascii="宋体"/>
                <w:vanish/>
              </w:rPr>
            </w:pPr>
          </w:p>
        </w:tc>
        <w:tc>
          <w:tcPr>
            <w:tcW w:w="0" w:type="auto"/>
            <w:gridSpan w:val="3"/>
            <w:shd w:val="clear" w:color="auto" w:fill="auto"/>
          </w:tcPr>
          <w:p w14:paraId="7E7846BE" w14:textId="77777777" w:rsidR="00A82082" w:rsidRDefault="00A82082">
            <w:pPr>
              <w:rPr>
                <w:rFonts w:ascii="宋体"/>
                <w:vanish/>
              </w:rPr>
            </w:pPr>
          </w:p>
        </w:tc>
        <w:tc>
          <w:tcPr>
            <w:tcW w:w="0" w:type="auto"/>
            <w:gridSpan w:val="3"/>
            <w:shd w:val="clear" w:color="auto" w:fill="auto"/>
          </w:tcPr>
          <w:p w14:paraId="7E7846BF" w14:textId="77777777" w:rsidR="00A82082" w:rsidRDefault="00A82082">
            <w:pPr>
              <w:rPr>
                <w:rFonts w:ascii="宋体"/>
                <w:vanish/>
              </w:rPr>
            </w:pPr>
          </w:p>
        </w:tc>
        <w:tc>
          <w:tcPr>
            <w:tcW w:w="0" w:type="auto"/>
            <w:shd w:val="clear" w:color="auto" w:fill="auto"/>
          </w:tcPr>
          <w:p w14:paraId="7E7846C0" w14:textId="77777777" w:rsidR="00A82082" w:rsidRDefault="00A82082">
            <w:pPr>
              <w:rPr>
                <w:rFonts w:ascii="宋体"/>
                <w:vanish/>
              </w:rPr>
            </w:pPr>
          </w:p>
        </w:tc>
        <w:tc>
          <w:tcPr>
            <w:tcW w:w="0" w:type="auto"/>
            <w:shd w:val="clear" w:color="auto" w:fill="auto"/>
          </w:tcPr>
          <w:p w14:paraId="7E7846C1" w14:textId="77777777" w:rsidR="00A82082" w:rsidRDefault="00A82082">
            <w:pPr>
              <w:rPr>
                <w:rFonts w:ascii="宋体"/>
                <w:vanish/>
              </w:rPr>
            </w:pPr>
          </w:p>
        </w:tc>
        <w:tc>
          <w:tcPr>
            <w:tcW w:w="0" w:type="auto"/>
            <w:shd w:val="clear" w:color="auto" w:fill="auto"/>
          </w:tcPr>
          <w:p w14:paraId="7E7846C2" w14:textId="77777777" w:rsidR="00A82082" w:rsidRDefault="00A82082">
            <w:pPr>
              <w:rPr>
                <w:rFonts w:ascii="宋体"/>
                <w:vanish/>
              </w:rPr>
            </w:pPr>
          </w:p>
        </w:tc>
      </w:tr>
      <w:tr w:rsidR="00A82082" w14:paraId="7E7846D7" w14:textId="77777777">
        <w:trPr>
          <w:hidden/>
        </w:trPr>
        <w:tc>
          <w:tcPr>
            <w:tcW w:w="0" w:type="auto"/>
            <w:gridSpan w:val="3"/>
            <w:shd w:val="clear" w:color="auto" w:fill="auto"/>
          </w:tcPr>
          <w:p w14:paraId="7E7846C4" w14:textId="77777777" w:rsidR="00A82082" w:rsidRDefault="00A82082">
            <w:pPr>
              <w:rPr>
                <w:rFonts w:ascii="宋体"/>
                <w:vanish/>
              </w:rPr>
            </w:pPr>
          </w:p>
        </w:tc>
        <w:tc>
          <w:tcPr>
            <w:tcW w:w="0" w:type="auto"/>
            <w:gridSpan w:val="3"/>
            <w:shd w:val="clear" w:color="auto" w:fill="auto"/>
          </w:tcPr>
          <w:p w14:paraId="7E7846C5" w14:textId="77777777" w:rsidR="00A82082" w:rsidRDefault="00A82082">
            <w:pPr>
              <w:rPr>
                <w:rFonts w:ascii="宋体"/>
                <w:vanish/>
              </w:rPr>
            </w:pPr>
          </w:p>
        </w:tc>
        <w:tc>
          <w:tcPr>
            <w:tcW w:w="0" w:type="auto"/>
            <w:gridSpan w:val="3"/>
            <w:shd w:val="clear" w:color="auto" w:fill="auto"/>
          </w:tcPr>
          <w:p w14:paraId="7E7846C6" w14:textId="77777777" w:rsidR="00A82082" w:rsidRDefault="00A82082">
            <w:pPr>
              <w:rPr>
                <w:rFonts w:ascii="宋体"/>
                <w:vanish/>
              </w:rPr>
            </w:pPr>
          </w:p>
        </w:tc>
        <w:tc>
          <w:tcPr>
            <w:tcW w:w="0" w:type="auto"/>
            <w:gridSpan w:val="3"/>
            <w:shd w:val="clear" w:color="auto" w:fill="auto"/>
          </w:tcPr>
          <w:p w14:paraId="7E7846C7" w14:textId="77777777" w:rsidR="00A82082" w:rsidRDefault="00A82082">
            <w:pPr>
              <w:rPr>
                <w:rFonts w:ascii="宋体"/>
                <w:vanish/>
              </w:rPr>
            </w:pPr>
          </w:p>
        </w:tc>
        <w:tc>
          <w:tcPr>
            <w:tcW w:w="0" w:type="auto"/>
            <w:gridSpan w:val="3"/>
            <w:shd w:val="clear" w:color="auto" w:fill="auto"/>
          </w:tcPr>
          <w:p w14:paraId="7E7846C8" w14:textId="77777777" w:rsidR="00A82082" w:rsidRDefault="00A82082">
            <w:pPr>
              <w:rPr>
                <w:rFonts w:ascii="宋体"/>
                <w:vanish/>
              </w:rPr>
            </w:pPr>
          </w:p>
        </w:tc>
        <w:tc>
          <w:tcPr>
            <w:tcW w:w="0" w:type="auto"/>
            <w:gridSpan w:val="3"/>
            <w:shd w:val="clear" w:color="auto" w:fill="auto"/>
          </w:tcPr>
          <w:p w14:paraId="7E7846C9" w14:textId="77777777" w:rsidR="00A82082" w:rsidRDefault="00A82082">
            <w:pPr>
              <w:rPr>
                <w:rFonts w:ascii="宋体"/>
                <w:vanish/>
              </w:rPr>
            </w:pPr>
          </w:p>
        </w:tc>
        <w:tc>
          <w:tcPr>
            <w:tcW w:w="0" w:type="auto"/>
            <w:gridSpan w:val="3"/>
            <w:shd w:val="clear" w:color="auto" w:fill="auto"/>
          </w:tcPr>
          <w:p w14:paraId="7E7846CA" w14:textId="77777777" w:rsidR="00A82082" w:rsidRDefault="00A82082">
            <w:pPr>
              <w:rPr>
                <w:rFonts w:ascii="宋体"/>
                <w:vanish/>
              </w:rPr>
            </w:pPr>
          </w:p>
        </w:tc>
        <w:tc>
          <w:tcPr>
            <w:tcW w:w="0" w:type="auto"/>
            <w:gridSpan w:val="3"/>
            <w:shd w:val="clear" w:color="auto" w:fill="auto"/>
          </w:tcPr>
          <w:p w14:paraId="7E7846CB" w14:textId="77777777" w:rsidR="00A82082" w:rsidRDefault="00A82082">
            <w:pPr>
              <w:rPr>
                <w:rFonts w:ascii="宋体"/>
                <w:vanish/>
              </w:rPr>
            </w:pPr>
          </w:p>
        </w:tc>
        <w:tc>
          <w:tcPr>
            <w:tcW w:w="0" w:type="auto"/>
            <w:gridSpan w:val="3"/>
            <w:shd w:val="clear" w:color="auto" w:fill="auto"/>
          </w:tcPr>
          <w:p w14:paraId="7E7846CC" w14:textId="77777777" w:rsidR="00A82082" w:rsidRDefault="00A82082">
            <w:pPr>
              <w:rPr>
                <w:rFonts w:ascii="宋体"/>
                <w:vanish/>
              </w:rPr>
            </w:pPr>
          </w:p>
        </w:tc>
        <w:tc>
          <w:tcPr>
            <w:tcW w:w="0" w:type="auto"/>
            <w:gridSpan w:val="3"/>
            <w:shd w:val="clear" w:color="auto" w:fill="auto"/>
          </w:tcPr>
          <w:p w14:paraId="7E7846CD" w14:textId="77777777" w:rsidR="00A82082" w:rsidRDefault="00A82082">
            <w:pPr>
              <w:rPr>
                <w:rFonts w:ascii="宋体"/>
                <w:vanish/>
              </w:rPr>
            </w:pPr>
          </w:p>
        </w:tc>
        <w:tc>
          <w:tcPr>
            <w:tcW w:w="0" w:type="auto"/>
            <w:gridSpan w:val="3"/>
            <w:shd w:val="clear" w:color="auto" w:fill="auto"/>
          </w:tcPr>
          <w:p w14:paraId="7E7846CE" w14:textId="77777777" w:rsidR="00A82082" w:rsidRDefault="00A82082">
            <w:pPr>
              <w:rPr>
                <w:rFonts w:ascii="宋体"/>
                <w:vanish/>
              </w:rPr>
            </w:pPr>
          </w:p>
        </w:tc>
        <w:tc>
          <w:tcPr>
            <w:tcW w:w="0" w:type="auto"/>
            <w:gridSpan w:val="3"/>
            <w:shd w:val="clear" w:color="auto" w:fill="auto"/>
          </w:tcPr>
          <w:p w14:paraId="7E7846CF" w14:textId="77777777" w:rsidR="00A82082" w:rsidRDefault="00A82082">
            <w:pPr>
              <w:rPr>
                <w:rFonts w:ascii="宋体"/>
                <w:vanish/>
              </w:rPr>
            </w:pPr>
          </w:p>
        </w:tc>
        <w:tc>
          <w:tcPr>
            <w:tcW w:w="0" w:type="auto"/>
            <w:gridSpan w:val="3"/>
            <w:shd w:val="clear" w:color="auto" w:fill="auto"/>
          </w:tcPr>
          <w:p w14:paraId="7E7846D0" w14:textId="77777777" w:rsidR="00A82082" w:rsidRDefault="00A82082">
            <w:pPr>
              <w:rPr>
                <w:rFonts w:ascii="宋体"/>
                <w:vanish/>
              </w:rPr>
            </w:pPr>
          </w:p>
        </w:tc>
        <w:tc>
          <w:tcPr>
            <w:tcW w:w="0" w:type="auto"/>
            <w:gridSpan w:val="3"/>
            <w:shd w:val="clear" w:color="auto" w:fill="auto"/>
          </w:tcPr>
          <w:p w14:paraId="7E7846D1" w14:textId="77777777" w:rsidR="00A82082" w:rsidRDefault="00A82082">
            <w:pPr>
              <w:rPr>
                <w:rFonts w:ascii="宋体"/>
                <w:vanish/>
              </w:rPr>
            </w:pPr>
          </w:p>
        </w:tc>
        <w:tc>
          <w:tcPr>
            <w:tcW w:w="0" w:type="auto"/>
            <w:gridSpan w:val="3"/>
            <w:shd w:val="clear" w:color="auto" w:fill="auto"/>
          </w:tcPr>
          <w:p w14:paraId="7E7846D2" w14:textId="77777777" w:rsidR="00A82082" w:rsidRDefault="00A82082">
            <w:pPr>
              <w:rPr>
                <w:rFonts w:ascii="宋体"/>
                <w:vanish/>
              </w:rPr>
            </w:pPr>
          </w:p>
        </w:tc>
        <w:tc>
          <w:tcPr>
            <w:tcW w:w="0" w:type="auto"/>
            <w:gridSpan w:val="3"/>
            <w:shd w:val="clear" w:color="auto" w:fill="auto"/>
          </w:tcPr>
          <w:p w14:paraId="7E7846D3" w14:textId="77777777" w:rsidR="00A82082" w:rsidRDefault="00A82082">
            <w:pPr>
              <w:rPr>
                <w:rFonts w:ascii="宋体"/>
                <w:vanish/>
              </w:rPr>
            </w:pPr>
          </w:p>
        </w:tc>
        <w:tc>
          <w:tcPr>
            <w:tcW w:w="0" w:type="auto"/>
            <w:shd w:val="clear" w:color="auto" w:fill="auto"/>
          </w:tcPr>
          <w:p w14:paraId="7E7846D4" w14:textId="77777777" w:rsidR="00A82082" w:rsidRDefault="00A82082">
            <w:pPr>
              <w:rPr>
                <w:rFonts w:ascii="宋体"/>
                <w:vanish/>
              </w:rPr>
            </w:pPr>
          </w:p>
        </w:tc>
        <w:tc>
          <w:tcPr>
            <w:tcW w:w="0" w:type="auto"/>
            <w:shd w:val="clear" w:color="auto" w:fill="auto"/>
          </w:tcPr>
          <w:p w14:paraId="7E7846D5" w14:textId="77777777" w:rsidR="00A82082" w:rsidRDefault="00A82082">
            <w:pPr>
              <w:rPr>
                <w:rFonts w:ascii="宋体"/>
                <w:vanish/>
              </w:rPr>
            </w:pPr>
          </w:p>
        </w:tc>
        <w:tc>
          <w:tcPr>
            <w:tcW w:w="0" w:type="auto"/>
            <w:shd w:val="clear" w:color="auto" w:fill="auto"/>
          </w:tcPr>
          <w:p w14:paraId="7E7846D6" w14:textId="77777777" w:rsidR="00A82082" w:rsidRDefault="00A82082">
            <w:pPr>
              <w:rPr>
                <w:rFonts w:ascii="宋体"/>
                <w:vanish/>
              </w:rPr>
            </w:pPr>
          </w:p>
        </w:tc>
      </w:tr>
      <w:tr w:rsidR="00A82082" w14:paraId="7E7846EB" w14:textId="77777777">
        <w:trPr>
          <w:hidden/>
        </w:trPr>
        <w:tc>
          <w:tcPr>
            <w:tcW w:w="0" w:type="auto"/>
            <w:gridSpan w:val="3"/>
            <w:shd w:val="clear" w:color="auto" w:fill="auto"/>
          </w:tcPr>
          <w:p w14:paraId="7E7846D8" w14:textId="77777777" w:rsidR="00A82082" w:rsidRDefault="00A82082">
            <w:pPr>
              <w:rPr>
                <w:rFonts w:ascii="宋体"/>
                <w:vanish/>
              </w:rPr>
            </w:pPr>
          </w:p>
        </w:tc>
        <w:tc>
          <w:tcPr>
            <w:tcW w:w="0" w:type="auto"/>
            <w:gridSpan w:val="3"/>
            <w:shd w:val="clear" w:color="auto" w:fill="auto"/>
          </w:tcPr>
          <w:p w14:paraId="7E7846D9" w14:textId="77777777" w:rsidR="00A82082" w:rsidRDefault="00A82082">
            <w:pPr>
              <w:rPr>
                <w:rFonts w:ascii="宋体"/>
                <w:vanish/>
              </w:rPr>
            </w:pPr>
          </w:p>
        </w:tc>
        <w:tc>
          <w:tcPr>
            <w:tcW w:w="0" w:type="auto"/>
            <w:gridSpan w:val="3"/>
            <w:shd w:val="clear" w:color="auto" w:fill="auto"/>
          </w:tcPr>
          <w:p w14:paraId="7E7846DA" w14:textId="77777777" w:rsidR="00A82082" w:rsidRDefault="00A82082">
            <w:pPr>
              <w:rPr>
                <w:rFonts w:ascii="宋体"/>
                <w:vanish/>
              </w:rPr>
            </w:pPr>
          </w:p>
        </w:tc>
        <w:tc>
          <w:tcPr>
            <w:tcW w:w="0" w:type="auto"/>
            <w:gridSpan w:val="3"/>
            <w:shd w:val="clear" w:color="auto" w:fill="auto"/>
          </w:tcPr>
          <w:p w14:paraId="7E7846DB" w14:textId="77777777" w:rsidR="00A82082" w:rsidRDefault="00A82082">
            <w:pPr>
              <w:rPr>
                <w:rFonts w:ascii="宋体"/>
                <w:vanish/>
              </w:rPr>
            </w:pPr>
          </w:p>
        </w:tc>
        <w:tc>
          <w:tcPr>
            <w:tcW w:w="0" w:type="auto"/>
            <w:gridSpan w:val="3"/>
            <w:shd w:val="clear" w:color="auto" w:fill="auto"/>
          </w:tcPr>
          <w:p w14:paraId="7E7846DC" w14:textId="77777777" w:rsidR="00A82082" w:rsidRDefault="00A82082">
            <w:pPr>
              <w:rPr>
                <w:rFonts w:ascii="宋体"/>
                <w:vanish/>
              </w:rPr>
            </w:pPr>
          </w:p>
        </w:tc>
        <w:tc>
          <w:tcPr>
            <w:tcW w:w="0" w:type="auto"/>
            <w:gridSpan w:val="3"/>
            <w:shd w:val="clear" w:color="auto" w:fill="auto"/>
          </w:tcPr>
          <w:p w14:paraId="7E7846DD" w14:textId="77777777" w:rsidR="00A82082" w:rsidRDefault="00A82082">
            <w:pPr>
              <w:rPr>
                <w:rFonts w:ascii="宋体"/>
                <w:vanish/>
              </w:rPr>
            </w:pPr>
          </w:p>
        </w:tc>
        <w:tc>
          <w:tcPr>
            <w:tcW w:w="0" w:type="auto"/>
            <w:gridSpan w:val="3"/>
            <w:shd w:val="clear" w:color="auto" w:fill="auto"/>
          </w:tcPr>
          <w:p w14:paraId="7E7846DE" w14:textId="77777777" w:rsidR="00A82082" w:rsidRDefault="00A82082">
            <w:pPr>
              <w:rPr>
                <w:rFonts w:ascii="宋体"/>
                <w:vanish/>
              </w:rPr>
            </w:pPr>
          </w:p>
        </w:tc>
        <w:tc>
          <w:tcPr>
            <w:tcW w:w="0" w:type="auto"/>
            <w:gridSpan w:val="3"/>
            <w:shd w:val="clear" w:color="auto" w:fill="auto"/>
          </w:tcPr>
          <w:p w14:paraId="7E7846DF" w14:textId="77777777" w:rsidR="00A82082" w:rsidRDefault="00A82082">
            <w:pPr>
              <w:rPr>
                <w:rFonts w:ascii="宋体"/>
                <w:vanish/>
              </w:rPr>
            </w:pPr>
          </w:p>
        </w:tc>
        <w:tc>
          <w:tcPr>
            <w:tcW w:w="0" w:type="auto"/>
            <w:gridSpan w:val="3"/>
            <w:shd w:val="clear" w:color="auto" w:fill="auto"/>
          </w:tcPr>
          <w:p w14:paraId="7E7846E0" w14:textId="77777777" w:rsidR="00A82082" w:rsidRDefault="00A82082">
            <w:pPr>
              <w:rPr>
                <w:rFonts w:ascii="宋体"/>
                <w:vanish/>
              </w:rPr>
            </w:pPr>
          </w:p>
        </w:tc>
        <w:tc>
          <w:tcPr>
            <w:tcW w:w="0" w:type="auto"/>
            <w:gridSpan w:val="3"/>
            <w:shd w:val="clear" w:color="auto" w:fill="auto"/>
          </w:tcPr>
          <w:p w14:paraId="7E7846E1" w14:textId="77777777" w:rsidR="00A82082" w:rsidRDefault="00A82082">
            <w:pPr>
              <w:rPr>
                <w:rFonts w:ascii="宋体"/>
                <w:vanish/>
              </w:rPr>
            </w:pPr>
          </w:p>
        </w:tc>
        <w:tc>
          <w:tcPr>
            <w:tcW w:w="0" w:type="auto"/>
            <w:gridSpan w:val="3"/>
            <w:shd w:val="clear" w:color="auto" w:fill="auto"/>
          </w:tcPr>
          <w:p w14:paraId="7E7846E2" w14:textId="77777777" w:rsidR="00A82082" w:rsidRDefault="00A82082">
            <w:pPr>
              <w:rPr>
                <w:rFonts w:ascii="宋体"/>
                <w:vanish/>
              </w:rPr>
            </w:pPr>
          </w:p>
        </w:tc>
        <w:tc>
          <w:tcPr>
            <w:tcW w:w="0" w:type="auto"/>
            <w:gridSpan w:val="3"/>
            <w:shd w:val="clear" w:color="auto" w:fill="auto"/>
          </w:tcPr>
          <w:p w14:paraId="7E7846E3" w14:textId="77777777" w:rsidR="00A82082" w:rsidRDefault="00A82082">
            <w:pPr>
              <w:rPr>
                <w:rFonts w:ascii="宋体"/>
                <w:vanish/>
              </w:rPr>
            </w:pPr>
          </w:p>
        </w:tc>
        <w:tc>
          <w:tcPr>
            <w:tcW w:w="0" w:type="auto"/>
            <w:gridSpan w:val="3"/>
            <w:shd w:val="clear" w:color="auto" w:fill="auto"/>
          </w:tcPr>
          <w:p w14:paraId="7E7846E4" w14:textId="77777777" w:rsidR="00A82082" w:rsidRDefault="00A82082">
            <w:pPr>
              <w:rPr>
                <w:rFonts w:ascii="宋体"/>
                <w:vanish/>
              </w:rPr>
            </w:pPr>
          </w:p>
        </w:tc>
        <w:tc>
          <w:tcPr>
            <w:tcW w:w="0" w:type="auto"/>
            <w:gridSpan w:val="3"/>
            <w:shd w:val="clear" w:color="auto" w:fill="auto"/>
          </w:tcPr>
          <w:p w14:paraId="7E7846E5" w14:textId="77777777" w:rsidR="00A82082" w:rsidRDefault="00A82082">
            <w:pPr>
              <w:rPr>
                <w:rFonts w:ascii="宋体"/>
                <w:vanish/>
              </w:rPr>
            </w:pPr>
          </w:p>
        </w:tc>
        <w:tc>
          <w:tcPr>
            <w:tcW w:w="0" w:type="auto"/>
            <w:gridSpan w:val="3"/>
            <w:shd w:val="clear" w:color="auto" w:fill="auto"/>
          </w:tcPr>
          <w:p w14:paraId="7E7846E6" w14:textId="77777777" w:rsidR="00A82082" w:rsidRDefault="00A82082">
            <w:pPr>
              <w:rPr>
                <w:rFonts w:ascii="宋体"/>
                <w:vanish/>
              </w:rPr>
            </w:pPr>
          </w:p>
        </w:tc>
        <w:tc>
          <w:tcPr>
            <w:tcW w:w="0" w:type="auto"/>
            <w:gridSpan w:val="3"/>
            <w:shd w:val="clear" w:color="auto" w:fill="auto"/>
          </w:tcPr>
          <w:p w14:paraId="7E7846E7" w14:textId="77777777" w:rsidR="00A82082" w:rsidRDefault="00A82082">
            <w:pPr>
              <w:rPr>
                <w:rFonts w:ascii="宋体"/>
                <w:vanish/>
              </w:rPr>
            </w:pPr>
          </w:p>
        </w:tc>
        <w:tc>
          <w:tcPr>
            <w:tcW w:w="0" w:type="auto"/>
            <w:shd w:val="clear" w:color="auto" w:fill="auto"/>
          </w:tcPr>
          <w:p w14:paraId="7E7846E8" w14:textId="77777777" w:rsidR="00A82082" w:rsidRDefault="00A82082">
            <w:pPr>
              <w:rPr>
                <w:rFonts w:ascii="宋体"/>
                <w:vanish/>
              </w:rPr>
            </w:pPr>
          </w:p>
        </w:tc>
        <w:tc>
          <w:tcPr>
            <w:tcW w:w="0" w:type="auto"/>
            <w:shd w:val="clear" w:color="auto" w:fill="auto"/>
          </w:tcPr>
          <w:p w14:paraId="7E7846E9" w14:textId="77777777" w:rsidR="00A82082" w:rsidRDefault="00A82082">
            <w:pPr>
              <w:rPr>
                <w:rFonts w:ascii="宋体"/>
                <w:vanish/>
              </w:rPr>
            </w:pPr>
          </w:p>
        </w:tc>
        <w:tc>
          <w:tcPr>
            <w:tcW w:w="0" w:type="auto"/>
            <w:shd w:val="clear" w:color="auto" w:fill="auto"/>
          </w:tcPr>
          <w:p w14:paraId="7E7846EA" w14:textId="77777777" w:rsidR="00A82082" w:rsidRDefault="00A82082">
            <w:pPr>
              <w:rPr>
                <w:rFonts w:ascii="宋体"/>
                <w:vanish/>
              </w:rPr>
            </w:pPr>
          </w:p>
        </w:tc>
      </w:tr>
      <w:tr w:rsidR="00A82082" w14:paraId="7E7846FF" w14:textId="77777777">
        <w:trPr>
          <w:hidden/>
        </w:trPr>
        <w:tc>
          <w:tcPr>
            <w:tcW w:w="0" w:type="auto"/>
            <w:gridSpan w:val="3"/>
            <w:shd w:val="clear" w:color="auto" w:fill="auto"/>
          </w:tcPr>
          <w:p w14:paraId="7E7846EC" w14:textId="77777777" w:rsidR="00A82082" w:rsidRDefault="00A82082">
            <w:pPr>
              <w:rPr>
                <w:rFonts w:ascii="宋体"/>
                <w:vanish/>
              </w:rPr>
            </w:pPr>
          </w:p>
        </w:tc>
        <w:tc>
          <w:tcPr>
            <w:tcW w:w="0" w:type="auto"/>
            <w:gridSpan w:val="3"/>
            <w:shd w:val="clear" w:color="auto" w:fill="auto"/>
          </w:tcPr>
          <w:p w14:paraId="7E7846ED" w14:textId="77777777" w:rsidR="00A82082" w:rsidRDefault="00A82082">
            <w:pPr>
              <w:rPr>
                <w:rFonts w:ascii="宋体"/>
                <w:vanish/>
              </w:rPr>
            </w:pPr>
          </w:p>
        </w:tc>
        <w:tc>
          <w:tcPr>
            <w:tcW w:w="0" w:type="auto"/>
            <w:gridSpan w:val="3"/>
            <w:shd w:val="clear" w:color="auto" w:fill="auto"/>
          </w:tcPr>
          <w:p w14:paraId="7E7846EE" w14:textId="77777777" w:rsidR="00A82082" w:rsidRDefault="00A82082">
            <w:pPr>
              <w:rPr>
                <w:rFonts w:ascii="宋体"/>
                <w:vanish/>
              </w:rPr>
            </w:pPr>
          </w:p>
        </w:tc>
        <w:tc>
          <w:tcPr>
            <w:tcW w:w="0" w:type="auto"/>
            <w:gridSpan w:val="3"/>
            <w:shd w:val="clear" w:color="auto" w:fill="auto"/>
          </w:tcPr>
          <w:p w14:paraId="7E7846EF" w14:textId="77777777" w:rsidR="00A82082" w:rsidRDefault="00A82082">
            <w:pPr>
              <w:rPr>
                <w:rFonts w:ascii="宋体"/>
                <w:vanish/>
              </w:rPr>
            </w:pPr>
          </w:p>
        </w:tc>
        <w:tc>
          <w:tcPr>
            <w:tcW w:w="0" w:type="auto"/>
            <w:gridSpan w:val="3"/>
            <w:shd w:val="clear" w:color="auto" w:fill="auto"/>
          </w:tcPr>
          <w:p w14:paraId="7E7846F0" w14:textId="77777777" w:rsidR="00A82082" w:rsidRDefault="00A82082">
            <w:pPr>
              <w:rPr>
                <w:rFonts w:ascii="宋体"/>
                <w:vanish/>
              </w:rPr>
            </w:pPr>
          </w:p>
        </w:tc>
        <w:tc>
          <w:tcPr>
            <w:tcW w:w="0" w:type="auto"/>
            <w:gridSpan w:val="3"/>
            <w:shd w:val="clear" w:color="auto" w:fill="auto"/>
          </w:tcPr>
          <w:p w14:paraId="7E7846F1" w14:textId="77777777" w:rsidR="00A82082" w:rsidRDefault="00A82082">
            <w:pPr>
              <w:rPr>
                <w:rFonts w:ascii="宋体"/>
                <w:vanish/>
              </w:rPr>
            </w:pPr>
          </w:p>
        </w:tc>
        <w:tc>
          <w:tcPr>
            <w:tcW w:w="0" w:type="auto"/>
            <w:gridSpan w:val="3"/>
            <w:shd w:val="clear" w:color="auto" w:fill="auto"/>
          </w:tcPr>
          <w:p w14:paraId="7E7846F2" w14:textId="77777777" w:rsidR="00A82082" w:rsidRDefault="00A82082">
            <w:pPr>
              <w:rPr>
                <w:rFonts w:ascii="宋体"/>
                <w:vanish/>
              </w:rPr>
            </w:pPr>
          </w:p>
        </w:tc>
        <w:tc>
          <w:tcPr>
            <w:tcW w:w="0" w:type="auto"/>
            <w:gridSpan w:val="3"/>
            <w:shd w:val="clear" w:color="auto" w:fill="auto"/>
          </w:tcPr>
          <w:p w14:paraId="7E7846F3" w14:textId="77777777" w:rsidR="00A82082" w:rsidRDefault="00A82082">
            <w:pPr>
              <w:rPr>
                <w:rFonts w:ascii="宋体"/>
                <w:vanish/>
              </w:rPr>
            </w:pPr>
          </w:p>
        </w:tc>
        <w:tc>
          <w:tcPr>
            <w:tcW w:w="0" w:type="auto"/>
            <w:gridSpan w:val="3"/>
            <w:shd w:val="clear" w:color="auto" w:fill="auto"/>
          </w:tcPr>
          <w:p w14:paraId="7E7846F4" w14:textId="77777777" w:rsidR="00A82082" w:rsidRDefault="00A82082">
            <w:pPr>
              <w:rPr>
                <w:rFonts w:ascii="宋体"/>
                <w:vanish/>
              </w:rPr>
            </w:pPr>
          </w:p>
        </w:tc>
        <w:tc>
          <w:tcPr>
            <w:tcW w:w="0" w:type="auto"/>
            <w:gridSpan w:val="3"/>
            <w:shd w:val="clear" w:color="auto" w:fill="auto"/>
          </w:tcPr>
          <w:p w14:paraId="7E7846F5" w14:textId="77777777" w:rsidR="00A82082" w:rsidRDefault="00A82082">
            <w:pPr>
              <w:rPr>
                <w:rFonts w:ascii="宋体"/>
                <w:vanish/>
              </w:rPr>
            </w:pPr>
          </w:p>
        </w:tc>
        <w:tc>
          <w:tcPr>
            <w:tcW w:w="0" w:type="auto"/>
            <w:gridSpan w:val="3"/>
            <w:shd w:val="clear" w:color="auto" w:fill="auto"/>
          </w:tcPr>
          <w:p w14:paraId="7E7846F6" w14:textId="77777777" w:rsidR="00A82082" w:rsidRDefault="00A82082">
            <w:pPr>
              <w:rPr>
                <w:rFonts w:ascii="宋体"/>
                <w:vanish/>
              </w:rPr>
            </w:pPr>
          </w:p>
        </w:tc>
        <w:tc>
          <w:tcPr>
            <w:tcW w:w="0" w:type="auto"/>
            <w:gridSpan w:val="3"/>
            <w:shd w:val="clear" w:color="auto" w:fill="auto"/>
          </w:tcPr>
          <w:p w14:paraId="7E7846F7" w14:textId="77777777" w:rsidR="00A82082" w:rsidRDefault="00A82082">
            <w:pPr>
              <w:rPr>
                <w:rFonts w:ascii="宋体"/>
                <w:vanish/>
              </w:rPr>
            </w:pPr>
          </w:p>
        </w:tc>
        <w:tc>
          <w:tcPr>
            <w:tcW w:w="0" w:type="auto"/>
            <w:gridSpan w:val="3"/>
            <w:shd w:val="clear" w:color="auto" w:fill="auto"/>
          </w:tcPr>
          <w:p w14:paraId="7E7846F8" w14:textId="77777777" w:rsidR="00A82082" w:rsidRDefault="00A82082">
            <w:pPr>
              <w:rPr>
                <w:rFonts w:ascii="宋体"/>
                <w:vanish/>
              </w:rPr>
            </w:pPr>
          </w:p>
        </w:tc>
        <w:tc>
          <w:tcPr>
            <w:tcW w:w="0" w:type="auto"/>
            <w:gridSpan w:val="3"/>
            <w:shd w:val="clear" w:color="auto" w:fill="auto"/>
          </w:tcPr>
          <w:p w14:paraId="7E7846F9" w14:textId="77777777" w:rsidR="00A82082" w:rsidRDefault="00A82082">
            <w:pPr>
              <w:rPr>
                <w:rFonts w:ascii="宋体"/>
                <w:vanish/>
              </w:rPr>
            </w:pPr>
          </w:p>
        </w:tc>
        <w:tc>
          <w:tcPr>
            <w:tcW w:w="0" w:type="auto"/>
            <w:gridSpan w:val="3"/>
            <w:shd w:val="clear" w:color="auto" w:fill="auto"/>
          </w:tcPr>
          <w:p w14:paraId="7E7846FA" w14:textId="77777777" w:rsidR="00A82082" w:rsidRDefault="00A82082">
            <w:pPr>
              <w:rPr>
                <w:rFonts w:ascii="宋体"/>
                <w:vanish/>
              </w:rPr>
            </w:pPr>
          </w:p>
        </w:tc>
        <w:tc>
          <w:tcPr>
            <w:tcW w:w="0" w:type="auto"/>
            <w:gridSpan w:val="3"/>
            <w:shd w:val="clear" w:color="auto" w:fill="auto"/>
          </w:tcPr>
          <w:p w14:paraId="7E7846FB" w14:textId="77777777" w:rsidR="00A82082" w:rsidRDefault="00A82082">
            <w:pPr>
              <w:rPr>
                <w:rFonts w:ascii="宋体"/>
                <w:vanish/>
              </w:rPr>
            </w:pPr>
          </w:p>
        </w:tc>
        <w:tc>
          <w:tcPr>
            <w:tcW w:w="0" w:type="auto"/>
            <w:shd w:val="clear" w:color="auto" w:fill="auto"/>
          </w:tcPr>
          <w:p w14:paraId="7E7846FC" w14:textId="77777777" w:rsidR="00A82082" w:rsidRDefault="00A82082">
            <w:pPr>
              <w:rPr>
                <w:rFonts w:ascii="宋体"/>
                <w:vanish/>
              </w:rPr>
            </w:pPr>
          </w:p>
        </w:tc>
        <w:tc>
          <w:tcPr>
            <w:tcW w:w="0" w:type="auto"/>
            <w:shd w:val="clear" w:color="auto" w:fill="auto"/>
          </w:tcPr>
          <w:p w14:paraId="7E7846FD" w14:textId="77777777" w:rsidR="00A82082" w:rsidRDefault="00A82082">
            <w:pPr>
              <w:rPr>
                <w:rFonts w:ascii="宋体"/>
                <w:vanish/>
              </w:rPr>
            </w:pPr>
          </w:p>
        </w:tc>
        <w:tc>
          <w:tcPr>
            <w:tcW w:w="0" w:type="auto"/>
            <w:shd w:val="clear" w:color="auto" w:fill="auto"/>
          </w:tcPr>
          <w:p w14:paraId="7E7846FE" w14:textId="77777777" w:rsidR="00A82082" w:rsidRDefault="00A82082">
            <w:pPr>
              <w:rPr>
                <w:rFonts w:ascii="宋体"/>
                <w:vanish/>
              </w:rPr>
            </w:pPr>
          </w:p>
        </w:tc>
      </w:tr>
      <w:tr w:rsidR="00A82082" w14:paraId="7E784713" w14:textId="77777777">
        <w:trPr>
          <w:hidden/>
        </w:trPr>
        <w:tc>
          <w:tcPr>
            <w:tcW w:w="0" w:type="auto"/>
            <w:gridSpan w:val="3"/>
            <w:shd w:val="clear" w:color="auto" w:fill="auto"/>
          </w:tcPr>
          <w:p w14:paraId="7E784700" w14:textId="77777777" w:rsidR="00A82082" w:rsidRDefault="00A82082">
            <w:pPr>
              <w:rPr>
                <w:rFonts w:ascii="宋体"/>
                <w:vanish/>
              </w:rPr>
            </w:pPr>
          </w:p>
        </w:tc>
        <w:tc>
          <w:tcPr>
            <w:tcW w:w="0" w:type="auto"/>
            <w:gridSpan w:val="3"/>
            <w:shd w:val="clear" w:color="auto" w:fill="auto"/>
          </w:tcPr>
          <w:p w14:paraId="7E784701" w14:textId="77777777" w:rsidR="00A82082" w:rsidRDefault="00A82082">
            <w:pPr>
              <w:rPr>
                <w:rFonts w:ascii="宋体"/>
                <w:vanish/>
              </w:rPr>
            </w:pPr>
          </w:p>
        </w:tc>
        <w:tc>
          <w:tcPr>
            <w:tcW w:w="0" w:type="auto"/>
            <w:gridSpan w:val="3"/>
            <w:shd w:val="clear" w:color="auto" w:fill="auto"/>
          </w:tcPr>
          <w:p w14:paraId="7E784702" w14:textId="77777777" w:rsidR="00A82082" w:rsidRDefault="00A82082">
            <w:pPr>
              <w:rPr>
                <w:rFonts w:ascii="宋体"/>
                <w:vanish/>
              </w:rPr>
            </w:pPr>
          </w:p>
        </w:tc>
        <w:tc>
          <w:tcPr>
            <w:tcW w:w="0" w:type="auto"/>
            <w:gridSpan w:val="3"/>
            <w:shd w:val="clear" w:color="auto" w:fill="auto"/>
          </w:tcPr>
          <w:p w14:paraId="7E784703" w14:textId="77777777" w:rsidR="00A82082" w:rsidRDefault="00A82082">
            <w:pPr>
              <w:rPr>
                <w:rFonts w:ascii="宋体"/>
                <w:vanish/>
              </w:rPr>
            </w:pPr>
          </w:p>
        </w:tc>
        <w:tc>
          <w:tcPr>
            <w:tcW w:w="0" w:type="auto"/>
            <w:gridSpan w:val="3"/>
            <w:shd w:val="clear" w:color="auto" w:fill="auto"/>
          </w:tcPr>
          <w:p w14:paraId="7E784704" w14:textId="77777777" w:rsidR="00A82082" w:rsidRDefault="00A82082">
            <w:pPr>
              <w:rPr>
                <w:rFonts w:ascii="宋体"/>
                <w:vanish/>
              </w:rPr>
            </w:pPr>
          </w:p>
        </w:tc>
        <w:tc>
          <w:tcPr>
            <w:tcW w:w="0" w:type="auto"/>
            <w:gridSpan w:val="3"/>
            <w:shd w:val="clear" w:color="auto" w:fill="auto"/>
          </w:tcPr>
          <w:p w14:paraId="7E784705" w14:textId="77777777" w:rsidR="00A82082" w:rsidRDefault="00A82082">
            <w:pPr>
              <w:rPr>
                <w:rFonts w:ascii="宋体"/>
                <w:vanish/>
              </w:rPr>
            </w:pPr>
          </w:p>
        </w:tc>
        <w:tc>
          <w:tcPr>
            <w:tcW w:w="0" w:type="auto"/>
            <w:gridSpan w:val="3"/>
            <w:shd w:val="clear" w:color="auto" w:fill="auto"/>
          </w:tcPr>
          <w:p w14:paraId="7E784706" w14:textId="77777777" w:rsidR="00A82082" w:rsidRDefault="00A82082">
            <w:pPr>
              <w:rPr>
                <w:rFonts w:ascii="宋体"/>
                <w:vanish/>
              </w:rPr>
            </w:pPr>
          </w:p>
        </w:tc>
        <w:tc>
          <w:tcPr>
            <w:tcW w:w="0" w:type="auto"/>
            <w:gridSpan w:val="3"/>
            <w:shd w:val="clear" w:color="auto" w:fill="auto"/>
          </w:tcPr>
          <w:p w14:paraId="7E784707" w14:textId="77777777" w:rsidR="00A82082" w:rsidRDefault="00A82082">
            <w:pPr>
              <w:rPr>
                <w:rFonts w:ascii="宋体"/>
                <w:vanish/>
              </w:rPr>
            </w:pPr>
          </w:p>
        </w:tc>
        <w:tc>
          <w:tcPr>
            <w:tcW w:w="0" w:type="auto"/>
            <w:gridSpan w:val="3"/>
            <w:shd w:val="clear" w:color="auto" w:fill="auto"/>
          </w:tcPr>
          <w:p w14:paraId="7E784708" w14:textId="77777777" w:rsidR="00A82082" w:rsidRDefault="00A82082">
            <w:pPr>
              <w:rPr>
                <w:rFonts w:ascii="宋体"/>
                <w:vanish/>
              </w:rPr>
            </w:pPr>
          </w:p>
        </w:tc>
        <w:tc>
          <w:tcPr>
            <w:tcW w:w="0" w:type="auto"/>
            <w:gridSpan w:val="3"/>
            <w:shd w:val="clear" w:color="auto" w:fill="auto"/>
          </w:tcPr>
          <w:p w14:paraId="7E784709" w14:textId="77777777" w:rsidR="00A82082" w:rsidRDefault="00A82082">
            <w:pPr>
              <w:rPr>
                <w:rFonts w:ascii="宋体"/>
                <w:vanish/>
              </w:rPr>
            </w:pPr>
          </w:p>
        </w:tc>
        <w:tc>
          <w:tcPr>
            <w:tcW w:w="0" w:type="auto"/>
            <w:gridSpan w:val="3"/>
            <w:shd w:val="clear" w:color="auto" w:fill="auto"/>
          </w:tcPr>
          <w:p w14:paraId="7E78470A" w14:textId="77777777" w:rsidR="00A82082" w:rsidRDefault="00A82082">
            <w:pPr>
              <w:rPr>
                <w:rFonts w:ascii="宋体"/>
                <w:vanish/>
              </w:rPr>
            </w:pPr>
          </w:p>
        </w:tc>
        <w:tc>
          <w:tcPr>
            <w:tcW w:w="0" w:type="auto"/>
            <w:gridSpan w:val="3"/>
            <w:shd w:val="clear" w:color="auto" w:fill="auto"/>
          </w:tcPr>
          <w:p w14:paraId="7E78470B" w14:textId="77777777" w:rsidR="00A82082" w:rsidRDefault="00A82082">
            <w:pPr>
              <w:rPr>
                <w:rFonts w:ascii="宋体"/>
                <w:vanish/>
              </w:rPr>
            </w:pPr>
          </w:p>
        </w:tc>
        <w:tc>
          <w:tcPr>
            <w:tcW w:w="0" w:type="auto"/>
            <w:gridSpan w:val="3"/>
            <w:shd w:val="clear" w:color="auto" w:fill="auto"/>
          </w:tcPr>
          <w:p w14:paraId="7E78470C" w14:textId="77777777" w:rsidR="00A82082" w:rsidRDefault="00A82082">
            <w:pPr>
              <w:rPr>
                <w:rFonts w:ascii="宋体"/>
                <w:vanish/>
              </w:rPr>
            </w:pPr>
          </w:p>
        </w:tc>
        <w:tc>
          <w:tcPr>
            <w:tcW w:w="0" w:type="auto"/>
            <w:gridSpan w:val="3"/>
            <w:shd w:val="clear" w:color="auto" w:fill="auto"/>
          </w:tcPr>
          <w:p w14:paraId="7E78470D" w14:textId="77777777" w:rsidR="00A82082" w:rsidRDefault="00A82082">
            <w:pPr>
              <w:rPr>
                <w:rFonts w:ascii="宋体"/>
                <w:vanish/>
              </w:rPr>
            </w:pPr>
          </w:p>
        </w:tc>
        <w:tc>
          <w:tcPr>
            <w:tcW w:w="0" w:type="auto"/>
            <w:gridSpan w:val="3"/>
            <w:shd w:val="clear" w:color="auto" w:fill="auto"/>
          </w:tcPr>
          <w:p w14:paraId="7E78470E" w14:textId="77777777" w:rsidR="00A82082" w:rsidRDefault="00A82082">
            <w:pPr>
              <w:rPr>
                <w:rFonts w:ascii="宋体"/>
                <w:vanish/>
              </w:rPr>
            </w:pPr>
          </w:p>
        </w:tc>
        <w:tc>
          <w:tcPr>
            <w:tcW w:w="0" w:type="auto"/>
            <w:gridSpan w:val="3"/>
            <w:shd w:val="clear" w:color="auto" w:fill="auto"/>
          </w:tcPr>
          <w:p w14:paraId="7E78470F" w14:textId="77777777" w:rsidR="00A82082" w:rsidRDefault="00A82082">
            <w:pPr>
              <w:rPr>
                <w:rFonts w:ascii="宋体"/>
                <w:vanish/>
              </w:rPr>
            </w:pPr>
          </w:p>
        </w:tc>
        <w:tc>
          <w:tcPr>
            <w:tcW w:w="0" w:type="auto"/>
            <w:shd w:val="clear" w:color="auto" w:fill="auto"/>
          </w:tcPr>
          <w:p w14:paraId="7E784710" w14:textId="77777777" w:rsidR="00A82082" w:rsidRDefault="00A82082">
            <w:pPr>
              <w:rPr>
                <w:rFonts w:ascii="宋体"/>
                <w:vanish/>
              </w:rPr>
            </w:pPr>
          </w:p>
        </w:tc>
        <w:tc>
          <w:tcPr>
            <w:tcW w:w="0" w:type="auto"/>
            <w:shd w:val="clear" w:color="auto" w:fill="auto"/>
          </w:tcPr>
          <w:p w14:paraId="7E784711" w14:textId="77777777" w:rsidR="00A82082" w:rsidRDefault="00A82082">
            <w:pPr>
              <w:rPr>
                <w:rFonts w:ascii="宋体"/>
                <w:vanish/>
              </w:rPr>
            </w:pPr>
          </w:p>
        </w:tc>
        <w:tc>
          <w:tcPr>
            <w:tcW w:w="0" w:type="auto"/>
            <w:shd w:val="clear" w:color="auto" w:fill="auto"/>
          </w:tcPr>
          <w:p w14:paraId="7E784712" w14:textId="77777777" w:rsidR="00A82082" w:rsidRDefault="00A82082">
            <w:pPr>
              <w:rPr>
                <w:rFonts w:ascii="宋体"/>
                <w:vanish/>
              </w:rPr>
            </w:pPr>
          </w:p>
        </w:tc>
      </w:tr>
      <w:tr w:rsidR="00A82082" w14:paraId="7E784727" w14:textId="77777777">
        <w:trPr>
          <w:hidden/>
        </w:trPr>
        <w:tc>
          <w:tcPr>
            <w:tcW w:w="0" w:type="auto"/>
            <w:gridSpan w:val="3"/>
            <w:shd w:val="clear" w:color="auto" w:fill="auto"/>
          </w:tcPr>
          <w:p w14:paraId="7E784714" w14:textId="77777777" w:rsidR="00A82082" w:rsidRDefault="00A82082">
            <w:pPr>
              <w:rPr>
                <w:rFonts w:ascii="宋体"/>
                <w:vanish/>
              </w:rPr>
            </w:pPr>
          </w:p>
        </w:tc>
        <w:tc>
          <w:tcPr>
            <w:tcW w:w="0" w:type="auto"/>
            <w:gridSpan w:val="3"/>
            <w:shd w:val="clear" w:color="auto" w:fill="auto"/>
          </w:tcPr>
          <w:p w14:paraId="7E784715" w14:textId="77777777" w:rsidR="00A82082" w:rsidRDefault="00A82082">
            <w:pPr>
              <w:rPr>
                <w:rFonts w:ascii="宋体"/>
                <w:vanish/>
              </w:rPr>
            </w:pPr>
          </w:p>
        </w:tc>
        <w:tc>
          <w:tcPr>
            <w:tcW w:w="0" w:type="auto"/>
            <w:gridSpan w:val="3"/>
            <w:shd w:val="clear" w:color="auto" w:fill="auto"/>
          </w:tcPr>
          <w:p w14:paraId="7E784716" w14:textId="77777777" w:rsidR="00A82082" w:rsidRDefault="00A82082">
            <w:pPr>
              <w:rPr>
                <w:rFonts w:ascii="宋体"/>
                <w:vanish/>
              </w:rPr>
            </w:pPr>
          </w:p>
        </w:tc>
        <w:tc>
          <w:tcPr>
            <w:tcW w:w="0" w:type="auto"/>
            <w:gridSpan w:val="3"/>
            <w:shd w:val="clear" w:color="auto" w:fill="auto"/>
          </w:tcPr>
          <w:p w14:paraId="7E784717" w14:textId="77777777" w:rsidR="00A82082" w:rsidRDefault="00A82082">
            <w:pPr>
              <w:rPr>
                <w:rFonts w:ascii="宋体"/>
                <w:vanish/>
              </w:rPr>
            </w:pPr>
          </w:p>
        </w:tc>
        <w:tc>
          <w:tcPr>
            <w:tcW w:w="0" w:type="auto"/>
            <w:gridSpan w:val="3"/>
            <w:shd w:val="clear" w:color="auto" w:fill="auto"/>
          </w:tcPr>
          <w:p w14:paraId="7E784718" w14:textId="77777777" w:rsidR="00A82082" w:rsidRDefault="00A82082">
            <w:pPr>
              <w:rPr>
                <w:rFonts w:ascii="宋体"/>
                <w:vanish/>
              </w:rPr>
            </w:pPr>
          </w:p>
        </w:tc>
        <w:tc>
          <w:tcPr>
            <w:tcW w:w="0" w:type="auto"/>
            <w:gridSpan w:val="3"/>
            <w:shd w:val="clear" w:color="auto" w:fill="auto"/>
          </w:tcPr>
          <w:p w14:paraId="7E784719" w14:textId="77777777" w:rsidR="00A82082" w:rsidRDefault="00A82082">
            <w:pPr>
              <w:rPr>
                <w:rFonts w:ascii="宋体"/>
                <w:vanish/>
              </w:rPr>
            </w:pPr>
          </w:p>
        </w:tc>
        <w:tc>
          <w:tcPr>
            <w:tcW w:w="0" w:type="auto"/>
            <w:gridSpan w:val="3"/>
            <w:shd w:val="clear" w:color="auto" w:fill="auto"/>
          </w:tcPr>
          <w:p w14:paraId="7E78471A" w14:textId="77777777" w:rsidR="00A82082" w:rsidRDefault="00A82082">
            <w:pPr>
              <w:rPr>
                <w:rFonts w:ascii="宋体"/>
                <w:vanish/>
              </w:rPr>
            </w:pPr>
          </w:p>
        </w:tc>
        <w:tc>
          <w:tcPr>
            <w:tcW w:w="0" w:type="auto"/>
            <w:gridSpan w:val="3"/>
            <w:shd w:val="clear" w:color="auto" w:fill="auto"/>
          </w:tcPr>
          <w:p w14:paraId="7E78471B" w14:textId="77777777" w:rsidR="00A82082" w:rsidRDefault="00A82082">
            <w:pPr>
              <w:rPr>
                <w:rFonts w:ascii="宋体"/>
                <w:vanish/>
              </w:rPr>
            </w:pPr>
          </w:p>
        </w:tc>
        <w:tc>
          <w:tcPr>
            <w:tcW w:w="0" w:type="auto"/>
            <w:gridSpan w:val="3"/>
            <w:shd w:val="clear" w:color="auto" w:fill="auto"/>
          </w:tcPr>
          <w:p w14:paraId="7E78471C" w14:textId="77777777" w:rsidR="00A82082" w:rsidRDefault="00A82082">
            <w:pPr>
              <w:rPr>
                <w:rFonts w:ascii="宋体"/>
                <w:vanish/>
              </w:rPr>
            </w:pPr>
          </w:p>
        </w:tc>
        <w:tc>
          <w:tcPr>
            <w:tcW w:w="0" w:type="auto"/>
            <w:gridSpan w:val="3"/>
            <w:shd w:val="clear" w:color="auto" w:fill="auto"/>
          </w:tcPr>
          <w:p w14:paraId="7E78471D" w14:textId="77777777" w:rsidR="00A82082" w:rsidRDefault="00A82082">
            <w:pPr>
              <w:rPr>
                <w:rFonts w:ascii="宋体"/>
                <w:vanish/>
              </w:rPr>
            </w:pPr>
          </w:p>
        </w:tc>
        <w:tc>
          <w:tcPr>
            <w:tcW w:w="0" w:type="auto"/>
            <w:gridSpan w:val="3"/>
            <w:shd w:val="clear" w:color="auto" w:fill="auto"/>
          </w:tcPr>
          <w:p w14:paraId="7E78471E" w14:textId="77777777" w:rsidR="00A82082" w:rsidRDefault="00A82082">
            <w:pPr>
              <w:rPr>
                <w:rFonts w:ascii="宋体"/>
                <w:vanish/>
              </w:rPr>
            </w:pPr>
          </w:p>
        </w:tc>
        <w:tc>
          <w:tcPr>
            <w:tcW w:w="0" w:type="auto"/>
            <w:gridSpan w:val="3"/>
            <w:shd w:val="clear" w:color="auto" w:fill="auto"/>
          </w:tcPr>
          <w:p w14:paraId="7E78471F" w14:textId="77777777" w:rsidR="00A82082" w:rsidRDefault="00A82082">
            <w:pPr>
              <w:rPr>
                <w:rFonts w:ascii="宋体"/>
                <w:vanish/>
              </w:rPr>
            </w:pPr>
          </w:p>
        </w:tc>
        <w:tc>
          <w:tcPr>
            <w:tcW w:w="0" w:type="auto"/>
            <w:gridSpan w:val="3"/>
            <w:shd w:val="clear" w:color="auto" w:fill="auto"/>
          </w:tcPr>
          <w:p w14:paraId="7E784720" w14:textId="77777777" w:rsidR="00A82082" w:rsidRDefault="00A82082">
            <w:pPr>
              <w:rPr>
                <w:rFonts w:ascii="宋体"/>
                <w:vanish/>
              </w:rPr>
            </w:pPr>
          </w:p>
        </w:tc>
        <w:tc>
          <w:tcPr>
            <w:tcW w:w="0" w:type="auto"/>
            <w:gridSpan w:val="3"/>
            <w:shd w:val="clear" w:color="auto" w:fill="auto"/>
          </w:tcPr>
          <w:p w14:paraId="7E784721" w14:textId="77777777" w:rsidR="00A82082" w:rsidRDefault="00A82082">
            <w:pPr>
              <w:rPr>
                <w:rFonts w:ascii="宋体"/>
                <w:vanish/>
              </w:rPr>
            </w:pPr>
          </w:p>
        </w:tc>
        <w:tc>
          <w:tcPr>
            <w:tcW w:w="0" w:type="auto"/>
            <w:gridSpan w:val="3"/>
            <w:shd w:val="clear" w:color="auto" w:fill="auto"/>
          </w:tcPr>
          <w:p w14:paraId="7E784722" w14:textId="77777777" w:rsidR="00A82082" w:rsidRDefault="00A82082">
            <w:pPr>
              <w:rPr>
                <w:rFonts w:ascii="宋体"/>
                <w:vanish/>
              </w:rPr>
            </w:pPr>
          </w:p>
        </w:tc>
        <w:tc>
          <w:tcPr>
            <w:tcW w:w="0" w:type="auto"/>
            <w:gridSpan w:val="3"/>
            <w:shd w:val="clear" w:color="auto" w:fill="auto"/>
          </w:tcPr>
          <w:p w14:paraId="7E784723" w14:textId="77777777" w:rsidR="00A82082" w:rsidRDefault="00A82082">
            <w:pPr>
              <w:rPr>
                <w:rFonts w:ascii="宋体"/>
                <w:vanish/>
              </w:rPr>
            </w:pPr>
          </w:p>
        </w:tc>
        <w:tc>
          <w:tcPr>
            <w:tcW w:w="0" w:type="auto"/>
            <w:shd w:val="clear" w:color="auto" w:fill="auto"/>
          </w:tcPr>
          <w:p w14:paraId="7E784724" w14:textId="77777777" w:rsidR="00A82082" w:rsidRDefault="00A82082">
            <w:pPr>
              <w:rPr>
                <w:rFonts w:ascii="宋体"/>
                <w:vanish/>
              </w:rPr>
            </w:pPr>
          </w:p>
        </w:tc>
        <w:tc>
          <w:tcPr>
            <w:tcW w:w="0" w:type="auto"/>
            <w:shd w:val="clear" w:color="auto" w:fill="auto"/>
          </w:tcPr>
          <w:p w14:paraId="7E784725" w14:textId="77777777" w:rsidR="00A82082" w:rsidRDefault="00A82082">
            <w:pPr>
              <w:rPr>
                <w:rFonts w:ascii="宋体"/>
                <w:vanish/>
              </w:rPr>
            </w:pPr>
          </w:p>
        </w:tc>
        <w:tc>
          <w:tcPr>
            <w:tcW w:w="0" w:type="auto"/>
            <w:shd w:val="clear" w:color="auto" w:fill="auto"/>
          </w:tcPr>
          <w:p w14:paraId="7E784726" w14:textId="77777777" w:rsidR="00A82082" w:rsidRDefault="00A82082">
            <w:pPr>
              <w:rPr>
                <w:rFonts w:ascii="宋体"/>
                <w:vanish/>
              </w:rPr>
            </w:pPr>
          </w:p>
        </w:tc>
      </w:tr>
      <w:tr w:rsidR="00A82082" w14:paraId="7E78473B" w14:textId="77777777">
        <w:trPr>
          <w:hidden/>
        </w:trPr>
        <w:tc>
          <w:tcPr>
            <w:tcW w:w="0" w:type="auto"/>
            <w:gridSpan w:val="3"/>
            <w:shd w:val="clear" w:color="auto" w:fill="auto"/>
          </w:tcPr>
          <w:p w14:paraId="7E784728" w14:textId="77777777" w:rsidR="00A82082" w:rsidRDefault="00A82082">
            <w:pPr>
              <w:rPr>
                <w:rFonts w:ascii="宋体"/>
                <w:vanish/>
              </w:rPr>
            </w:pPr>
          </w:p>
        </w:tc>
        <w:tc>
          <w:tcPr>
            <w:tcW w:w="0" w:type="auto"/>
            <w:gridSpan w:val="3"/>
            <w:shd w:val="clear" w:color="auto" w:fill="auto"/>
          </w:tcPr>
          <w:p w14:paraId="7E784729" w14:textId="77777777" w:rsidR="00A82082" w:rsidRDefault="00A82082">
            <w:pPr>
              <w:rPr>
                <w:rFonts w:ascii="宋体"/>
                <w:vanish/>
              </w:rPr>
            </w:pPr>
          </w:p>
        </w:tc>
        <w:tc>
          <w:tcPr>
            <w:tcW w:w="0" w:type="auto"/>
            <w:gridSpan w:val="3"/>
            <w:shd w:val="clear" w:color="auto" w:fill="auto"/>
          </w:tcPr>
          <w:p w14:paraId="7E78472A" w14:textId="77777777" w:rsidR="00A82082" w:rsidRDefault="00A82082">
            <w:pPr>
              <w:rPr>
                <w:rFonts w:ascii="宋体"/>
                <w:vanish/>
              </w:rPr>
            </w:pPr>
          </w:p>
        </w:tc>
        <w:tc>
          <w:tcPr>
            <w:tcW w:w="0" w:type="auto"/>
            <w:gridSpan w:val="3"/>
            <w:shd w:val="clear" w:color="auto" w:fill="auto"/>
          </w:tcPr>
          <w:p w14:paraId="7E78472B" w14:textId="77777777" w:rsidR="00A82082" w:rsidRDefault="00A82082">
            <w:pPr>
              <w:rPr>
                <w:rFonts w:ascii="宋体"/>
                <w:vanish/>
              </w:rPr>
            </w:pPr>
          </w:p>
        </w:tc>
        <w:tc>
          <w:tcPr>
            <w:tcW w:w="0" w:type="auto"/>
            <w:gridSpan w:val="3"/>
            <w:shd w:val="clear" w:color="auto" w:fill="auto"/>
          </w:tcPr>
          <w:p w14:paraId="7E78472C" w14:textId="77777777" w:rsidR="00A82082" w:rsidRDefault="00A82082">
            <w:pPr>
              <w:rPr>
                <w:rFonts w:ascii="宋体"/>
                <w:vanish/>
              </w:rPr>
            </w:pPr>
          </w:p>
        </w:tc>
        <w:tc>
          <w:tcPr>
            <w:tcW w:w="0" w:type="auto"/>
            <w:gridSpan w:val="3"/>
            <w:shd w:val="clear" w:color="auto" w:fill="auto"/>
          </w:tcPr>
          <w:p w14:paraId="7E78472D" w14:textId="77777777" w:rsidR="00A82082" w:rsidRDefault="00A82082">
            <w:pPr>
              <w:rPr>
                <w:rFonts w:ascii="宋体"/>
                <w:vanish/>
              </w:rPr>
            </w:pPr>
          </w:p>
        </w:tc>
        <w:tc>
          <w:tcPr>
            <w:tcW w:w="0" w:type="auto"/>
            <w:gridSpan w:val="3"/>
            <w:shd w:val="clear" w:color="auto" w:fill="auto"/>
          </w:tcPr>
          <w:p w14:paraId="7E78472E" w14:textId="77777777" w:rsidR="00A82082" w:rsidRDefault="00A82082">
            <w:pPr>
              <w:rPr>
                <w:rFonts w:ascii="宋体"/>
                <w:vanish/>
              </w:rPr>
            </w:pPr>
          </w:p>
        </w:tc>
        <w:tc>
          <w:tcPr>
            <w:tcW w:w="0" w:type="auto"/>
            <w:gridSpan w:val="3"/>
            <w:shd w:val="clear" w:color="auto" w:fill="auto"/>
          </w:tcPr>
          <w:p w14:paraId="7E78472F" w14:textId="77777777" w:rsidR="00A82082" w:rsidRDefault="00A82082">
            <w:pPr>
              <w:rPr>
                <w:rFonts w:ascii="宋体"/>
                <w:vanish/>
              </w:rPr>
            </w:pPr>
          </w:p>
        </w:tc>
        <w:tc>
          <w:tcPr>
            <w:tcW w:w="0" w:type="auto"/>
            <w:gridSpan w:val="3"/>
            <w:shd w:val="clear" w:color="auto" w:fill="auto"/>
          </w:tcPr>
          <w:p w14:paraId="7E784730" w14:textId="77777777" w:rsidR="00A82082" w:rsidRDefault="00A82082">
            <w:pPr>
              <w:rPr>
                <w:rFonts w:ascii="宋体"/>
                <w:vanish/>
              </w:rPr>
            </w:pPr>
          </w:p>
        </w:tc>
        <w:tc>
          <w:tcPr>
            <w:tcW w:w="0" w:type="auto"/>
            <w:gridSpan w:val="3"/>
            <w:shd w:val="clear" w:color="auto" w:fill="auto"/>
          </w:tcPr>
          <w:p w14:paraId="7E784731" w14:textId="77777777" w:rsidR="00A82082" w:rsidRDefault="00A82082">
            <w:pPr>
              <w:rPr>
                <w:rFonts w:ascii="宋体"/>
                <w:vanish/>
              </w:rPr>
            </w:pPr>
          </w:p>
        </w:tc>
        <w:tc>
          <w:tcPr>
            <w:tcW w:w="0" w:type="auto"/>
            <w:gridSpan w:val="3"/>
            <w:shd w:val="clear" w:color="auto" w:fill="auto"/>
          </w:tcPr>
          <w:p w14:paraId="7E784732" w14:textId="77777777" w:rsidR="00A82082" w:rsidRDefault="00A82082">
            <w:pPr>
              <w:rPr>
                <w:rFonts w:ascii="宋体"/>
                <w:vanish/>
              </w:rPr>
            </w:pPr>
          </w:p>
        </w:tc>
        <w:tc>
          <w:tcPr>
            <w:tcW w:w="0" w:type="auto"/>
            <w:gridSpan w:val="3"/>
            <w:shd w:val="clear" w:color="auto" w:fill="auto"/>
          </w:tcPr>
          <w:p w14:paraId="7E784733" w14:textId="77777777" w:rsidR="00A82082" w:rsidRDefault="00A82082">
            <w:pPr>
              <w:rPr>
                <w:rFonts w:ascii="宋体"/>
                <w:vanish/>
              </w:rPr>
            </w:pPr>
          </w:p>
        </w:tc>
        <w:tc>
          <w:tcPr>
            <w:tcW w:w="0" w:type="auto"/>
            <w:gridSpan w:val="3"/>
            <w:shd w:val="clear" w:color="auto" w:fill="auto"/>
          </w:tcPr>
          <w:p w14:paraId="7E784734" w14:textId="77777777" w:rsidR="00A82082" w:rsidRDefault="00A82082">
            <w:pPr>
              <w:rPr>
                <w:rFonts w:ascii="宋体"/>
                <w:vanish/>
              </w:rPr>
            </w:pPr>
          </w:p>
        </w:tc>
        <w:tc>
          <w:tcPr>
            <w:tcW w:w="0" w:type="auto"/>
            <w:gridSpan w:val="3"/>
            <w:shd w:val="clear" w:color="auto" w:fill="auto"/>
          </w:tcPr>
          <w:p w14:paraId="7E784735" w14:textId="77777777" w:rsidR="00A82082" w:rsidRDefault="00A82082">
            <w:pPr>
              <w:rPr>
                <w:rFonts w:ascii="宋体"/>
                <w:vanish/>
              </w:rPr>
            </w:pPr>
          </w:p>
        </w:tc>
        <w:tc>
          <w:tcPr>
            <w:tcW w:w="0" w:type="auto"/>
            <w:gridSpan w:val="3"/>
            <w:shd w:val="clear" w:color="auto" w:fill="auto"/>
          </w:tcPr>
          <w:p w14:paraId="7E784736" w14:textId="77777777" w:rsidR="00A82082" w:rsidRDefault="00A82082">
            <w:pPr>
              <w:rPr>
                <w:rFonts w:ascii="宋体"/>
                <w:vanish/>
              </w:rPr>
            </w:pPr>
          </w:p>
        </w:tc>
        <w:tc>
          <w:tcPr>
            <w:tcW w:w="0" w:type="auto"/>
            <w:gridSpan w:val="3"/>
            <w:shd w:val="clear" w:color="auto" w:fill="auto"/>
          </w:tcPr>
          <w:p w14:paraId="7E784737" w14:textId="77777777" w:rsidR="00A82082" w:rsidRDefault="00A82082">
            <w:pPr>
              <w:rPr>
                <w:rFonts w:ascii="宋体"/>
                <w:vanish/>
              </w:rPr>
            </w:pPr>
          </w:p>
        </w:tc>
        <w:tc>
          <w:tcPr>
            <w:tcW w:w="0" w:type="auto"/>
            <w:shd w:val="clear" w:color="auto" w:fill="auto"/>
          </w:tcPr>
          <w:p w14:paraId="7E784738" w14:textId="77777777" w:rsidR="00A82082" w:rsidRDefault="00A82082">
            <w:pPr>
              <w:rPr>
                <w:rFonts w:ascii="宋体"/>
                <w:vanish/>
              </w:rPr>
            </w:pPr>
          </w:p>
        </w:tc>
        <w:tc>
          <w:tcPr>
            <w:tcW w:w="0" w:type="auto"/>
            <w:shd w:val="clear" w:color="auto" w:fill="auto"/>
          </w:tcPr>
          <w:p w14:paraId="7E784739" w14:textId="77777777" w:rsidR="00A82082" w:rsidRDefault="00A82082">
            <w:pPr>
              <w:rPr>
                <w:rFonts w:ascii="宋体"/>
                <w:vanish/>
              </w:rPr>
            </w:pPr>
          </w:p>
        </w:tc>
        <w:tc>
          <w:tcPr>
            <w:tcW w:w="0" w:type="auto"/>
            <w:shd w:val="clear" w:color="auto" w:fill="auto"/>
          </w:tcPr>
          <w:p w14:paraId="7E78473A" w14:textId="77777777" w:rsidR="00A82082" w:rsidRDefault="00A82082">
            <w:pPr>
              <w:rPr>
                <w:rFonts w:ascii="宋体"/>
                <w:vanish/>
              </w:rPr>
            </w:pPr>
          </w:p>
        </w:tc>
      </w:tr>
      <w:tr w:rsidR="00A82082" w14:paraId="7E78474F" w14:textId="77777777">
        <w:trPr>
          <w:hidden/>
        </w:trPr>
        <w:tc>
          <w:tcPr>
            <w:tcW w:w="0" w:type="auto"/>
            <w:gridSpan w:val="3"/>
            <w:shd w:val="clear" w:color="auto" w:fill="auto"/>
          </w:tcPr>
          <w:p w14:paraId="7E78473C" w14:textId="77777777" w:rsidR="00A82082" w:rsidRDefault="00A82082">
            <w:pPr>
              <w:rPr>
                <w:rFonts w:ascii="宋体"/>
                <w:vanish/>
              </w:rPr>
            </w:pPr>
          </w:p>
        </w:tc>
        <w:tc>
          <w:tcPr>
            <w:tcW w:w="0" w:type="auto"/>
            <w:gridSpan w:val="3"/>
            <w:shd w:val="clear" w:color="auto" w:fill="auto"/>
          </w:tcPr>
          <w:p w14:paraId="7E78473D" w14:textId="77777777" w:rsidR="00A82082" w:rsidRDefault="00A82082">
            <w:pPr>
              <w:rPr>
                <w:rFonts w:ascii="宋体"/>
                <w:vanish/>
              </w:rPr>
            </w:pPr>
          </w:p>
        </w:tc>
        <w:tc>
          <w:tcPr>
            <w:tcW w:w="0" w:type="auto"/>
            <w:gridSpan w:val="3"/>
            <w:shd w:val="clear" w:color="auto" w:fill="auto"/>
          </w:tcPr>
          <w:p w14:paraId="7E78473E" w14:textId="77777777" w:rsidR="00A82082" w:rsidRDefault="00A82082">
            <w:pPr>
              <w:rPr>
                <w:rFonts w:ascii="宋体"/>
                <w:vanish/>
              </w:rPr>
            </w:pPr>
          </w:p>
        </w:tc>
        <w:tc>
          <w:tcPr>
            <w:tcW w:w="0" w:type="auto"/>
            <w:gridSpan w:val="3"/>
            <w:shd w:val="clear" w:color="auto" w:fill="auto"/>
          </w:tcPr>
          <w:p w14:paraId="7E78473F" w14:textId="77777777" w:rsidR="00A82082" w:rsidRDefault="00A82082">
            <w:pPr>
              <w:rPr>
                <w:rFonts w:ascii="宋体"/>
                <w:vanish/>
              </w:rPr>
            </w:pPr>
          </w:p>
        </w:tc>
        <w:tc>
          <w:tcPr>
            <w:tcW w:w="0" w:type="auto"/>
            <w:gridSpan w:val="3"/>
            <w:shd w:val="clear" w:color="auto" w:fill="auto"/>
          </w:tcPr>
          <w:p w14:paraId="7E784740" w14:textId="77777777" w:rsidR="00A82082" w:rsidRDefault="00A82082">
            <w:pPr>
              <w:rPr>
                <w:rFonts w:ascii="宋体"/>
                <w:vanish/>
              </w:rPr>
            </w:pPr>
          </w:p>
        </w:tc>
        <w:tc>
          <w:tcPr>
            <w:tcW w:w="0" w:type="auto"/>
            <w:gridSpan w:val="3"/>
            <w:shd w:val="clear" w:color="auto" w:fill="auto"/>
          </w:tcPr>
          <w:p w14:paraId="7E784741" w14:textId="77777777" w:rsidR="00A82082" w:rsidRDefault="00A82082">
            <w:pPr>
              <w:rPr>
                <w:rFonts w:ascii="宋体"/>
                <w:vanish/>
              </w:rPr>
            </w:pPr>
          </w:p>
        </w:tc>
        <w:tc>
          <w:tcPr>
            <w:tcW w:w="0" w:type="auto"/>
            <w:gridSpan w:val="3"/>
            <w:shd w:val="clear" w:color="auto" w:fill="auto"/>
          </w:tcPr>
          <w:p w14:paraId="7E784742" w14:textId="77777777" w:rsidR="00A82082" w:rsidRDefault="00A82082">
            <w:pPr>
              <w:rPr>
                <w:rFonts w:ascii="宋体"/>
                <w:vanish/>
              </w:rPr>
            </w:pPr>
          </w:p>
        </w:tc>
        <w:tc>
          <w:tcPr>
            <w:tcW w:w="0" w:type="auto"/>
            <w:gridSpan w:val="3"/>
            <w:shd w:val="clear" w:color="auto" w:fill="auto"/>
          </w:tcPr>
          <w:p w14:paraId="7E784743" w14:textId="77777777" w:rsidR="00A82082" w:rsidRDefault="00A82082">
            <w:pPr>
              <w:rPr>
                <w:rFonts w:ascii="宋体"/>
                <w:vanish/>
              </w:rPr>
            </w:pPr>
          </w:p>
        </w:tc>
        <w:tc>
          <w:tcPr>
            <w:tcW w:w="0" w:type="auto"/>
            <w:gridSpan w:val="3"/>
            <w:shd w:val="clear" w:color="auto" w:fill="auto"/>
          </w:tcPr>
          <w:p w14:paraId="7E784744" w14:textId="77777777" w:rsidR="00A82082" w:rsidRDefault="00A82082">
            <w:pPr>
              <w:rPr>
                <w:rFonts w:ascii="宋体"/>
                <w:vanish/>
              </w:rPr>
            </w:pPr>
          </w:p>
        </w:tc>
        <w:tc>
          <w:tcPr>
            <w:tcW w:w="0" w:type="auto"/>
            <w:gridSpan w:val="3"/>
            <w:shd w:val="clear" w:color="auto" w:fill="auto"/>
          </w:tcPr>
          <w:p w14:paraId="7E784745" w14:textId="77777777" w:rsidR="00A82082" w:rsidRDefault="00A82082">
            <w:pPr>
              <w:rPr>
                <w:rFonts w:ascii="宋体"/>
                <w:vanish/>
              </w:rPr>
            </w:pPr>
          </w:p>
        </w:tc>
        <w:tc>
          <w:tcPr>
            <w:tcW w:w="0" w:type="auto"/>
            <w:gridSpan w:val="3"/>
            <w:shd w:val="clear" w:color="auto" w:fill="auto"/>
          </w:tcPr>
          <w:p w14:paraId="7E784746" w14:textId="77777777" w:rsidR="00A82082" w:rsidRDefault="00A82082">
            <w:pPr>
              <w:rPr>
                <w:rFonts w:ascii="宋体"/>
                <w:vanish/>
              </w:rPr>
            </w:pPr>
          </w:p>
        </w:tc>
        <w:tc>
          <w:tcPr>
            <w:tcW w:w="0" w:type="auto"/>
            <w:gridSpan w:val="3"/>
            <w:shd w:val="clear" w:color="auto" w:fill="auto"/>
          </w:tcPr>
          <w:p w14:paraId="7E784747" w14:textId="77777777" w:rsidR="00A82082" w:rsidRDefault="00A82082">
            <w:pPr>
              <w:rPr>
                <w:rFonts w:ascii="宋体"/>
                <w:vanish/>
              </w:rPr>
            </w:pPr>
          </w:p>
        </w:tc>
        <w:tc>
          <w:tcPr>
            <w:tcW w:w="0" w:type="auto"/>
            <w:gridSpan w:val="3"/>
            <w:shd w:val="clear" w:color="auto" w:fill="auto"/>
          </w:tcPr>
          <w:p w14:paraId="7E784748" w14:textId="77777777" w:rsidR="00A82082" w:rsidRDefault="00A82082">
            <w:pPr>
              <w:rPr>
                <w:rFonts w:ascii="宋体"/>
                <w:vanish/>
              </w:rPr>
            </w:pPr>
          </w:p>
        </w:tc>
        <w:tc>
          <w:tcPr>
            <w:tcW w:w="0" w:type="auto"/>
            <w:gridSpan w:val="3"/>
            <w:shd w:val="clear" w:color="auto" w:fill="auto"/>
          </w:tcPr>
          <w:p w14:paraId="7E784749" w14:textId="77777777" w:rsidR="00A82082" w:rsidRDefault="00A82082">
            <w:pPr>
              <w:rPr>
                <w:rFonts w:ascii="宋体"/>
                <w:vanish/>
              </w:rPr>
            </w:pPr>
          </w:p>
        </w:tc>
        <w:tc>
          <w:tcPr>
            <w:tcW w:w="0" w:type="auto"/>
            <w:gridSpan w:val="3"/>
            <w:shd w:val="clear" w:color="auto" w:fill="auto"/>
          </w:tcPr>
          <w:p w14:paraId="7E78474A" w14:textId="77777777" w:rsidR="00A82082" w:rsidRDefault="00A82082">
            <w:pPr>
              <w:rPr>
                <w:rFonts w:ascii="宋体"/>
                <w:vanish/>
              </w:rPr>
            </w:pPr>
          </w:p>
        </w:tc>
        <w:tc>
          <w:tcPr>
            <w:tcW w:w="0" w:type="auto"/>
            <w:gridSpan w:val="3"/>
            <w:shd w:val="clear" w:color="auto" w:fill="auto"/>
          </w:tcPr>
          <w:p w14:paraId="7E78474B" w14:textId="77777777" w:rsidR="00A82082" w:rsidRDefault="00A82082">
            <w:pPr>
              <w:rPr>
                <w:rFonts w:ascii="宋体"/>
                <w:vanish/>
              </w:rPr>
            </w:pPr>
          </w:p>
        </w:tc>
        <w:tc>
          <w:tcPr>
            <w:tcW w:w="0" w:type="auto"/>
            <w:shd w:val="clear" w:color="auto" w:fill="auto"/>
          </w:tcPr>
          <w:p w14:paraId="7E78474C" w14:textId="77777777" w:rsidR="00A82082" w:rsidRDefault="00A82082">
            <w:pPr>
              <w:rPr>
                <w:rFonts w:ascii="宋体"/>
                <w:vanish/>
              </w:rPr>
            </w:pPr>
          </w:p>
        </w:tc>
        <w:tc>
          <w:tcPr>
            <w:tcW w:w="0" w:type="auto"/>
            <w:shd w:val="clear" w:color="auto" w:fill="auto"/>
          </w:tcPr>
          <w:p w14:paraId="7E78474D" w14:textId="77777777" w:rsidR="00A82082" w:rsidRDefault="00A82082">
            <w:pPr>
              <w:rPr>
                <w:rFonts w:ascii="宋体"/>
                <w:vanish/>
              </w:rPr>
            </w:pPr>
          </w:p>
        </w:tc>
        <w:tc>
          <w:tcPr>
            <w:tcW w:w="0" w:type="auto"/>
            <w:shd w:val="clear" w:color="auto" w:fill="auto"/>
          </w:tcPr>
          <w:p w14:paraId="7E78474E" w14:textId="77777777" w:rsidR="00A82082" w:rsidRDefault="00A82082">
            <w:pPr>
              <w:rPr>
                <w:rFonts w:ascii="宋体"/>
                <w:vanish/>
              </w:rPr>
            </w:pPr>
          </w:p>
        </w:tc>
      </w:tr>
      <w:tr w:rsidR="00A82082" w14:paraId="7E784763" w14:textId="77777777">
        <w:trPr>
          <w:hidden/>
        </w:trPr>
        <w:tc>
          <w:tcPr>
            <w:tcW w:w="0" w:type="auto"/>
            <w:gridSpan w:val="3"/>
            <w:shd w:val="clear" w:color="auto" w:fill="auto"/>
          </w:tcPr>
          <w:p w14:paraId="7E784750" w14:textId="77777777" w:rsidR="00A82082" w:rsidRDefault="00A82082">
            <w:pPr>
              <w:rPr>
                <w:rFonts w:ascii="宋体"/>
                <w:vanish/>
              </w:rPr>
            </w:pPr>
          </w:p>
        </w:tc>
        <w:tc>
          <w:tcPr>
            <w:tcW w:w="0" w:type="auto"/>
            <w:gridSpan w:val="3"/>
            <w:shd w:val="clear" w:color="auto" w:fill="auto"/>
          </w:tcPr>
          <w:p w14:paraId="7E784751" w14:textId="77777777" w:rsidR="00A82082" w:rsidRDefault="00A82082">
            <w:pPr>
              <w:rPr>
                <w:rFonts w:ascii="宋体"/>
                <w:vanish/>
              </w:rPr>
            </w:pPr>
          </w:p>
        </w:tc>
        <w:tc>
          <w:tcPr>
            <w:tcW w:w="0" w:type="auto"/>
            <w:gridSpan w:val="3"/>
            <w:shd w:val="clear" w:color="auto" w:fill="auto"/>
          </w:tcPr>
          <w:p w14:paraId="7E784752" w14:textId="77777777" w:rsidR="00A82082" w:rsidRDefault="00A82082">
            <w:pPr>
              <w:rPr>
                <w:rFonts w:ascii="宋体"/>
                <w:vanish/>
              </w:rPr>
            </w:pPr>
          </w:p>
        </w:tc>
        <w:tc>
          <w:tcPr>
            <w:tcW w:w="0" w:type="auto"/>
            <w:gridSpan w:val="3"/>
            <w:shd w:val="clear" w:color="auto" w:fill="auto"/>
          </w:tcPr>
          <w:p w14:paraId="7E784753" w14:textId="77777777" w:rsidR="00A82082" w:rsidRDefault="00A82082">
            <w:pPr>
              <w:rPr>
                <w:rFonts w:ascii="宋体"/>
                <w:vanish/>
              </w:rPr>
            </w:pPr>
          </w:p>
        </w:tc>
        <w:tc>
          <w:tcPr>
            <w:tcW w:w="0" w:type="auto"/>
            <w:gridSpan w:val="3"/>
            <w:shd w:val="clear" w:color="auto" w:fill="auto"/>
          </w:tcPr>
          <w:p w14:paraId="7E784754" w14:textId="77777777" w:rsidR="00A82082" w:rsidRDefault="00A82082">
            <w:pPr>
              <w:rPr>
                <w:rFonts w:ascii="宋体"/>
                <w:vanish/>
              </w:rPr>
            </w:pPr>
          </w:p>
        </w:tc>
        <w:tc>
          <w:tcPr>
            <w:tcW w:w="0" w:type="auto"/>
            <w:gridSpan w:val="3"/>
            <w:shd w:val="clear" w:color="auto" w:fill="auto"/>
          </w:tcPr>
          <w:p w14:paraId="7E784755" w14:textId="77777777" w:rsidR="00A82082" w:rsidRDefault="00A82082">
            <w:pPr>
              <w:rPr>
                <w:rFonts w:ascii="宋体"/>
                <w:vanish/>
              </w:rPr>
            </w:pPr>
          </w:p>
        </w:tc>
        <w:tc>
          <w:tcPr>
            <w:tcW w:w="0" w:type="auto"/>
            <w:gridSpan w:val="3"/>
            <w:shd w:val="clear" w:color="auto" w:fill="auto"/>
          </w:tcPr>
          <w:p w14:paraId="7E784756" w14:textId="77777777" w:rsidR="00A82082" w:rsidRDefault="00A82082">
            <w:pPr>
              <w:rPr>
                <w:rFonts w:ascii="宋体"/>
                <w:vanish/>
              </w:rPr>
            </w:pPr>
          </w:p>
        </w:tc>
        <w:tc>
          <w:tcPr>
            <w:tcW w:w="0" w:type="auto"/>
            <w:gridSpan w:val="3"/>
            <w:shd w:val="clear" w:color="auto" w:fill="auto"/>
          </w:tcPr>
          <w:p w14:paraId="7E784757" w14:textId="77777777" w:rsidR="00A82082" w:rsidRDefault="00A82082">
            <w:pPr>
              <w:rPr>
                <w:rFonts w:ascii="宋体"/>
                <w:vanish/>
              </w:rPr>
            </w:pPr>
          </w:p>
        </w:tc>
        <w:tc>
          <w:tcPr>
            <w:tcW w:w="0" w:type="auto"/>
            <w:gridSpan w:val="3"/>
            <w:shd w:val="clear" w:color="auto" w:fill="auto"/>
          </w:tcPr>
          <w:p w14:paraId="7E784758" w14:textId="77777777" w:rsidR="00A82082" w:rsidRDefault="00A82082">
            <w:pPr>
              <w:rPr>
                <w:rFonts w:ascii="宋体"/>
                <w:vanish/>
              </w:rPr>
            </w:pPr>
          </w:p>
        </w:tc>
        <w:tc>
          <w:tcPr>
            <w:tcW w:w="0" w:type="auto"/>
            <w:gridSpan w:val="3"/>
            <w:shd w:val="clear" w:color="auto" w:fill="auto"/>
          </w:tcPr>
          <w:p w14:paraId="7E784759" w14:textId="77777777" w:rsidR="00A82082" w:rsidRDefault="00A82082">
            <w:pPr>
              <w:rPr>
                <w:rFonts w:ascii="宋体"/>
                <w:vanish/>
              </w:rPr>
            </w:pPr>
          </w:p>
        </w:tc>
        <w:tc>
          <w:tcPr>
            <w:tcW w:w="0" w:type="auto"/>
            <w:gridSpan w:val="3"/>
            <w:shd w:val="clear" w:color="auto" w:fill="auto"/>
          </w:tcPr>
          <w:p w14:paraId="7E78475A" w14:textId="77777777" w:rsidR="00A82082" w:rsidRDefault="00A82082">
            <w:pPr>
              <w:rPr>
                <w:rFonts w:ascii="宋体"/>
                <w:vanish/>
              </w:rPr>
            </w:pPr>
          </w:p>
        </w:tc>
        <w:tc>
          <w:tcPr>
            <w:tcW w:w="0" w:type="auto"/>
            <w:gridSpan w:val="3"/>
            <w:shd w:val="clear" w:color="auto" w:fill="auto"/>
          </w:tcPr>
          <w:p w14:paraId="7E78475B" w14:textId="77777777" w:rsidR="00A82082" w:rsidRDefault="00A82082">
            <w:pPr>
              <w:rPr>
                <w:rFonts w:ascii="宋体"/>
                <w:vanish/>
              </w:rPr>
            </w:pPr>
          </w:p>
        </w:tc>
        <w:tc>
          <w:tcPr>
            <w:tcW w:w="0" w:type="auto"/>
            <w:gridSpan w:val="3"/>
            <w:shd w:val="clear" w:color="auto" w:fill="auto"/>
          </w:tcPr>
          <w:p w14:paraId="7E78475C" w14:textId="77777777" w:rsidR="00A82082" w:rsidRDefault="00A82082">
            <w:pPr>
              <w:rPr>
                <w:rFonts w:ascii="宋体"/>
                <w:vanish/>
              </w:rPr>
            </w:pPr>
          </w:p>
        </w:tc>
        <w:tc>
          <w:tcPr>
            <w:tcW w:w="0" w:type="auto"/>
            <w:gridSpan w:val="3"/>
            <w:shd w:val="clear" w:color="auto" w:fill="auto"/>
          </w:tcPr>
          <w:p w14:paraId="7E78475D" w14:textId="77777777" w:rsidR="00A82082" w:rsidRDefault="00A82082">
            <w:pPr>
              <w:rPr>
                <w:rFonts w:ascii="宋体"/>
                <w:vanish/>
              </w:rPr>
            </w:pPr>
          </w:p>
        </w:tc>
        <w:tc>
          <w:tcPr>
            <w:tcW w:w="0" w:type="auto"/>
            <w:gridSpan w:val="3"/>
            <w:shd w:val="clear" w:color="auto" w:fill="auto"/>
          </w:tcPr>
          <w:p w14:paraId="7E78475E" w14:textId="77777777" w:rsidR="00A82082" w:rsidRDefault="00A82082">
            <w:pPr>
              <w:rPr>
                <w:rFonts w:ascii="宋体"/>
                <w:vanish/>
              </w:rPr>
            </w:pPr>
          </w:p>
        </w:tc>
        <w:tc>
          <w:tcPr>
            <w:tcW w:w="0" w:type="auto"/>
            <w:gridSpan w:val="3"/>
            <w:shd w:val="clear" w:color="auto" w:fill="auto"/>
          </w:tcPr>
          <w:p w14:paraId="7E78475F" w14:textId="77777777" w:rsidR="00A82082" w:rsidRDefault="00A82082">
            <w:pPr>
              <w:rPr>
                <w:rFonts w:ascii="宋体"/>
                <w:vanish/>
              </w:rPr>
            </w:pPr>
          </w:p>
        </w:tc>
        <w:tc>
          <w:tcPr>
            <w:tcW w:w="0" w:type="auto"/>
            <w:shd w:val="clear" w:color="auto" w:fill="auto"/>
          </w:tcPr>
          <w:p w14:paraId="7E784760" w14:textId="77777777" w:rsidR="00A82082" w:rsidRDefault="00A82082">
            <w:pPr>
              <w:rPr>
                <w:rFonts w:ascii="宋体"/>
                <w:vanish/>
              </w:rPr>
            </w:pPr>
          </w:p>
        </w:tc>
        <w:tc>
          <w:tcPr>
            <w:tcW w:w="0" w:type="auto"/>
            <w:shd w:val="clear" w:color="auto" w:fill="auto"/>
          </w:tcPr>
          <w:p w14:paraId="7E784761" w14:textId="77777777" w:rsidR="00A82082" w:rsidRDefault="00A82082">
            <w:pPr>
              <w:rPr>
                <w:rFonts w:ascii="宋体"/>
                <w:vanish/>
              </w:rPr>
            </w:pPr>
          </w:p>
        </w:tc>
        <w:tc>
          <w:tcPr>
            <w:tcW w:w="0" w:type="auto"/>
            <w:shd w:val="clear" w:color="auto" w:fill="auto"/>
          </w:tcPr>
          <w:p w14:paraId="7E784762" w14:textId="77777777" w:rsidR="00A82082" w:rsidRDefault="00A82082">
            <w:pPr>
              <w:rPr>
                <w:rFonts w:ascii="宋体"/>
                <w:vanish/>
              </w:rPr>
            </w:pPr>
          </w:p>
        </w:tc>
      </w:tr>
      <w:tr w:rsidR="00A82082" w14:paraId="7E784777" w14:textId="77777777">
        <w:trPr>
          <w:hidden/>
        </w:trPr>
        <w:tc>
          <w:tcPr>
            <w:tcW w:w="0" w:type="auto"/>
            <w:gridSpan w:val="3"/>
            <w:shd w:val="clear" w:color="auto" w:fill="auto"/>
          </w:tcPr>
          <w:p w14:paraId="7E784764" w14:textId="77777777" w:rsidR="00A82082" w:rsidRDefault="00A82082">
            <w:pPr>
              <w:rPr>
                <w:rFonts w:ascii="宋体"/>
                <w:vanish/>
              </w:rPr>
            </w:pPr>
          </w:p>
        </w:tc>
        <w:tc>
          <w:tcPr>
            <w:tcW w:w="0" w:type="auto"/>
            <w:gridSpan w:val="3"/>
            <w:shd w:val="clear" w:color="auto" w:fill="auto"/>
          </w:tcPr>
          <w:p w14:paraId="7E784765" w14:textId="77777777" w:rsidR="00A82082" w:rsidRDefault="00A82082">
            <w:pPr>
              <w:rPr>
                <w:rFonts w:ascii="宋体"/>
                <w:vanish/>
              </w:rPr>
            </w:pPr>
          </w:p>
        </w:tc>
        <w:tc>
          <w:tcPr>
            <w:tcW w:w="0" w:type="auto"/>
            <w:gridSpan w:val="3"/>
            <w:shd w:val="clear" w:color="auto" w:fill="auto"/>
          </w:tcPr>
          <w:p w14:paraId="7E784766" w14:textId="77777777" w:rsidR="00A82082" w:rsidRDefault="00A82082">
            <w:pPr>
              <w:rPr>
                <w:rFonts w:ascii="宋体"/>
                <w:vanish/>
              </w:rPr>
            </w:pPr>
          </w:p>
        </w:tc>
        <w:tc>
          <w:tcPr>
            <w:tcW w:w="0" w:type="auto"/>
            <w:gridSpan w:val="3"/>
            <w:shd w:val="clear" w:color="auto" w:fill="auto"/>
          </w:tcPr>
          <w:p w14:paraId="7E784767" w14:textId="77777777" w:rsidR="00A82082" w:rsidRDefault="00A82082">
            <w:pPr>
              <w:rPr>
                <w:rFonts w:ascii="宋体"/>
                <w:vanish/>
              </w:rPr>
            </w:pPr>
          </w:p>
        </w:tc>
        <w:tc>
          <w:tcPr>
            <w:tcW w:w="0" w:type="auto"/>
            <w:gridSpan w:val="3"/>
            <w:shd w:val="clear" w:color="auto" w:fill="auto"/>
          </w:tcPr>
          <w:p w14:paraId="7E784768" w14:textId="77777777" w:rsidR="00A82082" w:rsidRDefault="00A82082">
            <w:pPr>
              <w:rPr>
                <w:rFonts w:ascii="宋体"/>
                <w:vanish/>
              </w:rPr>
            </w:pPr>
          </w:p>
        </w:tc>
        <w:tc>
          <w:tcPr>
            <w:tcW w:w="0" w:type="auto"/>
            <w:gridSpan w:val="3"/>
            <w:shd w:val="clear" w:color="auto" w:fill="auto"/>
          </w:tcPr>
          <w:p w14:paraId="7E784769" w14:textId="77777777" w:rsidR="00A82082" w:rsidRDefault="00A82082">
            <w:pPr>
              <w:rPr>
                <w:rFonts w:ascii="宋体"/>
                <w:vanish/>
              </w:rPr>
            </w:pPr>
          </w:p>
        </w:tc>
        <w:tc>
          <w:tcPr>
            <w:tcW w:w="0" w:type="auto"/>
            <w:gridSpan w:val="3"/>
            <w:shd w:val="clear" w:color="auto" w:fill="auto"/>
          </w:tcPr>
          <w:p w14:paraId="7E78476A" w14:textId="77777777" w:rsidR="00A82082" w:rsidRDefault="00A82082">
            <w:pPr>
              <w:rPr>
                <w:rFonts w:ascii="宋体"/>
                <w:vanish/>
              </w:rPr>
            </w:pPr>
          </w:p>
        </w:tc>
        <w:tc>
          <w:tcPr>
            <w:tcW w:w="0" w:type="auto"/>
            <w:gridSpan w:val="3"/>
            <w:shd w:val="clear" w:color="auto" w:fill="auto"/>
          </w:tcPr>
          <w:p w14:paraId="7E78476B" w14:textId="77777777" w:rsidR="00A82082" w:rsidRDefault="00A82082">
            <w:pPr>
              <w:rPr>
                <w:rFonts w:ascii="宋体"/>
                <w:vanish/>
              </w:rPr>
            </w:pPr>
          </w:p>
        </w:tc>
        <w:tc>
          <w:tcPr>
            <w:tcW w:w="0" w:type="auto"/>
            <w:gridSpan w:val="3"/>
            <w:shd w:val="clear" w:color="auto" w:fill="auto"/>
          </w:tcPr>
          <w:p w14:paraId="7E78476C" w14:textId="77777777" w:rsidR="00A82082" w:rsidRDefault="00A82082">
            <w:pPr>
              <w:rPr>
                <w:rFonts w:ascii="宋体"/>
                <w:vanish/>
              </w:rPr>
            </w:pPr>
          </w:p>
        </w:tc>
        <w:tc>
          <w:tcPr>
            <w:tcW w:w="0" w:type="auto"/>
            <w:gridSpan w:val="3"/>
            <w:shd w:val="clear" w:color="auto" w:fill="auto"/>
          </w:tcPr>
          <w:p w14:paraId="7E78476D" w14:textId="77777777" w:rsidR="00A82082" w:rsidRDefault="00A82082">
            <w:pPr>
              <w:rPr>
                <w:rFonts w:ascii="宋体"/>
                <w:vanish/>
              </w:rPr>
            </w:pPr>
          </w:p>
        </w:tc>
        <w:tc>
          <w:tcPr>
            <w:tcW w:w="0" w:type="auto"/>
            <w:gridSpan w:val="3"/>
            <w:shd w:val="clear" w:color="auto" w:fill="auto"/>
          </w:tcPr>
          <w:p w14:paraId="7E78476E" w14:textId="77777777" w:rsidR="00A82082" w:rsidRDefault="00A82082">
            <w:pPr>
              <w:rPr>
                <w:rFonts w:ascii="宋体"/>
                <w:vanish/>
              </w:rPr>
            </w:pPr>
          </w:p>
        </w:tc>
        <w:tc>
          <w:tcPr>
            <w:tcW w:w="0" w:type="auto"/>
            <w:gridSpan w:val="3"/>
            <w:shd w:val="clear" w:color="auto" w:fill="auto"/>
          </w:tcPr>
          <w:p w14:paraId="7E78476F" w14:textId="77777777" w:rsidR="00A82082" w:rsidRDefault="00A82082">
            <w:pPr>
              <w:rPr>
                <w:rFonts w:ascii="宋体"/>
                <w:vanish/>
              </w:rPr>
            </w:pPr>
          </w:p>
        </w:tc>
        <w:tc>
          <w:tcPr>
            <w:tcW w:w="0" w:type="auto"/>
            <w:gridSpan w:val="3"/>
            <w:shd w:val="clear" w:color="auto" w:fill="auto"/>
          </w:tcPr>
          <w:p w14:paraId="7E784770" w14:textId="77777777" w:rsidR="00A82082" w:rsidRDefault="00A82082">
            <w:pPr>
              <w:rPr>
                <w:rFonts w:ascii="宋体"/>
                <w:vanish/>
              </w:rPr>
            </w:pPr>
          </w:p>
        </w:tc>
        <w:tc>
          <w:tcPr>
            <w:tcW w:w="0" w:type="auto"/>
            <w:gridSpan w:val="3"/>
            <w:shd w:val="clear" w:color="auto" w:fill="auto"/>
          </w:tcPr>
          <w:p w14:paraId="7E784771" w14:textId="77777777" w:rsidR="00A82082" w:rsidRDefault="00A82082">
            <w:pPr>
              <w:rPr>
                <w:rFonts w:ascii="宋体"/>
                <w:vanish/>
              </w:rPr>
            </w:pPr>
          </w:p>
        </w:tc>
        <w:tc>
          <w:tcPr>
            <w:tcW w:w="0" w:type="auto"/>
            <w:gridSpan w:val="3"/>
            <w:shd w:val="clear" w:color="auto" w:fill="auto"/>
          </w:tcPr>
          <w:p w14:paraId="7E784772" w14:textId="77777777" w:rsidR="00A82082" w:rsidRDefault="00A82082">
            <w:pPr>
              <w:rPr>
                <w:rFonts w:ascii="宋体"/>
                <w:vanish/>
              </w:rPr>
            </w:pPr>
          </w:p>
        </w:tc>
        <w:tc>
          <w:tcPr>
            <w:tcW w:w="0" w:type="auto"/>
            <w:gridSpan w:val="3"/>
            <w:shd w:val="clear" w:color="auto" w:fill="auto"/>
          </w:tcPr>
          <w:p w14:paraId="7E784773" w14:textId="77777777" w:rsidR="00A82082" w:rsidRDefault="00A82082">
            <w:pPr>
              <w:rPr>
                <w:rFonts w:ascii="宋体"/>
                <w:vanish/>
              </w:rPr>
            </w:pPr>
          </w:p>
        </w:tc>
        <w:tc>
          <w:tcPr>
            <w:tcW w:w="0" w:type="auto"/>
            <w:shd w:val="clear" w:color="auto" w:fill="auto"/>
          </w:tcPr>
          <w:p w14:paraId="7E784774" w14:textId="77777777" w:rsidR="00A82082" w:rsidRDefault="00A82082">
            <w:pPr>
              <w:rPr>
                <w:rFonts w:ascii="宋体"/>
                <w:vanish/>
              </w:rPr>
            </w:pPr>
          </w:p>
        </w:tc>
        <w:tc>
          <w:tcPr>
            <w:tcW w:w="0" w:type="auto"/>
            <w:shd w:val="clear" w:color="auto" w:fill="auto"/>
          </w:tcPr>
          <w:p w14:paraId="7E784775" w14:textId="77777777" w:rsidR="00A82082" w:rsidRDefault="00A82082">
            <w:pPr>
              <w:rPr>
                <w:rFonts w:ascii="宋体"/>
                <w:vanish/>
              </w:rPr>
            </w:pPr>
          </w:p>
        </w:tc>
        <w:tc>
          <w:tcPr>
            <w:tcW w:w="0" w:type="auto"/>
            <w:shd w:val="clear" w:color="auto" w:fill="auto"/>
          </w:tcPr>
          <w:p w14:paraId="7E784776" w14:textId="77777777" w:rsidR="00A82082" w:rsidRDefault="00A82082">
            <w:pPr>
              <w:rPr>
                <w:rFonts w:ascii="宋体"/>
                <w:vanish/>
              </w:rPr>
            </w:pPr>
          </w:p>
        </w:tc>
      </w:tr>
      <w:tr w:rsidR="00E946F9" w14:paraId="7E78479A" w14:textId="77777777">
        <w:tc>
          <w:tcPr>
            <w:tcW w:w="0" w:type="auto"/>
            <w:gridSpan w:val="3"/>
            <w:shd w:val="clear" w:color="auto" w:fill="CCEEFF"/>
            <w:tcMar>
              <w:top w:w="40" w:type="dxa"/>
              <w:left w:w="20" w:type="dxa"/>
              <w:bottom w:w="40" w:type="dxa"/>
              <w:right w:w="20" w:type="dxa"/>
            </w:tcMar>
            <w:vAlign w:val="center"/>
          </w:tcPr>
          <w:p w14:paraId="7E784778" w14:textId="77777777" w:rsidR="00A82082" w:rsidRDefault="00E946F9">
            <w:pPr>
              <w:textAlignment w:val="center"/>
            </w:pPr>
            <w:r>
              <w:rPr>
                <w:rFonts w:ascii="Times New Roman" w:eastAsia="宋体" w:hAnsi="Times New Roman"/>
                <w:b/>
                <w:bCs/>
                <w:color w:val="000000"/>
                <w:sz w:val="16"/>
                <w:szCs w:val="16"/>
              </w:rPr>
              <w:t>Balances as of October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79" w14:textId="77777777" w:rsidR="00A82082" w:rsidRDefault="00E946F9">
            <w:pPr>
              <w:jc w:val="right"/>
              <w:textAlignment w:val="center"/>
            </w:pPr>
            <w:r>
              <w:rPr>
                <w:rFonts w:ascii="Times New Roman" w:eastAsia="宋体" w:hAnsi="Times New Roman"/>
                <w:color w:val="000000"/>
                <w:sz w:val="16"/>
                <w:szCs w:val="16"/>
              </w:rPr>
              <w:t>2,831 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7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7B"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7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7D" w14:textId="77777777" w:rsidR="00A82082" w:rsidRDefault="00E946F9">
            <w:pPr>
              <w:jc w:val="right"/>
              <w:textAlignment w:val="center"/>
            </w:pPr>
            <w:r>
              <w:rPr>
                <w:rFonts w:ascii="Times New Roman" w:eastAsia="宋体" w:hAnsi="Times New Roman"/>
                <w:color w:val="000000"/>
                <w:sz w:val="16"/>
                <w:szCs w:val="16"/>
              </w:rPr>
              <w:t>283 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7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7F"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8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81" w14:textId="77777777" w:rsidR="00A82082" w:rsidRDefault="00E946F9">
            <w:pPr>
              <w:jc w:val="right"/>
              <w:textAlignment w:val="center"/>
            </w:pPr>
            <w:r>
              <w:rPr>
                <w:rFonts w:ascii="Times New Roman" w:eastAsia="宋体" w:hAnsi="Times New Roman"/>
                <w:color w:val="000000"/>
                <w:sz w:val="16"/>
                <w:szCs w:val="16"/>
              </w:rPr>
              <w:t>3,485 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8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83"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8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85" w14:textId="77777777" w:rsidR="00A82082" w:rsidRDefault="00E946F9">
            <w:pPr>
              <w:jc w:val="right"/>
              <w:textAlignment w:val="center"/>
            </w:pPr>
            <w:r>
              <w:rPr>
                <w:rFonts w:ascii="Times New Roman" w:eastAsia="宋体" w:hAnsi="Times New Roman"/>
                <w:color w:val="000000"/>
                <w:sz w:val="16"/>
                <w:szCs w:val="16"/>
              </w:rPr>
              <w:t>92,279 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8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87"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8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89" w14:textId="77777777" w:rsidR="00A82082" w:rsidRDefault="00E946F9">
            <w:pPr>
              <w:jc w:val="right"/>
              <w:textAlignment w:val="center"/>
            </w:pPr>
            <w:r>
              <w:rPr>
                <w:rFonts w:ascii="Times New Roman" w:eastAsia="宋体" w:hAnsi="Times New Roman"/>
                <w:color w:val="000000"/>
                <w:sz w:val="16"/>
                <w:szCs w:val="16"/>
              </w:rPr>
              <w:t>(14,616)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8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8B"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8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8D" w14:textId="77777777" w:rsidR="00A82082" w:rsidRDefault="00E946F9">
            <w:pPr>
              <w:jc w:val="right"/>
              <w:textAlignment w:val="center"/>
            </w:pPr>
            <w:r>
              <w:rPr>
                <w:rFonts w:ascii="Times New Roman" w:eastAsia="宋体" w:hAnsi="Times New Roman"/>
                <w:color w:val="000000"/>
                <w:sz w:val="16"/>
                <w:szCs w:val="16"/>
              </w:rPr>
              <w:t>81,431 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8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8F"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9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91" w14:textId="77777777" w:rsidR="00A82082" w:rsidRDefault="00E946F9">
            <w:pPr>
              <w:jc w:val="right"/>
              <w:textAlignment w:val="center"/>
            </w:pPr>
            <w:r>
              <w:rPr>
                <w:rFonts w:ascii="Times New Roman" w:eastAsia="宋体" w:hAnsi="Times New Roman"/>
                <w:color w:val="000000"/>
                <w:sz w:val="16"/>
                <w:szCs w:val="16"/>
              </w:rPr>
              <w:t>6,073 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9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793"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79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795" w14:textId="77777777" w:rsidR="00A82082" w:rsidRDefault="00E946F9">
            <w:pPr>
              <w:jc w:val="right"/>
              <w:textAlignment w:val="center"/>
            </w:pPr>
            <w:r>
              <w:rPr>
                <w:rFonts w:ascii="Times New Roman" w:eastAsia="宋体" w:hAnsi="Times New Roman"/>
                <w:color w:val="000000"/>
                <w:sz w:val="16"/>
                <w:szCs w:val="16"/>
              </w:rPr>
              <w:t>87,504 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796" w14:textId="77777777" w:rsidR="00A82082" w:rsidRDefault="00A82082">
            <w:pPr>
              <w:jc w:val="right"/>
              <w:rPr>
                <w:rFonts w:ascii="宋体"/>
              </w:rPr>
            </w:pPr>
          </w:p>
        </w:tc>
        <w:tc>
          <w:tcPr>
            <w:tcW w:w="0" w:type="auto"/>
            <w:shd w:val="clear" w:color="auto" w:fill="auto"/>
          </w:tcPr>
          <w:p w14:paraId="7E784797" w14:textId="77777777" w:rsidR="00A82082" w:rsidRDefault="00A82082">
            <w:pPr>
              <w:rPr>
                <w:rFonts w:ascii="宋体"/>
                <w:vanish/>
              </w:rPr>
            </w:pPr>
          </w:p>
        </w:tc>
        <w:tc>
          <w:tcPr>
            <w:tcW w:w="0" w:type="auto"/>
            <w:shd w:val="clear" w:color="auto" w:fill="auto"/>
          </w:tcPr>
          <w:p w14:paraId="7E784798" w14:textId="77777777" w:rsidR="00A82082" w:rsidRDefault="00A82082">
            <w:pPr>
              <w:rPr>
                <w:rFonts w:ascii="宋体"/>
                <w:vanish/>
              </w:rPr>
            </w:pPr>
          </w:p>
        </w:tc>
        <w:tc>
          <w:tcPr>
            <w:tcW w:w="0" w:type="auto"/>
            <w:shd w:val="clear" w:color="auto" w:fill="auto"/>
          </w:tcPr>
          <w:p w14:paraId="7E784799" w14:textId="77777777" w:rsidR="00A82082" w:rsidRDefault="00A82082">
            <w:pPr>
              <w:rPr>
                <w:rFonts w:ascii="宋体"/>
                <w:vanish/>
              </w:rPr>
            </w:pPr>
          </w:p>
        </w:tc>
      </w:tr>
    </w:tbl>
    <w:p w14:paraId="7E78479B"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479C" w14:textId="77777777" w:rsidR="00A82082" w:rsidRDefault="00A82082"/>
    <w:p w14:paraId="7E78479D" w14:textId="77777777" w:rsidR="00A82082" w:rsidRDefault="00E946F9">
      <w:pPr>
        <w:jc w:val="center"/>
      </w:pPr>
      <w:r>
        <w:rPr>
          <w:rFonts w:ascii="Times New Roman" w:eastAsia="宋体" w:hAnsi="Times New Roman"/>
          <w:color w:val="000000"/>
          <w:sz w:val="20"/>
          <w:szCs w:val="20"/>
        </w:rPr>
        <w:t>6</w:t>
      </w:r>
    </w:p>
    <w:p w14:paraId="7E78479E" w14:textId="77777777" w:rsidR="00A82082" w:rsidRDefault="00E946F9">
      <w:r>
        <w:pict w14:anchorId="7E78614E">
          <v:rect id="_x0000_i1030" style="width:415.3pt;height:1.5pt" o:hralign="center" o:hrstd="t" o:hr="t" fillcolor="#a0a0a0" stroked="f"/>
        </w:pict>
      </w:r>
    </w:p>
    <w:p w14:paraId="7E78479F" w14:textId="77777777" w:rsidR="00A82082" w:rsidRDefault="00E946F9">
      <w:hyperlink r:id="rId49" w:anchor="i5c815528a95c4409b9043de534639b9a_7" w:history="1">
        <w:r>
          <w:rPr>
            <w:rStyle w:val="a5"/>
            <w:rFonts w:ascii="Times New Roman" w:eastAsia="宋体" w:hAnsi="Times New Roman"/>
            <w:sz w:val="20"/>
            <w:szCs w:val="20"/>
          </w:rPr>
          <w:t>Table of C</w:t>
        </w:r>
      </w:hyperlink>
      <w:hyperlink r:id="rId50" w:anchor="i5c815528a95c4409b9043de534639b9a_7" w:history="1">
        <w:r>
          <w:rPr>
            <w:rStyle w:val="a5"/>
            <w:rFonts w:ascii="Times New Roman" w:eastAsia="宋体" w:hAnsi="Times New Roman"/>
            <w:sz w:val="20"/>
            <w:szCs w:val="20"/>
          </w:rPr>
          <w:t>ontents</w:t>
        </w:r>
      </w:hyperlink>
    </w:p>
    <w:p w14:paraId="7E7847A0" w14:textId="77777777" w:rsidR="00A82082" w:rsidRDefault="00E946F9">
      <w:pPr>
        <w:jc w:val="center"/>
      </w:pPr>
      <w:r>
        <w:rPr>
          <w:rFonts w:ascii="Times New Roman" w:eastAsia="宋体" w:hAnsi="Times New Roman"/>
          <w:b/>
          <w:bCs/>
          <w:color w:val="000000"/>
          <w:sz w:val="20"/>
          <w:szCs w:val="20"/>
        </w:rPr>
        <w:t>Walmart Inc.</w:t>
      </w:r>
    </w:p>
    <w:p w14:paraId="7E7847A1" w14:textId="77777777" w:rsidR="00A82082" w:rsidRDefault="00E946F9">
      <w:pPr>
        <w:spacing w:before="60"/>
        <w:jc w:val="center"/>
      </w:pPr>
      <w:r>
        <w:rPr>
          <w:rFonts w:ascii="Times New Roman" w:eastAsia="宋体" w:hAnsi="Times New Roman"/>
          <w:b/>
          <w:bCs/>
          <w:color w:val="000000"/>
          <w:sz w:val="20"/>
          <w:szCs w:val="20"/>
        </w:rPr>
        <w:t>Condensed Consolidated Statements of Shareholders' Equity</w:t>
      </w:r>
    </w:p>
    <w:p w14:paraId="7E7847A2" w14:textId="77777777" w:rsidR="00A82082" w:rsidRDefault="00E946F9">
      <w:pPr>
        <w:spacing w:before="60"/>
        <w:jc w:val="center"/>
      </w:pPr>
      <w:r>
        <w:rPr>
          <w:rFonts w:ascii="Times New Roman" w:eastAsia="宋体" w:hAnsi="Times New Roman"/>
          <w:b/>
          <w:b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968"/>
        <w:gridCol w:w="39"/>
        <w:gridCol w:w="80"/>
        <w:gridCol w:w="412"/>
        <w:gridCol w:w="37"/>
        <w:gridCol w:w="36"/>
        <w:gridCol w:w="36"/>
        <w:gridCol w:w="36"/>
        <w:gridCol w:w="100"/>
        <w:gridCol w:w="487"/>
        <w:gridCol w:w="36"/>
        <w:gridCol w:w="36"/>
        <w:gridCol w:w="36"/>
        <w:gridCol w:w="36"/>
        <w:gridCol w:w="101"/>
        <w:gridCol w:w="623"/>
        <w:gridCol w:w="36"/>
        <w:gridCol w:w="36"/>
        <w:gridCol w:w="36"/>
        <w:gridCol w:w="36"/>
        <w:gridCol w:w="100"/>
        <w:gridCol w:w="558"/>
        <w:gridCol w:w="36"/>
        <w:gridCol w:w="36"/>
        <w:gridCol w:w="36"/>
        <w:gridCol w:w="36"/>
        <w:gridCol w:w="137"/>
        <w:gridCol w:w="946"/>
        <w:gridCol w:w="36"/>
        <w:gridCol w:w="36"/>
        <w:gridCol w:w="36"/>
        <w:gridCol w:w="36"/>
        <w:gridCol w:w="123"/>
        <w:gridCol w:w="847"/>
        <w:gridCol w:w="36"/>
        <w:gridCol w:w="36"/>
        <w:gridCol w:w="36"/>
        <w:gridCol w:w="36"/>
        <w:gridCol w:w="133"/>
        <w:gridCol w:w="915"/>
        <w:gridCol w:w="36"/>
        <w:gridCol w:w="36"/>
        <w:gridCol w:w="36"/>
        <w:gridCol w:w="36"/>
        <w:gridCol w:w="99"/>
        <w:gridCol w:w="475"/>
        <w:gridCol w:w="36"/>
        <w:gridCol w:w="36"/>
        <w:gridCol w:w="36"/>
        <w:gridCol w:w="36"/>
      </w:tblGrid>
      <w:tr w:rsidR="00A82082" w14:paraId="7E7847D6" w14:textId="77777777">
        <w:trPr>
          <w:jc w:val="center"/>
        </w:trPr>
        <w:tc>
          <w:tcPr>
            <w:tcW w:w="50" w:type="pct"/>
            <w:shd w:val="clear" w:color="auto" w:fill="auto"/>
          </w:tcPr>
          <w:p w14:paraId="7E7847A3" w14:textId="77777777" w:rsidR="00A82082" w:rsidRDefault="00A82082">
            <w:pPr>
              <w:rPr>
                <w:rFonts w:ascii="宋体"/>
              </w:rPr>
            </w:pPr>
          </w:p>
        </w:tc>
        <w:tc>
          <w:tcPr>
            <w:tcW w:w="1732" w:type="pct"/>
            <w:shd w:val="clear" w:color="auto" w:fill="auto"/>
          </w:tcPr>
          <w:p w14:paraId="7E7847A4" w14:textId="77777777" w:rsidR="00A82082" w:rsidRDefault="00A82082">
            <w:pPr>
              <w:rPr>
                <w:rFonts w:ascii="宋体"/>
              </w:rPr>
            </w:pPr>
          </w:p>
        </w:tc>
        <w:tc>
          <w:tcPr>
            <w:tcW w:w="5" w:type="pct"/>
            <w:shd w:val="clear" w:color="auto" w:fill="auto"/>
          </w:tcPr>
          <w:p w14:paraId="7E7847A5" w14:textId="77777777" w:rsidR="00A82082" w:rsidRDefault="00A82082">
            <w:pPr>
              <w:rPr>
                <w:rFonts w:ascii="宋体"/>
              </w:rPr>
            </w:pPr>
          </w:p>
        </w:tc>
        <w:tc>
          <w:tcPr>
            <w:tcW w:w="50" w:type="pct"/>
            <w:shd w:val="clear" w:color="auto" w:fill="auto"/>
          </w:tcPr>
          <w:p w14:paraId="7E7847A6" w14:textId="77777777" w:rsidR="00A82082" w:rsidRDefault="00A82082">
            <w:pPr>
              <w:rPr>
                <w:rFonts w:ascii="宋体"/>
              </w:rPr>
            </w:pPr>
          </w:p>
        </w:tc>
        <w:tc>
          <w:tcPr>
            <w:tcW w:w="262" w:type="pct"/>
            <w:shd w:val="clear" w:color="auto" w:fill="auto"/>
          </w:tcPr>
          <w:p w14:paraId="7E7847A7" w14:textId="77777777" w:rsidR="00A82082" w:rsidRDefault="00A82082">
            <w:pPr>
              <w:rPr>
                <w:rFonts w:ascii="宋体"/>
              </w:rPr>
            </w:pPr>
          </w:p>
        </w:tc>
        <w:tc>
          <w:tcPr>
            <w:tcW w:w="5" w:type="pct"/>
            <w:shd w:val="clear" w:color="auto" w:fill="auto"/>
          </w:tcPr>
          <w:p w14:paraId="7E7847A8" w14:textId="77777777" w:rsidR="00A82082" w:rsidRDefault="00A82082">
            <w:pPr>
              <w:rPr>
                <w:rFonts w:ascii="宋体"/>
              </w:rPr>
            </w:pPr>
          </w:p>
        </w:tc>
        <w:tc>
          <w:tcPr>
            <w:tcW w:w="5" w:type="pct"/>
            <w:shd w:val="clear" w:color="auto" w:fill="auto"/>
          </w:tcPr>
          <w:p w14:paraId="7E7847A9" w14:textId="77777777" w:rsidR="00A82082" w:rsidRDefault="00A82082">
            <w:pPr>
              <w:rPr>
                <w:rFonts w:ascii="宋体"/>
              </w:rPr>
            </w:pPr>
          </w:p>
        </w:tc>
        <w:tc>
          <w:tcPr>
            <w:tcW w:w="15" w:type="pct"/>
            <w:shd w:val="clear" w:color="auto" w:fill="auto"/>
          </w:tcPr>
          <w:p w14:paraId="7E7847AA" w14:textId="77777777" w:rsidR="00A82082" w:rsidRDefault="00A82082">
            <w:pPr>
              <w:rPr>
                <w:rFonts w:ascii="宋体"/>
              </w:rPr>
            </w:pPr>
          </w:p>
        </w:tc>
        <w:tc>
          <w:tcPr>
            <w:tcW w:w="5" w:type="pct"/>
            <w:shd w:val="clear" w:color="auto" w:fill="auto"/>
          </w:tcPr>
          <w:p w14:paraId="7E7847AB" w14:textId="77777777" w:rsidR="00A82082" w:rsidRDefault="00A82082">
            <w:pPr>
              <w:rPr>
                <w:rFonts w:ascii="宋体"/>
              </w:rPr>
            </w:pPr>
          </w:p>
        </w:tc>
        <w:tc>
          <w:tcPr>
            <w:tcW w:w="50" w:type="pct"/>
            <w:shd w:val="clear" w:color="auto" w:fill="auto"/>
          </w:tcPr>
          <w:p w14:paraId="7E7847AC" w14:textId="77777777" w:rsidR="00A82082" w:rsidRDefault="00A82082">
            <w:pPr>
              <w:rPr>
                <w:rFonts w:ascii="宋体"/>
              </w:rPr>
            </w:pPr>
          </w:p>
        </w:tc>
        <w:tc>
          <w:tcPr>
            <w:tcW w:w="247" w:type="pct"/>
            <w:shd w:val="clear" w:color="auto" w:fill="auto"/>
          </w:tcPr>
          <w:p w14:paraId="7E7847AD" w14:textId="77777777" w:rsidR="00A82082" w:rsidRDefault="00A82082">
            <w:pPr>
              <w:rPr>
                <w:rFonts w:ascii="宋体"/>
              </w:rPr>
            </w:pPr>
          </w:p>
        </w:tc>
        <w:tc>
          <w:tcPr>
            <w:tcW w:w="5" w:type="pct"/>
            <w:shd w:val="clear" w:color="auto" w:fill="auto"/>
          </w:tcPr>
          <w:p w14:paraId="7E7847AE" w14:textId="77777777" w:rsidR="00A82082" w:rsidRDefault="00A82082">
            <w:pPr>
              <w:rPr>
                <w:rFonts w:ascii="宋体"/>
              </w:rPr>
            </w:pPr>
          </w:p>
        </w:tc>
        <w:tc>
          <w:tcPr>
            <w:tcW w:w="5" w:type="pct"/>
            <w:shd w:val="clear" w:color="auto" w:fill="auto"/>
          </w:tcPr>
          <w:p w14:paraId="7E7847AF" w14:textId="77777777" w:rsidR="00A82082" w:rsidRDefault="00A82082">
            <w:pPr>
              <w:rPr>
                <w:rFonts w:ascii="宋体"/>
              </w:rPr>
            </w:pPr>
          </w:p>
        </w:tc>
        <w:tc>
          <w:tcPr>
            <w:tcW w:w="15" w:type="pct"/>
            <w:shd w:val="clear" w:color="auto" w:fill="auto"/>
          </w:tcPr>
          <w:p w14:paraId="7E7847B0" w14:textId="77777777" w:rsidR="00A82082" w:rsidRDefault="00A82082">
            <w:pPr>
              <w:rPr>
                <w:rFonts w:ascii="宋体"/>
              </w:rPr>
            </w:pPr>
          </w:p>
        </w:tc>
        <w:tc>
          <w:tcPr>
            <w:tcW w:w="5" w:type="pct"/>
            <w:shd w:val="clear" w:color="auto" w:fill="auto"/>
          </w:tcPr>
          <w:p w14:paraId="7E7847B1" w14:textId="77777777" w:rsidR="00A82082" w:rsidRDefault="00A82082">
            <w:pPr>
              <w:rPr>
                <w:rFonts w:ascii="宋体"/>
              </w:rPr>
            </w:pPr>
          </w:p>
        </w:tc>
        <w:tc>
          <w:tcPr>
            <w:tcW w:w="50" w:type="pct"/>
            <w:shd w:val="clear" w:color="auto" w:fill="auto"/>
          </w:tcPr>
          <w:p w14:paraId="7E7847B2" w14:textId="77777777" w:rsidR="00A82082" w:rsidRDefault="00A82082">
            <w:pPr>
              <w:rPr>
                <w:rFonts w:ascii="宋体"/>
              </w:rPr>
            </w:pPr>
          </w:p>
        </w:tc>
        <w:tc>
          <w:tcPr>
            <w:tcW w:w="347" w:type="pct"/>
            <w:shd w:val="clear" w:color="auto" w:fill="auto"/>
          </w:tcPr>
          <w:p w14:paraId="7E7847B3" w14:textId="77777777" w:rsidR="00A82082" w:rsidRDefault="00A82082">
            <w:pPr>
              <w:rPr>
                <w:rFonts w:ascii="宋体"/>
              </w:rPr>
            </w:pPr>
          </w:p>
        </w:tc>
        <w:tc>
          <w:tcPr>
            <w:tcW w:w="5" w:type="pct"/>
            <w:shd w:val="clear" w:color="auto" w:fill="auto"/>
          </w:tcPr>
          <w:p w14:paraId="7E7847B4" w14:textId="77777777" w:rsidR="00A82082" w:rsidRDefault="00A82082">
            <w:pPr>
              <w:rPr>
                <w:rFonts w:ascii="宋体"/>
              </w:rPr>
            </w:pPr>
          </w:p>
        </w:tc>
        <w:tc>
          <w:tcPr>
            <w:tcW w:w="5" w:type="pct"/>
            <w:shd w:val="clear" w:color="auto" w:fill="auto"/>
          </w:tcPr>
          <w:p w14:paraId="7E7847B5" w14:textId="77777777" w:rsidR="00A82082" w:rsidRDefault="00A82082">
            <w:pPr>
              <w:rPr>
                <w:rFonts w:ascii="宋体"/>
              </w:rPr>
            </w:pPr>
          </w:p>
        </w:tc>
        <w:tc>
          <w:tcPr>
            <w:tcW w:w="15" w:type="pct"/>
            <w:shd w:val="clear" w:color="auto" w:fill="auto"/>
          </w:tcPr>
          <w:p w14:paraId="7E7847B6" w14:textId="77777777" w:rsidR="00A82082" w:rsidRDefault="00A82082">
            <w:pPr>
              <w:rPr>
                <w:rFonts w:ascii="宋体"/>
              </w:rPr>
            </w:pPr>
          </w:p>
        </w:tc>
        <w:tc>
          <w:tcPr>
            <w:tcW w:w="5" w:type="pct"/>
            <w:shd w:val="clear" w:color="auto" w:fill="auto"/>
          </w:tcPr>
          <w:p w14:paraId="7E7847B7" w14:textId="77777777" w:rsidR="00A82082" w:rsidRDefault="00A82082">
            <w:pPr>
              <w:rPr>
                <w:rFonts w:ascii="宋体"/>
              </w:rPr>
            </w:pPr>
          </w:p>
        </w:tc>
        <w:tc>
          <w:tcPr>
            <w:tcW w:w="50" w:type="pct"/>
            <w:shd w:val="clear" w:color="auto" w:fill="auto"/>
          </w:tcPr>
          <w:p w14:paraId="7E7847B8" w14:textId="77777777" w:rsidR="00A82082" w:rsidRDefault="00A82082">
            <w:pPr>
              <w:rPr>
                <w:rFonts w:ascii="宋体"/>
              </w:rPr>
            </w:pPr>
          </w:p>
        </w:tc>
        <w:tc>
          <w:tcPr>
            <w:tcW w:w="347" w:type="pct"/>
            <w:shd w:val="clear" w:color="auto" w:fill="auto"/>
          </w:tcPr>
          <w:p w14:paraId="7E7847B9" w14:textId="77777777" w:rsidR="00A82082" w:rsidRDefault="00A82082">
            <w:pPr>
              <w:rPr>
                <w:rFonts w:ascii="宋体"/>
              </w:rPr>
            </w:pPr>
          </w:p>
        </w:tc>
        <w:tc>
          <w:tcPr>
            <w:tcW w:w="5" w:type="pct"/>
            <w:shd w:val="clear" w:color="auto" w:fill="auto"/>
          </w:tcPr>
          <w:p w14:paraId="7E7847BA" w14:textId="77777777" w:rsidR="00A82082" w:rsidRDefault="00A82082">
            <w:pPr>
              <w:rPr>
                <w:rFonts w:ascii="宋体"/>
              </w:rPr>
            </w:pPr>
          </w:p>
        </w:tc>
        <w:tc>
          <w:tcPr>
            <w:tcW w:w="5" w:type="pct"/>
            <w:shd w:val="clear" w:color="auto" w:fill="auto"/>
          </w:tcPr>
          <w:p w14:paraId="7E7847BB" w14:textId="77777777" w:rsidR="00A82082" w:rsidRDefault="00A82082">
            <w:pPr>
              <w:rPr>
                <w:rFonts w:ascii="宋体"/>
              </w:rPr>
            </w:pPr>
          </w:p>
        </w:tc>
        <w:tc>
          <w:tcPr>
            <w:tcW w:w="15" w:type="pct"/>
            <w:shd w:val="clear" w:color="auto" w:fill="auto"/>
          </w:tcPr>
          <w:p w14:paraId="7E7847BC" w14:textId="77777777" w:rsidR="00A82082" w:rsidRDefault="00A82082">
            <w:pPr>
              <w:rPr>
                <w:rFonts w:ascii="宋体"/>
              </w:rPr>
            </w:pPr>
          </w:p>
        </w:tc>
        <w:tc>
          <w:tcPr>
            <w:tcW w:w="5" w:type="pct"/>
            <w:shd w:val="clear" w:color="auto" w:fill="auto"/>
          </w:tcPr>
          <w:p w14:paraId="7E7847BD" w14:textId="77777777" w:rsidR="00A82082" w:rsidRDefault="00A82082">
            <w:pPr>
              <w:rPr>
                <w:rFonts w:ascii="宋体"/>
              </w:rPr>
            </w:pPr>
          </w:p>
        </w:tc>
        <w:tc>
          <w:tcPr>
            <w:tcW w:w="50" w:type="pct"/>
            <w:shd w:val="clear" w:color="auto" w:fill="auto"/>
          </w:tcPr>
          <w:p w14:paraId="7E7847BE" w14:textId="77777777" w:rsidR="00A82082" w:rsidRDefault="00A82082">
            <w:pPr>
              <w:rPr>
                <w:rFonts w:ascii="宋体"/>
              </w:rPr>
            </w:pPr>
          </w:p>
        </w:tc>
        <w:tc>
          <w:tcPr>
            <w:tcW w:w="347" w:type="pct"/>
            <w:shd w:val="clear" w:color="auto" w:fill="auto"/>
          </w:tcPr>
          <w:p w14:paraId="7E7847BF" w14:textId="77777777" w:rsidR="00A82082" w:rsidRDefault="00A82082">
            <w:pPr>
              <w:rPr>
                <w:rFonts w:ascii="宋体"/>
              </w:rPr>
            </w:pPr>
          </w:p>
        </w:tc>
        <w:tc>
          <w:tcPr>
            <w:tcW w:w="5" w:type="pct"/>
            <w:shd w:val="clear" w:color="auto" w:fill="auto"/>
          </w:tcPr>
          <w:p w14:paraId="7E7847C0" w14:textId="77777777" w:rsidR="00A82082" w:rsidRDefault="00A82082">
            <w:pPr>
              <w:rPr>
                <w:rFonts w:ascii="宋体"/>
              </w:rPr>
            </w:pPr>
          </w:p>
        </w:tc>
        <w:tc>
          <w:tcPr>
            <w:tcW w:w="5" w:type="pct"/>
            <w:shd w:val="clear" w:color="auto" w:fill="auto"/>
          </w:tcPr>
          <w:p w14:paraId="7E7847C1" w14:textId="77777777" w:rsidR="00A82082" w:rsidRDefault="00A82082">
            <w:pPr>
              <w:rPr>
                <w:rFonts w:ascii="宋体"/>
              </w:rPr>
            </w:pPr>
          </w:p>
        </w:tc>
        <w:tc>
          <w:tcPr>
            <w:tcW w:w="15" w:type="pct"/>
            <w:shd w:val="clear" w:color="auto" w:fill="auto"/>
          </w:tcPr>
          <w:p w14:paraId="7E7847C2" w14:textId="77777777" w:rsidR="00A82082" w:rsidRDefault="00A82082">
            <w:pPr>
              <w:rPr>
                <w:rFonts w:ascii="宋体"/>
              </w:rPr>
            </w:pPr>
          </w:p>
        </w:tc>
        <w:tc>
          <w:tcPr>
            <w:tcW w:w="5" w:type="pct"/>
            <w:shd w:val="clear" w:color="auto" w:fill="auto"/>
          </w:tcPr>
          <w:p w14:paraId="7E7847C3" w14:textId="77777777" w:rsidR="00A82082" w:rsidRDefault="00A82082">
            <w:pPr>
              <w:rPr>
                <w:rFonts w:ascii="宋体"/>
              </w:rPr>
            </w:pPr>
          </w:p>
        </w:tc>
        <w:tc>
          <w:tcPr>
            <w:tcW w:w="50" w:type="pct"/>
            <w:shd w:val="clear" w:color="auto" w:fill="auto"/>
          </w:tcPr>
          <w:p w14:paraId="7E7847C4" w14:textId="77777777" w:rsidR="00A82082" w:rsidRDefault="00A82082">
            <w:pPr>
              <w:rPr>
                <w:rFonts w:ascii="宋体"/>
              </w:rPr>
            </w:pPr>
          </w:p>
        </w:tc>
        <w:tc>
          <w:tcPr>
            <w:tcW w:w="347" w:type="pct"/>
            <w:shd w:val="clear" w:color="auto" w:fill="auto"/>
          </w:tcPr>
          <w:p w14:paraId="7E7847C5" w14:textId="77777777" w:rsidR="00A82082" w:rsidRDefault="00A82082">
            <w:pPr>
              <w:rPr>
                <w:rFonts w:ascii="宋体"/>
              </w:rPr>
            </w:pPr>
          </w:p>
        </w:tc>
        <w:tc>
          <w:tcPr>
            <w:tcW w:w="5" w:type="pct"/>
            <w:shd w:val="clear" w:color="auto" w:fill="auto"/>
          </w:tcPr>
          <w:p w14:paraId="7E7847C6" w14:textId="77777777" w:rsidR="00A82082" w:rsidRDefault="00A82082">
            <w:pPr>
              <w:rPr>
                <w:rFonts w:ascii="宋体"/>
              </w:rPr>
            </w:pPr>
          </w:p>
        </w:tc>
        <w:tc>
          <w:tcPr>
            <w:tcW w:w="5" w:type="pct"/>
            <w:shd w:val="clear" w:color="auto" w:fill="auto"/>
          </w:tcPr>
          <w:p w14:paraId="7E7847C7" w14:textId="77777777" w:rsidR="00A82082" w:rsidRDefault="00A82082">
            <w:pPr>
              <w:rPr>
                <w:rFonts w:ascii="宋体"/>
              </w:rPr>
            </w:pPr>
          </w:p>
        </w:tc>
        <w:tc>
          <w:tcPr>
            <w:tcW w:w="15" w:type="pct"/>
            <w:shd w:val="clear" w:color="auto" w:fill="auto"/>
          </w:tcPr>
          <w:p w14:paraId="7E7847C8" w14:textId="77777777" w:rsidR="00A82082" w:rsidRDefault="00A82082">
            <w:pPr>
              <w:rPr>
                <w:rFonts w:ascii="宋体"/>
              </w:rPr>
            </w:pPr>
          </w:p>
        </w:tc>
        <w:tc>
          <w:tcPr>
            <w:tcW w:w="5" w:type="pct"/>
            <w:shd w:val="clear" w:color="auto" w:fill="auto"/>
          </w:tcPr>
          <w:p w14:paraId="7E7847C9" w14:textId="77777777" w:rsidR="00A82082" w:rsidRDefault="00A82082">
            <w:pPr>
              <w:rPr>
                <w:rFonts w:ascii="宋体"/>
              </w:rPr>
            </w:pPr>
          </w:p>
        </w:tc>
        <w:tc>
          <w:tcPr>
            <w:tcW w:w="50" w:type="pct"/>
            <w:shd w:val="clear" w:color="auto" w:fill="auto"/>
          </w:tcPr>
          <w:p w14:paraId="7E7847CA" w14:textId="77777777" w:rsidR="00A82082" w:rsidRDefault="00A82082">
            <w:pPr>
              <w:rPr>
                <w:rFonts w:ascii="宋体"/>
              </w:rPr>
            </w:pPr>
          </w:p>
        </w:tc>
        <w:tc>
          <w:tcPr>
            <w:tcW w:w="347" w:type="pct"/>
            <w:shd w:val="clear" w:color="auto" w:fill="auto"/>
          </w:tcPr>
          <w:p w14:paraId="7E7847CB" w14:textId="77777777" w:rsidR="00A82082" w:rsidRDefault="00A82082">
            <w:pPr>
              <w:rPr>
                <w:rFonts w:ascii="宋体"/>
              </w:rPr>
            </w:pPr>
          </w:p>
        </w:tc>
        <w:tc>
          <w:tcPr>
            <w:tcW w:w="5" w:type="pct"/>
            <w:shd w:val="clear" w:color="auto" w:fill="auto"/>
          </w:tcPr>
          <w:p w14:paraId="7E7847CC" w14:textId="77777777" w:rsidR="00A82082" w:rsidRDefault="00A82082">
            <w:pPr>
              <w:rPr>
                <w:rFonts w:ascii="宋体"/>
              </w:rPr>
            </w:pPr>
          </w:p>
        </w:tc>
        <w:tc>
          <w:tcPr>
            <w:tcW w:w="5" w:type="pct"/>
            <w:shd w:val="clear" w:color="auto" w:fill="auto"/>
          </w:tcPr>
          <w:p w14:paraId="7E7847CD" w14:textId="77777777" w:rsidR="00A82082" w:rsidRDefault="00A82082">
            <w:pPr>
              <w:rPr>
                <w:rFonts w:ascii="宋体"/>
              </w:rPr>
            </w:pPr>
          </w:p>
        </w:tc>
        <w:tc>
          <w:tcPr>
            <w:tcW w:w="15" w:type="pct"/>
            <w:shd w:val="clear" w:color="auto" w:fill="auto"/>
          </w:tcPr>
          <w:p w14:paraId="7E7847CE" w14:textId="77777777" w:rsidR="00A82082" w:rsidRDefault="00A82082">
            <w:pPr>
              <w:rPr>
                <w:rFonts w:ascii="宋体"/>
              </w:rPr>
            </w:pPr>
          </w:p>
        </w:tc>
        <w:tc>
          <w:tcPr>
            <w:tcW w:w="5" w:type="pct"/>
            <w:shd w:val="clear" w:color="auto" w:fill="auto"/>
          </w:tcPr>
          <w:p w14:paraId="7E7847CF" w14:textId="77777777" w:rsidR="00A82082" w:rsidRDefault="00A82082">
            <w:pPr>
              <w:rPr>
                <w:rFonts w:ascii="宋体"/>
              </w:rPr>
            </w:pPr>
          </w:p>
        </w:tc>
        <w:tc>
          <w:tcPr>
            <w:tcW w:w="50" w:type="pct"/>
            <w:shd w:val="clear" w:color="auto" w:fill="auto"/>
          </w:tcPr>
          <w:p w14:paraId="7E7847D0" w14:textId="77777777" w:rsidR="00A82082" w:rsidRDefault="00A82082">
            <w:pPr>
              <w:rPr>
                <w:rFonts w:ascii="宋体"/>
              </w:rPr>
            </w:pPr>
          </w:p>
        </w:tc>
        <w:tc>
          <w:tcPr>
            <w:tcW w:w="348" w:type="pct"/>
            <w:shd w:val="clear" w:color="auto" w:fill="auto"/>
          </w:tcPr>
          <w:p w14:paraId="7E7847D1" w14:textId="77777777" w:rsidR="00A82082" w:rsidRDefault="00A82082">
            <w:pPr>
              <w:rPr>
                <w:rFonts w:ascii="宋体"/>
              </w:rPr>
            </w:pPr>
          </w:p>
        </w:tc>
        <w:tc>
          <w:tcPr>
            <w:tcW w:w="5" w:type="pct"/>
            <w:shd w:val="clear" w:color="auto" w:fill="auto"/>
          </w:tcPr>
          <w:p w14:paraId="7E7847D2" w14:textId="77777777" w:rsidR="00A82082" w:rsidRDefault="00A82082">
            <w:pPr>
              <w:rPr>
                <w:rFonts w:ascii="宋体"/>
              </w:rPr>
            </w:pPr>
          </w:p>
        </w:tc>
        <w:tc>
          <w:tcPr>
            <w:tcW w:w="0" w:type="auto"/>
            <w:shd w:val="clear" w:color="auto" w:fill="auto"/>
          </w:tcPr>
          <w:p w14:paraId="7E7847D3" w14:textId="77777777" w:rsidR="00A82082" w:rsidRDefault="00A82082">
            <w:pPr>
              <w:rPr>
                <w:rFonts w:ascii="宋体"/>
                <w:vanish/>
              </w:rPr>
            </w:pPr>
          </w:p>
        </w:tc>
        <w:tc>
          <w:tcPr>
            <w:tcW w:w="0" w:type="auto"/>
            <w:shd w:val="clear" w:color="auto" w:fill="auto"/>
          </w:tcPr>
          <w:p w14:paraId="7E7847D4" w14:textId="77777777" w:rsidR="00A82082" w:rsidRDefault="00A82082">
            <w:pPr>
              <w:rPr>
                <w:rFonts w:ascii="宋体"/>
                <w:vanish/>
              </w:rPr>
            </w:pPr>
          </w:p>
        </w:tc>
        <w:tc>
          <w:tcPr>
            <w:tcW w:w="0" w:type="auto"/>
            <w:shd w:val="clear" w:color="auto" w:fill="auto"/>
          </w:tcPr>
          <w:p w14:paraId="7E7847D5" w14:textId="77777777" w:rsidR="00A82082" w:rsidRDefault="00A82082">
            <w:pPr>
              <w:rPr>
                <w:rFonts w:ascii="宋体"/>
                <w:vanish/>
              </w:rPr>
            </w:pPr>
          </w:p>
        </w:tc>
      </w:tr>
      <w:tr w:rsidR="00A82082" w14:paraId="7E7847EA" w14:textId="77777777">
        <w:trPr>
          <w:jc w:val="center"/>
        </w:trPr>
        <w:tc>
          <w:tcPr>
            <w:tcW w:w="0" w:type="auto"/>
            <w:gridSpan w:val="3"/>
            <w:shd w:val="clear" w:color="auto" w:fill="auto"/>
            <w:tcMar>
              <w:top w:w="0" w:type="dxa"/>
              <w:left w:w="20" w:type="dxa"/>
              <w:bottom w:w="0" w:type="dxa"/>
              <w:right w:w="20" w:type="dxa"/>
            </w:tcMar>
          </w:tcPr>
          <w:p w14:paraId="7E7847D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9"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D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7E0" w14:textId="77777777" w:rsidR="00A82082" w:rsidRDefault="00E946F9">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tcPr>
          <w:p w14:paraId="7E7847E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7E2" w14:textId="77777777" w:rsidR="00A82082" w:rsidRDefault="00E946F9">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7E7847E3"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4"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6" w14:textId="77777777" w:rsidR="00A82082" w:rsidRDefault="00A82082">
            <w:pPr>
              <w:rPr>
                <w:rFonts w:ascii="宋体"/>
              </w:rPr>
            </w:pPr>
          </w:p>
        </w:tc>
        <w:tc>
          <w:tcPr>
            <w:tcW w:w="0" w:type="auto"/>
            <w:shd w:val="clear" w:color="auto" w:fill="auto"/>
          </w:tcPr>
          <w:p w14:paraId="7E7847E7" w14:textId="77777777" w:rsidR="00A82082" w:rsidRDefault="00A82082">
            <w:pPr>
              <w:rPr>
                <w:rFonts w:ascii="宋体"/>
                <w:vanish/>
              </w:rPr>
            </w:pPr>
          </w:p>
        </w:tc>
        <w:tc>
          <w:tcPr>
            <w:tcW w:w="0" w:type="auto"/>
            <w:shd w:val="clear" w:color="auto" w:fill="auto"/>
          </w:tcPr>
          <w:p w14:paraId="7E7847E8" w14:textId="77777777" w:rsidR="00A82082" w:rsidRDefault="00A82082">
            <w:pPr>
              <w:rPr>
                <w:rFonts w:ascii="宋体"/>
                <w:vanish/>
              </w:rPr>
            </w:pPr>
          </w:p>
        </w:tc>
        <w:tc>
          <w:tcPr>
            <w:tcW w:w="0" w:type="auto"/>
            <w:shd w:val="clear" w:color="auto" w:fill="auto"/>
          </w:tcPr>
          <w:p w14:paraId="7E7847E9" w14:textId="77777777" w:rsidR="00A82082" w:rsidRDefault="00A82082">
            <w:pPr>
              <w:rPr>
                <w:rFonts w:ascii="宋体"/>
                <w:vanish/>
              </w:rPr>
            </w:pPr>
          </w:p>
        </w:tc>
      </w:tr>
      <w:tr w:rsidR="00A82082" w14:paraId="7E7847FE" w14:textId="77777777">
        <w:trPr>
          <w:jc w:val="center"/>
        </w:trPr>
        <w:tc>
          <w:tcPr>
            <w:tcW w:w="0" w:type="auto"/>
            <w:gridSpan w:val="3"/>
            <w:shd w:val="clear" w:color="auto" w:fill="auto"/>
            <w:tcMar>
              <w:top w:w="0" w:type="dxa"/>
              <w:left w:w="20" w:type="dxa"/>
              <w:bottom w:w="0" w:type="dxa"/>
              <w:right w:w="20" w:type="dxa"/>
            </w:tcMar>
          </w:tcPr>
          <w:p w14:paraId="7E7847E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E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7F0" w14:textId="77777777" w:rsidR="00A82082" w:rsidRDefault="00E946F9">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tcPr>
          <w:p w14:paraId="7E7847F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F2"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F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7F4" w14:textId="77777777" w:rsidR="00A82082" w:rsidRDefault="00E946F9">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tcPr>
          <w:p w14:paraId="7E7847F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7F6" w14:textId="77777777" w:rsidR="00A82082" w:rsidRDefault="00E946F9">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tcPr>
          <w:p w14:paraId="7E7847F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F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F9"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7FA" w14:textId="77777777" w:rsidR="00A82082" w:rsidRDefault="00A82082">
            <w:pPr>
              <w:rPr>
                <w:rFonts w:ascii="宋体"/>
              </w:rPr>
            </w:pPr>
          </w:p>
        </w:tc>
        <w:tc>
          <w:tcPr>
            <w:tcW w:w="0" w:type="auto"/>
            <w:shd w:val="clear" w:color="auto" w:fill="auto"/>
          </w:tcPr>
          <w:p w14:paraId="7E7847FB" w14:textId="77777777" w:rsidR="00A82082" w:rsidRDefault="00A82082">
            <w:pPr>
              <w:rPr>
                <w:rFonts w:ascii="宋体"/>
                <w:vanish/>
              </w:rPr>
            </w:pPr>
          </w:p>
        </w:tc>
        <w:tc>
          <w:tcPr>
            <w:tcW w:w="0" w:type="auto"/>
            <w:shd w:val="clear" w:color="auto" w:fill="auto"/>
          </w:tcPr>
          <w:p w14:paraId="7E7847FC" w14:textId="77777777" w:rsidR="00A82082" w:rsidRDefault="00A82082">
            <w:pPr>
              <w:rPr>
                <w:rFonts w:ascii="宋体"/>
                <w:vanish/>
              </w:rPr>
            </w:pPr>
          </w:p>
        </w:tc>
        <w:tc>
          <w:tcPr>
            <w:tcW w:w="0" w:type="auto"/>
            <w:shd w:val="clear" w:color="auto" w:fill="auto"/>
          </w:tcPr>
          <w:p w14:paraId="7E7847FD" w14:textId="77777777" w:rsidR="00A82082" w:rsidRDefault="00A82082">
            <w:pPr>
              <w:rPr>
                <w:rFonts w:ascii="宋体"/>
                <w:vanish/>
              </w:rPr>
            </w:pPr>
          </w:p>
        </w:tc>
      </w:tr>
      <w:tr w:rsidR="00A82082" w14:paraId="7E784810"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7E7847FF"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7E784800" w14:textId="77777777" w:rsidR="00A82082" w:rsidRDefault="00E946F9">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tcPr>
          <w:p w14:paraId="7E78480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2" w14:textId="77777777" w:rsidR="00A82082" w:rsidRDefault="00E946F9">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tcPr>
          <w:p w14:paraId="7E78480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4" w14:textId="77777777" w:rsidR="00A82082" w:rsidRDefault="00E946F9">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tcPr>
          <w:p w14:paraId="7E78480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6" w14:textId="77777777" w:rsidR="00A82082" w:rsidRDefault="00E946F9">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tcPr>
          <w:p w14:paraId="7E78480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8" w14:textId="77777777" w:rsidR="00A82082" w:rsidRDefault="00E946F9">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tcPr>
          <w:p w14:paraId="7E78480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A" w14:textId="77777777" w:rsidR="00A82082" w:rsidRDefault="00E946F9">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tcPr>
          <w:p w14:paraId="7E78480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0C" w14:textId="77777777" w:rsidR="00A82082" w:rsidRDefault="00E946F9">
            <w:pPr>
              <w:jc w:val="center"/>
              <w:textAlignment w:val="bottom"/>
            </w:pPr>
            <w:r>
              <w:rPr>
                <w:rFonts w:ascii="Times New Roman" w:eastAsia="宋体" w:hAnsi="Times New Roman"/>
                <w:b/>
                <w:bCs/>
                <w:color w:val="000000"/>
                <w:sz w:val="16"/>
                <w:szCs w:val="16"/>
              </w:rPr>
              <w:t>Total</w:t>
            </w:r>
          </w:p>
        </w:tc>
        <w:tc>
          <w:tcPr>
            <w:tcW w:w="0" w:type="auto"/>
            <w:shd w:val="clear" w:color="auto" w:fill="auto"/>
          </w:tcPr>
          <w:p w14:paraId="7E78480D" w14:textId="77777777" w:rsidR="00A82082" w:rsidRDefault="00A82082">
            <w:pPr>
              <w:rPr>
                <w:rFonts w:ascii="宋体"/>
                <w:vanish/>
              </w:rPr>
            </w:pPr>
          </w:p>
        </w:tc>
        <w:tc>
          <w:tcPr>
            <w:tcW w:w="0" w:type="auto"/>
            <w:shd w:val="clear" w:color="auto" w:fill="auto"/>
          </w:tcPr>
          <w:p w14:paraId="7E78480E" w14:textId="77777777" w:rsidR="00A82082" w:rsidRDefault="00A82082">
            <w:pPr>
              <w:rPr>
                <w:rFonts w:ascii="宋体"/>
                <w:vanish/>
              </w:rPr>
            </w:pPr>
          </w:p>
        </w:tc>
        <w:tc>
          <w:tcPr>
            <w:tcW w:w="0" w:type="auto"/>
            <w:shd w:val="clear" w:color="auto" w:fill="auto"/>
          </w:tcPr>
          <w:p w14:paraId="7E78480F" w14:textId="77777777" w:rsidR="00A82082" w:rsidRDefault="00A82082">
            <w:pPr>
              <w:rPr>
                <w:rFonts w:ascii="宋体"/>
                <w:vanish/>
              </w:rPr>
            </w:pPr>
          </w:p>
        </w:tc>
      </w:tr>
      <w:tr w:rsidR="00A82082" w14:paraId="7E784824"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7E784811"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812" w14:textId="77777777" w:rsidR="00A82082" w:rsidRDefault="00E946F9">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784813"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814" w14:textId="77777777" w:rsidR="00A82082" w:rsidRDefault="00E946F9">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tcPr>
          <w:p w14:paraId="7E78481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16" w14:textId="77777777" w:rsidR="00A82082" w:rsidRDefault="00E946F9">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tcPr>
          <w:p w14:paraId="7E78481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18" w14:textId="77777777" w:rsidR="00A82082" w:rsidRDefault="00E946F9">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tcPr>
          <w:p w14:paraId="7E78481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1A" w14:textId="77777777" w:rsidR="00A82082" w:rsidRDefault="00E946F9">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tcPr>
          <w:p w14:paraId="7E78481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1C" w14:textId="77777777" w:rsidR="00A82082" w:rsidRDefault="00E946F9">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tcPr>
          <w:p w14:paraId="7E78481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1E" w14:textId="77777777" w:rsidR="00A82082" w:rsidRDefault="00E946F9">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tcPr>
          <w:p w14:paraId="7E78481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820" w14:textId="77777777" w:rsidR="00A82082" w:rsidRDefault="00E946F9">
            <w:pPr>
              <w:jc w:val="center"/>
              <w:textAlignment w:val="bottom"/>
            </w:pPr>
            <w:r>
              <w:rPr>
                <w:rFonts w:ascii="Times New Roman" w:eastAsia="宋体" w:hAnsi="Times New Roman"/>
                <w:b/>
                <w:bCs/>
                <w:color w:val="000000"/>
                <w:sz w:val="16"/>
                <w:szCs w:val="16"/>
              </w:rPr>
              <w:t>Equity</w:t>
            </w:r>
          </w:p>
        </w:tc>
        <w:tc>
          <w:tcPr>
            <w:tcW w:w="0" w:type="auto"/>
            <w:shd w:val="clear" w:color="auto" w:fill="auto"/>
          </w:tcPr>
          <w:p w14:paraId="7E784821" w14:textId="77777777" w:rsidR="00A82082" w:rsidRDefault="00A82082">
            <w:pPr>
              <w:rPr>
                <w:rFonts w:ascii="宋体"/>
                <w:vanish/>
              </w:rPr>
            </w:pPr>
          </w:p>
        </w:tc>
        <w:tc>
          <w:tcPr>
            <w:tcW w:w="0" w:type="auto"/>
            <w:shd w:val="clear" w:color="auto" w:fill="auto"/>
          </w:tcPr>
          <w:p w14:paraId="7E784822" w14:textId="77777777" w:rsidR="00A82082" w:rsidRDefault="00A82082">
            <w:pPr>
              <w:rPr>
                <w:rFonts w:ascii="宋体"/>
                <w:vanish/>
              </w:rPr>
            </w:pPr>
          </w:p>
        </w:tc>
        <w:tc>
          <w:tcPr>
            <w:tcW w:w="0" w:type="auto"/>
            <w:shd w:val="clear" w:color="auto" w:fill="auto"/>
          </w:tcPr>
          <w:p w14:paraId="7E784823" w14:textId="77777777" w:rsidR="00A82082" w:rsidRDefault="00A82082">
            <w:pPr>
              <w:rPr>
                <w:rFonts w:ascii="宋体"/>
                <w:vanish/>
              </w:rPr>
            </w:pPr>
          </w:p>
        </w:tc>
      </w:tr>
      <w:tr w:rsidR="00E946F9" w14:paraId="7E784847" w14:textId="77777777">
        <w:trPr>
          <w:jc w:val="center"/>
        </w:trPr>
        <w:tc>
          <w:tcPr>
            <w:tcW w:w="0" w:type="auto"/>
            <w:gridSpan w:val="3"/>
            <w:shd w:val="clear" w:color="auto" w:fill="CCEEFF"/>
            <w:tcMar>
              <w:top w:w="40" w:type="dxa"/>
              <w:left w:w="20" w:type="dxa"/>
              <w:bottom w:w="40" w:type="dxa"/>
              <w:right w:w="20" w:type="dxa"/>
            </w:tcMar>
            <w:vAlign w:val="center"/>
          </w:tcPr>
          <w:p w14:paraId="7E784825" w14:textId="77777777" w:rsidR="00A82082" w:rsidRDefault="00E946F9">
            <w:pPr>
              <w:textAlignment w:val="center"/>
            </w:pPr>
            <w:r>
              <w:rPr>
                <w:rFonts w:ascii="Times New Roman" w:eastAsia="宋体" w:hAnsi="Times New Roman"/>
                <w:b/>
                <w:bCs/>
                <w:color w:val="000000"/>
                <w:sz w:val="16"/>
                <w:szCs w:val="16"/>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826" w14:textId="77777777" w:rsidR="00A82082" w:rsidRDefault="00E946F9">
            <w:pPr>
              <w:jc w:val="right"/>
              <w:textAlignment w:val="center"/>
            </w:pPr>
            <w:r>
              <w:rPr>
                <w:rFonts w:ascii="Times New Roman" w:eastAsia="宋体" w:hAnsi="Times New Roman"/>
                <w:color w:val="000000"/>
                <w:sz w:val="16"/>
                <w:szCs w:val="16"/>
              </w:rPr>
              <w:t>2,878 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2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2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2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2A" w14:textId="77777777" w:rsidR="00A82082" w:rsidRDefault="00E946F9">
            <w:pPr>
              <w:jc w:val="right"/>
              <w:textAlignment w:val="center"/>
            </w:pPr>
            <w:r>
              <w:rPr>
                <w:rFonts w:ascii="Times New Roman" w:eastAsia="宋体" w:hAnsi="Times New Roman"/>
                <w:color w:val="000000"/>
                <w:sz w:val="16"/>
                <w:szCs w:val="16"/>
              </w:rPr>
              <w:t>288 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2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2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2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2E" w14:textId="77777777" w:rsidR="00A82082" w:rsidRDefault="00E946F9">
            <w:pPr>
              <w:jc w:val="right"/>
              <w:textAlignment w:val="center"/>
            </w:pPr>
            <w:r>
              <w:rPr>
                <w:rFonts w:ascii="Times New Roman" w:eastAsia="宋体" w:hAnsi="Times New Roman"/>
                <w:color w:val="000000"/>
                <w:sz w:val="16"/>
                <w:szCs w:val="16"/>
              </w:rPr>
              <w:t>2,965 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2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3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3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32" w14:textId="77777777" w:rsidR="00A82082" w:rsidRDefault="00E946F9">
            <w:pPr>
              <w:jc w:val="right"/>
              <w:textAlignment w:val="center"/>
            </w:pPr>
            <w:r>
              <w:rPr>
                <w:rFonts w:ascii="Times New Roman" w:eastAsia="宋体" w:hAnsi="Times New Roman"/>
                <w:color w:val="000000"/>
                <w:sz w:val="16"/>
                <w:szCs w:val="16"/>
              </w:rPr>
              <w:t>80,785 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3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3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3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36" w14:textId="77777777" w:rsidR="00A82082" w:rsidRDefault="00E946F9">
            <w:pPr>
              <w:jc w:val="right"/>
              <w:textAlignment w:val="center"/>
            </w:pPr>
            <w:r>
              <w:rPr>
                <w:rFonts w:ascii="Times New Roman" w:eastAsia="宋体" w:hAnsi="Times New Roman"/>
                <w:color w:val="000000"/>
                <w:sz w:val="16"/>
                <w:szCs w:val="16"/>
              </w:rPr>
              <w:t>(11,542)</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3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3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3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3A" w14:textId="77777777" w:rsidR="00A82082" w:rsidRDefault="00E946F9">
            <w:pPr>
              <w:jc w:val="right"/>
              <w:textAlignment w:val="center"/>
            </w:pPr>
            <w:r>
              <w:rPr>
                <w:rFonts w:ascii="Times New Roman" w:eastAsia="宋体" w:hAnsi="Times New Roman"/>
                <w:color w:val="000000"/>
                <w:sz w:val="16"/>
                <w:szCs w:val="16"/>
              </w:rPr>
              <w:t>72,496 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3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3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3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3E" w14:textId="77777777" w:rsidR="00A82082" w:rsidRDefault="00E946F9">
            <w:pPr>
              <w:jc w:val="right"/>
              <w:textAlignment w:val="center"/>
            </w:pPr>
            <w:r>
              <w:rPr>
                <w:rFonts w:ascii="Times New Roman" w:eastAsia="宋体" w:hAnsi="Times New Roman"/>
                <w:color w:val="000000"/>
                <w:sz w:val="16"/>
                <w:szCs w:val="16"/>
              </w:rPr>
              <w:t>7,138 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3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4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84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842" w14:textId="77777777" w:rsidR="00A82082" w:rsidRDefault="00E946F9">
            <w:pPr>
              <w:jc w:val="right"/>
              <w:textAlignment w:val="center"/>
            </w:pPr>
            <w:r>
              <w:rPr>
                <w:rFonts w:ascii="Times New Roman" w:eastAsia="宋体" w:hAnsi="Times New Roman"/>
                <w:color w:val="000000"/>
                <w:sz w:val="16"/>
                <w:szCs w:val="16"/>
              </w:rPr>
              <w:t>79,634 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843" w14:textId="77777777" w:rsidR="00A82082" w:rsidRDefault="00A82082">
            <w:pPr>
              <w:jc w:val="right"/>
              <w:rPr>
                <w:rFonts w:ascii="宋体"/>
              </w:rPr>
            </w:pPr>
          </w:p>
        </w:tc>
        <w:tc>
          <w:tcPr>
            <w:tcW w:w="0" w:type="auto"/>
            <w:shd w:val="clear" w:color="auto" w:fill="auto"/>
          </w:tcPr>
          <w:p w14:paraId="7E784844" w14:textId="77777777" w:rsidR="00A82082" w:rsidRDefault="00A82082">
            <w:pPr>
              <w:rPr>
                <w:rFonts w:ascii="宋体"/>
                <w:vanish/>
              </w:rPr>
            </w:pPr>
          </w:p>
        </w:tc>
        <w:tc>
          <w:tcPr>
            <w:tcW w:w="0" w:type="auto"/>
            <w:shd w:val="clear" w:color="auto" w:fill="auto"/>
          </w:tcPr>
          <w:p w14:paraId="7E784845" w14:textId="77777777" w:rsidR="00A82082" w:rsidRDefault="00A82082">
            <w:pPr>
              <w:rPr>
                <w:rFonts w:ascii="宋体"/>
                <w:vanish/>
              </w:rPr>
            </w:pPr>
          </w:p>
        </w:tc>
        <w:tc>
          <w:tcPr>
            <w:tcW w:w="0" w:type="auto"/>
            <w:shd w:val="clear" w:color="auto" w:fill="auto"/>
          </w:tcPr>
          <w:p w14:paraId="7E784846" w14:textId="77777777" w:rsidR="00A82082" w:rsidRDefault="00A82082">
            <w:pPr>
              <w:rPr>
                <w:rFonts w:ascii="宋体"/>
                <w:vanish/>
              </w:rPr>
            </w:pPr>
          </w:p>
        </w:tc>
      </w:tr>
      <w:tr w:rsidR="00A82082" w14:paraId="7E784863" w14:textId="77777777">
        <w:trPr>
          <w:jc w:val="center"/>
        </w:trPr>
        <w:tc>
          <w:tcPr>
            <w:tcW w:w="0" w:type="auto"/>
            <w:gridSpan w:val="3"/>
            <w:shd w:val="clear" w:color="auto" w:fill="FFFFFF"/>
            <w:tcMar>
              <w:top w:w="40" w:type="dxa"/>
              <w:left w:w="20" w:type="dxa"/>
              <w:bottom w:w="40" w:type="dxa"/>
              <w:right w:w="20" w:type="dxa"/>
            </w:tcMar>
            <w:vAlign w:val="center"/>
          </w:tcPr>
          <w:p w14:paraId="7E784848" w14:textId="77777777" w:rsidR="00A82082" w:rsidRDefault="00E946F9">
            <w:pPr>
              <w:textAlignment w:val="center"/>
            </w:pPr>
            <w:r>
              <w:rPr>
                <w:rFonts w:ascii="Times New Roman" w:eastAsia="宋体" w:hAnsi="Times New Roman"/>
                <w:color w:val="000000"/>
                <w:sz w:val="16"/>
                <w:szCs w:val="16"/>
              </w:rPr>
              <w:t xml:space="preserve">Adoption of new </w:t>
            </w:r>
            <w:r>
              <w:rPr>
                <w:rFonts w:ascii="Times New Roman" w:eastAsia="宋体" w:hAnsi="Times New Roman"/>
                <w:color w:val="000000"/>
                <w:sz w:val="16"/>
                <w:szCs w:val="16"/>
              </w:rPr>
              <w:t>accounting standards on February 1, 2019, net of income taxes</w:t>
            </w:r>
          </w:p>
        </w:tc>
        <w:tc>
          <w:tcPr>
            <w:tcW w:w="0" w:type="auto"/>
            <w:gridSpan w:val="2"/>
            <w:shd w:val="clear" w:color="auto" w:fill="FFFFFF"/>
            <w:tcMar>
              <w:top w:w="40" w:type="dxa"/>
              <w:left w:w="20" w:type="dxa"/>
              <w:bottom w:w="40" w:type="dxa"/>
              <w:right w:w="0" w:type="dxa"/>
            </w:tcMar>
            <w:vAlign w:val="center"/>
          </w:tcPr>
          <w:p w14:paraId="7E78484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4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4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4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4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4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4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5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5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52" w14:textId="77777777" w:rsidR="00A82082" w:rsidRDefault="00E946F9">
            <w:pPr>
              <w:jc w:val="right"/>
              <w:textAlignment w:val="center"/>
            </w:pPr>
            <w:r>
              <w:rPr>
                <w:rFonts w:ascii="Times New Roman" w:eastAsia="宋体" w:hAnsi="Times New Roman"/>
                <w:color w:val="000000"/>
                <w:sz w:val="16"/>
                <w:szCs w:val="16"/>
              </w:rPr>
              <w:t>(266)</w:t>
            </w:r>
          </w:p>
        </w:tc>
        <w:tc>
          <w:tcPr>
            <w:tcW w:w="0" w:type="auto"/>
            <w:shd w:val="clear" w:color="auto" w:fill="FFFFFF"/>
            <w:tcMar>
              <w:top w:w="40" w:type="dxa"/>
              <w:left w:w="0" w:type="dxa"/>
              <w:bottom w:w="40" w:type="dxa"/>
              <w:right w:w="20" w:type="dxa"/>
            </w:tcMar>
            <w:vAlign w:val="center"/>
          </w:tcPr>
          <w:p w14:paraId="7E78485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5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5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5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5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58" w14:textId="77777777" w:rsidR="00A82082" w:rsidRDefault="00E946F9">
            <w:pPr>
              <w:jc w:val="right"/>
              <w:textAlignment w:val="center"/>
            </w:pPr>
            <w:r>
              <w:rPr>
                <w:rFonts w:ascii="Times New Roman" w:eastAsia="宋体" w:hAnsi="Times New Roman"/>
                <w:color w:val="000000"/>
                <w:sz w:val="16"/>
                <w:szCs w:val="16"/>
              </w:rPr>
              <w:t>(266)</w:t>
            </w:r>
          </w:p>
        </w:tc>
        <w:tc>
          <w:tcPr>
            <w:tcW w:w="0" w:type="auto"/>
            <w:shd w:val="clear" w:color="auto" w:fill="FFFFFF"/>
            <w:tcMar>
              <w:top w:w="40" w:type="dxa"/>
              <w:left w:w="0" w:type="dxa"/>
              <w:bottom w:w="40" w:type="dxa"/>
              <w:right w:w="20" w:type="dxa"/>
            </w:tcMar>
            <w:vAlign w:val="center"/>
          </w:tcPr>
          <w:p w14:paraId="7E78485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5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5B" w14:textId="77777777" w:rsidR="00A82082" w:rsidRDefault="00E946F9">
            <w:pPr>
              <w:jc w:val="right"/>
              <w:textAlignment w:val="center"/>
            </w:pPr>
            <w:r>
              <w:rPr>
                <w:rFonts w:ascii="Times New Roman" w:eastAsia="宋体" w:hAnsi="Times New Roman"/>
                <w:color w:val="000000"/>
                <w:sz w:val="16"/>
                <w:szCs w:val="16"/>
              </w:rPr>
              <w:t>(34)</w:t>
            </w:r>
          </w:p>
        </w:tc>
        <w:tc>
          <w:tcPr>
            <w:tcW w:w="0" w:type="auto"/>
            <w:shd w:val="clear" w:color="auto" w:fill="FFFFFF"/>
            <w:tcMar>
              <w:top w:w="40" w:type="dxa"/>
              <w:left w:w="0" w:type="dxa"/>
              <w:bottom w:w="40" w:type="dxa"/>
              <w:right w:w="20" w:type="dxa"/>
            </w:tcMar>
            <w:vAlign w:val="center"/>
          </w:tcPr>
          <w:p w14:paraId="7E78485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5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5E" w14:textId="77777777" w:rsidR="00A82082" w:rsidRDefault="00E946F9">
            <w:pPr>
              <w:jc w:val="right"/>
              <w:textAlignment w:val="center"/>
            </w:pPr>
            <w:r>
              <w:rPr>
                <w:rFonts w:ascii="Times New Roman" w:eastAsia="宋体" w:hAnsi="Times New Roman"/>
                <w:color w:val="000000"/>
                <w:sz w:val="16"/>
                <w:szCs w:val="16"/>
              </w:rPr>
              <w:t>(300)</w:t>
            </w:r>
          </w:p>
        </w:tc>
        <w:tc>
          <w:tcPr>
            <w:tcW w:w="0" w:type="auto"/>
            <w:shd w:val="clear" w:color="auto" w:fill="FFFFFF"/>
            <w:tcMar>
              <w:top w:w="40" w:type="dxa"/>
              <w:left w:w="0" w:type="dxa"/>
              <w:bottom w:w="40" w:type="dxa"/>
              <w:right w:w="20" w:type="dxa"/>
            </w:tcMar>
            <w:vAlign w:val="center"/>
          </w:tcPr>
          <w:p w14:paraId="7E78485F" w14:textId="77777777" w:rsidR="00A82082" w:rsidRDefault="00A82082">
            <w:pPr>
              <w:jc w:val="right"/>
              <w:rPr>
                <w:rFonts w:ascii="宋体"/>
              </w:rPr>
            </w:pPr>
          </w:p>
        </w:tc>
        <w:tc>
          <w:tcPr>
            <w:tcW w:w="0" w:type="auto"/>
            <w:shd w:val="clear" w:color="auto" w:fill="auto"/>
          </w:tcPr>
          <w:p w14:paraId="7E784860" w14:textId="77777777" w:rsidR="00A82082" w:rsidRDefault="00A82082">
            <w:pPr>
              <w:rPr>
                <w:rFonts w:ascii="宋体"/>
                <w:vanish/>
              </w:rPr>
            </w:pPr>
          </w:p>
        </w:tc>
        <w:tc>
          <w:tcPr>
            <w:tcW w:w="0" w:type="auto"/>
            <w:shd w:val="clear" w:color="auto" w:fill="auto"/>
          </w:tcPr>
          <w:p w14:paraId="7E784861" w14:textId="77777777" w:rsidR="00A82082" w:rsidRDefault="00A82082">
            <w:pPr>
              <w:rPr>
                <w:rFonts w:ascii="宋体"/>
                <w:vanish/>
              </w:rPr>
            </w:pPr>
          </w:p>
        </w:tc>
        <w:tc>
          <w:tcPr>
            <w:tcW w:w="0" w:type="auto"/>
            <w:shd w:val="clear" w:color="auto" w:fill="auto"/>
          </w:tcPr>
          <w:p w14:paraId="7E784862" w14:textId="77777777" w:rsidR="00A82082" w:rsidRDefault="00A82082">
            <w:pPr>
              <w:rPr>
                <w:rFonts w:ascii="宋体"/>
                <w:vanish/>
              </w:rPr>
            </w:pPr>
          </w:p>
        </w:tc>
      </w:tr>
      <w:tr w:rsidR="00A82082" w14:paraId="7E78487F" w14:textId="77777777">
        <w:trPr>
          <w:jc w:val="center"/>
        </w:trPr>
        <w:tc>
          <w:tcPr>
            <w:tcW w:w="0" w:type="auto"/>
            <w:gridSpan w:val="3"/>
            <w:shd w:val="clear" w:color="auto" w:fill="CCEEFF"/>
            <w:tcMar>
              <w:top w:w="40" w:type="dxa"/>
              <w:left w:w="20" w:type="dxa"/>
              <w:bottom w:w="40" w:type="dxa"/>
              <w:right w:w="20" w:type="dxa"/>
            </w:tcMar>
            <w:vAlign w:val="center"/>
          </w:tcPr>
          <w:p w14:paraId="7E784864"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7E78486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6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6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6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6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6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6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6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6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6E" w14:textId="77777777" w:rsidR="00A82082" w:rsidRDefault="00E946F9">
            <w:pPr>
              <w:jc w:val="right"/>
              <w:textAlignment w:val="center"/>
            </w:pPr>
            <w:r>
              <w:rPr>
                <w:rFonts w:ascii="Times New Roman" w:eastAsia="宋体" w:hAnsi="Times New Roman"/>
                <w:color w:val="000000"/>
                <w:sz w:val="16"/>
                <w:szCs w:val="16"/>
              </w:rPr>
              <w:t>3,842 </w:t>
            </w:r>
          </w:p>
        </w:tc>
        <w:tc>
          <w:tcPr>
            <w:tcW w:w="0" w:type="auto"/>
            <w:shd w:val="clear" w:color="auto" w:fill="CCEEFF"/>
            <w:tcMar>
              <w:top w:w="40" w:type="dxa"/>
              <w:left w:w="0" w:type="dxa"/>
              <w:bottom w:w="40" w:type="dxa"/>
              <w:right w:w="20" w:type="dxa"/>
            </w:tcMar>
            <w:vAlign w:val="center"/>
          </w:tcPr>
          <w:p w14:paraId="7E78486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7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7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7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7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74" w14:textId="77777777" w:rsidR="00A82082" w:rsidRDefault="00E946F9">
            <w:pPr>
              <w:jc w:val="right"/>
              <w:textAlignment w:val="center"/>
            </w:pPr>
            <w:r>
              <w:rPr>
                <w:rFonts w:ascii="Times New Roman" w:eastAsia="宋体" w:hAnsi="Times New Roman"/>
                <w:color w:val="000000"/>
                <w:sz w:val="16"/>
                <w:szCs w:val="16"/>
              </w:rPr>
              <w:t>3,842 </w:t>
            </w:r>
          </w:p>
        </w:tc>
        <w:tc>
          <w:tcPr>
            <w:tcW w:w="0" w:type="auto"/>
            <w:shd w:val="clear" w:color="auto" w:fill="CCEEFF"/>
            <w:tcMar>
              <w:top w:w="40" w:type="dxa"/>
              <w:left w:w="0" w:type="dxa"/>
              <w:bottom w:w="40" w:type="dxa"/>
              <w:right w:w="20" w:type="dxa"/>
            </w:tcMar>
            <w:vAlign w:val="center"/>
          </w:tcPr>
          <w:p w14:paraId="7E78487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7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77" w14:textId="77777777" w:rsidR="00A82082" w:rsidRDefault="00E946F9">
            <w:pPr>
              <w:jc w:val="right"/>
              <w:textAlignment w:val="center"/>
            </w:pPr>
            <w:r>
              <w:rPr>
                <w:rFonts w:ascii="Times New Roman" w:eastAsia="宋体" w:hAnsi="Times New Roman"/>
                <w:color w:val="000000"/>
                <w:sz w:val="16"/>
                <w:szCs w:val="16"/>
              </w:rPr>
              <w:t>64 </w:t>
            </w:r>
          </w:p>
        </w:tc>
        <w:tc>
          <w:tcPr>
            <w:tcW w:w="0" w:type="auto"/>
            <w:shd w:val="clear" w:color="auto" w:fill="CCEEFF"/>
            <w:tcMar>
              <w:top w:w="40" w:type="dxa"/>
              <w:left w:w="0" w:type="dxa"/>
              <w:bottom w:w="40" w:type="dxa"/>
              <w:right w:w="20" w:type="dxa"/>
            </w:tcMar>
            <w:vAlign w:val="center"/>
          </w:tcPr>
          <w:p w14:paraId="7E78487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7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7A" w14:textId="77777777" w:rsidR="00A82082" w:rsidRDefault="00E946F9">
            <w:pPr>
              <w:jc w:val="right"/>
              <w:textAlignment w:val="center"/>
            </w:pPr>
            <w:r>
              <w:rPr>
                <w:rFonts w:ascii="Times New Roman" w:eastAsia="宋体" w:hAnsi="Times New Roman"/>
                <w:color w:val="000000"/>
                <w:sz w:val="16"/>
                <w:szCs w:val="16"/>
              </w:rPr>
              <w:t>3,906 </w:t>
            </w:r>
          </w:p>
        </w:tc>
        <w:tc>
          <w:tcPr>
            <w:tcW w:w="0" w:type="auto"/>
            <w:shd w:val="clear" w:color="auto" w:fill="CCEEFF"/>
            <w:tcMar>
              <w:top w:w="40" w:type="dxa"/>
              <w:left w:w="0" w:type="dxa"/>
              <w:bottom w:w="40" w:type="dxa"/>
              <w:right w:w="20" w:type="dxa"/>
            </w:tcMar>
            <w:vAlign w:val="center"/>
          </w:tcPr>
          <w:p w14:paraId="7E78487B" w14:textId="77777777" w:rsidR="00A82082" w:rsidRDefault="00A82082">
            <w:pPr>
              <w:jc w:val="right"/>
              <w:rPr>
                <w:rFonts w:ascii="宋体"/>
              </w:rPr>
            </w:pPr>
          </w:p>
        </w:tc>
        <w:tc>
          <w:tcPr>
            <w:tcW w:w="0" w:type="auto"/>
            <w:shd w:val="clear" w:color="auto" w:fill="auto"/>
          </w:tcPr>
          <w:p w14:paraId="7E78487C" w14:textId="77777777" w:rsidR="00A82082" w:rsidRDefault="00A82082">
            <w:pPr>
              <w:rPr>
                <w:rFonts w:ascii="宋体"/>
                <w:vanish/>
              </w:rPr>
            </w:pPr>
          </w:p>
        </w:tc>
        <w:tc>
          <w:tcPr>
            <w:tcW w:w="0" w:type="auto"/>
            <w:shd w:val="clear" w:color="auto" w:fill="auto"/>
          </w:tcPr>
          <w:p w14:paraId="7E78487D" w14:textId="77777777" w:rsidR="00A82082" w:rsidRDefault="00A82082">
            <w:pPr>
              <w:rPr>
                <w:rFonts w:ascii="宋体"/>
                <w:vanish/>
              </w:rPr>
            </w:pPr>
          </w:p>
        </w:tc>
        <w:tc>
          <w:tcPr>
            <w:tcW w:w="0" w:type="auto"/>
            <w:shd w:val="clear" w:color="auto" w:fill="auto"/>
          </w:tcPr>
          <w:p w14:paraId="7E78487E" w14:textId="77777777" w:rsidR="00A82082" w:rsidRDefault="00A82082">
            <w:pPr>
              <w:rPr>
                <w:rFonts w:ascii="宋体"/>
                <w:vanish/>
              </w:rPr>
            </w:pPr>
          </w:p>
        </w:tc>
      </w:tr>
      <w:tr w:rsidR="00A82082" w14:paraId="7E78489B" w14:textId="77777777">
        <w:trPr>
          <w:jc w:val="center"/>
        </w:trPr>
        <w:tc>
          <w:tcPr>
            <w:tcW w:w="0" w:type="auto"/>
            <w:gridSpan w:val="3"/>
            <w:shd w:val="clear" w:color="auto" w:fill="FFFFFF"/>
            <w:tcMar>
              <w:top w:w="40" w:type="dxa"/>
              <w:left w:w="20" w:type="dxa"/>
              <w:bottom w:w="40" w:type="dxa"/>
              <w:right w:w="20" w:type="dxa"/>
            </w:tcMar>
            <w:vAlign w:val="center"/>
          </w:tcPr>
          <w:p w14:paraId="7E784880" w14:textId="77777777" w:rsidR="00A82082" w:rsidRDefault="00E946F9">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FFFFFF"/>
            <w:tcMar>
              <w:top w:w="40" w:type="dxa"/>
              <w:left w:w="20" w:type="dxa"/>
              <w:bottom w:w="40" w:type="dxa"/>
              <w:right w:w="0" w:type="dxa"/>
            </w:tcMar>
            <w:vAlign w:val="center"/>
          </w:tcPr>
          <w:p w14:paraId="7E78488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8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8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8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8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8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8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8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8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8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88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8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8D" w14:textId="77777777" w:rsidR="00A82082" w:rsidRDefault="00E946F9">
            <w:pPr>
              <w:jc w:val="right"/>
              <w:textAlignment w:val="center"/>
            </w:pPr>
            <w:r>
              <w:rPr>
                <w:rFonts w:ascii="Times New Roman" w:eastAsia="宋体" w:hAnsi="Times New Roman"/>
                <w:color w:val="000000"/>
                <w:sz w:val="16"/>
                <w:szCs w:val="16"/>
              </w:rPr>
              <w:t>451 </w:t>
            </w:r>
          </w:p>
        </w:tc>
        <w:tc>
          <w:tcPr>
            <w:tcW w:w="0" w:type="auto"/>
            <w:shd w:val="clear" w:color="auto" w:fill="FFFFFF"/>
            <w:tcMar>
              <w:top w:w="40" w:type="dxa"/>
              <w:left w:w="0" w:type="dxa"/>
              <w:bottom w:w="40" w:type="dxa"/>
              <w:right w:w="20" w:type="dxa"/>
            </w:tcMar>
            <w:vAlign w:val="center"/>
          </w:tcPr>
          <w:p w14:paraId="7E78488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8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90" w14:textId="77777777" w:rsidR="00A82082" w:rsidRDefault="00E946F9">
            <w:pPr>
              <w:jc w:val="right"/>
              <w:textAlignment w:val="center"/>
            </w:pPr>
            <w:r>
              <w:rPr>
                <w:rFonts w:ascii="Times New Roman" w:eastAsia="宋体" w:hAnsi="Times New Roman"/>
                <w:color w:val="000000"/>
                <w:sz w:val="16"/>
                <w:szCs w:val="16"/>
              </w:rPr>
              <w:t>451 </w:t>
            </w:r>
          </w:p>
        </w:tc>
        <w:tc>
          <w:tcPr>
            <w:tcW w:w="0" w:type="auto"/>
            <w:shd w:val="clear" w:color="auto" w:fill="FFFFFF"/>
            <w:tcMar>
              <w:top w:w="40" w:type="dxa"/>
              <w:left w:w="0" w:type="dxa"/>
              <w:bottom w:w="40" w:type="dxa"/>
              <w:right w:w="20" w:type="dxa"/>
            </w:tcMar>
            <w:vAlign w:val="center"/>
          </w:tcPr>
          <w:p w14:paraId="7E78489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9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93" w14:textId="77777777" w:rsidR="00A82082" w:rsidRDefault="00E946F9">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7E78489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89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896" w14:textId="77777777" w:rsidR="00A82082" w:rsidRDefault="00E946F9">
            <w:pPr>
              <w:jc w:val="right"/>
              <w:textAlignment w:val="center"/>
            </w:pPr>
            <w:r>
              <w:rPr>
                <w:rFonts w:ascii="Times New Roman" w:eastAsia="宋体" w:hAnsi="Times New Roman"/>
                <w:color w:val="000000"/>
                <w:sz w:val="16"/>
                <w:szCs w:val="16"/>
              </w:rPr>
              <w:t>485 </w:t>
            </w:r>
          </w:p>
        </w:tc>
        <w:tc>
          <w:tcPr>
            <w:tcW w:w="0" w:type="auto"/>
            <w:shd w:val="clear" w:color="auto" w:fill="FFFFFF"/>
            <w:tcMar>
              <w:top w:w="40" w:type="dxa"/>
              <w:left w:w="0" w:type="dxa"/>
              <w:bottom w:w="40" w:type="dxa"/>
              <w:right w:w="20" w:type="dxa"/>
            </w:tcMar>
            <w:vAlign w:val="center"/>
          </w:tcPr>
          <w:p w14:paraId="7E784897" w14:textId="77777777" w:rsidR="00A82082" w:rsidRDefault="00A82082">
            <w:pPr>
              <w:jc w:val="right"/>
              <w:rPr>
                <w:rFonts w:ascii="宋体"/>
              </w:rPr>
            </w:pPr>
          </w:p>
        </w:tc>
        <w:tc>
          <w:tcPr>
            <w:tcW w:w="0" w:type="auto"/>
            <w:shd w:val="clear" w:color="auto" w:fill="auto"/>
          </w:tcPr>
          <w:p w14:paraId="7E784898" w14:textId="77777777" w:rsidR="00A82082" w:rsidRDefault="00A82082">
            <w:pPr>
              <w:rPr>
                <w:rFonts w:ascii="宋体"/>
                <w:vanish/>
              </w:rPr>
            </w:pPr>
          </w:p>
        </w:tc>
        <w:tc>
          <w:tcPr>
            <w:tcW w:w="0" w:type="auto"/>
            <w:shd w:val="clear" w:color="auto" w:fill="auto"/>
          </w:tcPr>
          <w:p w14:paraId="7E784899" w14:textId="77777777" w:rsidR="00A82082" w:rsidRDefault="00A82082">
            <w:pPr>
              <w:rPr>
                <w:rFonts w:ascii="宋体"/>
                <w:vanish/>
              </w:rPr>
            </w:pPr>
          </w:p>
        </w:tc>
        <w:tc>
          <w:tcPr>
            <w:tcW w:w="0" w:type="auto"/>
            <w:shd w:val="clear" w:color="auto" w:fill="auto"/>
          </w:tcPr>
          <w:p w14:paraId="7E78489A" w14:textId="77777777" w:rsidR="00A82082" w:rsidRDefault="00A82082">
            <w:pPr>
              <w:rPr>
                <w:rFonts w:ascii="宋体"/>
                <w:vanish/>
              </w:rPr>
            </w:pPr>
          </w:p>
        </w:tc>
      </w:tr>
      <w:tr w:rsidR="00A82082" w14:paraId="7E7848AF" w14:textId="77777777">
        <w:trPr>
          <w:jc w:val="center"/>
          <w:hidden/>
        </w:trPr>
        <w:tc>
          <w:tcPr>
            <w:tcW w:w="0" w:type="auto"/>
            <w:gridSpan w:val="3"/>
            <w:shd w:val="clear" w:color="auto" w:fill="auto"/>
          </w:tcPr>
          <w:p w14:paraId="7E78489C" w14:textId="77777777" w:rsidR="00A82082" w:rsidRDefault="00A82082">
            <w:pPr>
              <w:rPr>
                <w:rFonts w:ascii="宋体"/>
                <w:vanish/>
              </w:rPr>
            </w:pPr>
          </w:p>
        </w:tc>
        <w:tc>
          <w:tcPr>
            <w:tcW w:w="0" w:type="auto"/>
            <w:gridSpan w:val="3"/>
            <w:shd w:val="clear" w:color="auto" w:fill="auto"/>
          </w:tcPr>
          <w:p w14:paraId="7E78489D" w14:textId="77777777" w:rsidR="00A82082" w:rsidRDefault="00A82082">
            <w:pPr>
              <w:rPr>
                <w:rFonts w:ascii="宋体"/>
                <w:vanish/>
              </w:rPr>
            </w:pPr>
          </w:p>
        </w:tc>
        <w:tc>
          <w:tcPr>
            <w:tcW w:w="0" w:type="auto"/>
            <w:gridSpan w:val="3"/>
            <w:shd w:val="clear" w:color="auto" w:fill="auto"/>
          </w:tcPr>
          <w:p w14:paraId="7E78489E" w14:textId="77777777" w:rsidR="00A82082" w:rsidRDefault="00A82082">
            <w:pPr>
              <w:rPr>
                <w:rFonts w:ascii="宋体"/>
                <w:vanish/>
              </w:rPr>
            </w:pPr>
          </w:p>
        </w:tc>
        <w:tc>
          <w:tcPr>
            <w:tcW w:w="0" w:type="auto"/>
            <w:gridSpan w:val="3"/>
            <w:shd w:val="clear" w:color="auto" w:fill="auto"/>
          </w:tcPr>
          <w:p w14:paraId="7E78489F" w14:textId="77777777" w:rsidR="00A82082" w:rsidRDefault="00A82082">
            <w:pPr>
              <w:rPr>
                <w:rFonts w:ascii="宋体"/>
                <w:vanish/>
              </w:rPr>
            </w:pPr>
          </w:p>
        </w:tc>
        <w:tc>
          <w:tcPr>
            <w:tcW w:w="0" w:type="auto"/>
            <w:gridSpan w:val="3"/>
            <w:shd w:val="clear" w:color="auto" w:fill="auto"/>
          </w:tcPr>
          <w:p w14:paraId="7E7848A0" w14:textId="77777777" w:rsidR="00A82082" w:rsidRDefault="00A82082">
            <w:pPr>
              <w:rPr>
                <w:rFonts w:ascii="宋体"/>
                <w:vanish/>
              </w:rPr>
            </w:pPr>
          </w:p>
        </w:tc>
        <w:tc>
          <w:tcPr>
            <w:tcW w:w="0" w:type="auto"/>
            <w:gridSpan w:val="3"/>
            <w:shd w:val="clear" w:color="auto" w:fill="auto"/>
          </w:tcPr>
          <w:p w14:paraId="7E7848A1" w14:textId="77777777" w:rsidR="00A82082" w:rsidRDefault="00A82082">
            <w:pPr>
              <w:rPr>
                <w:rFonts w:ascii="宋体"/>
                <w:vanish/>
              </w:rPr>
            </w:pPr>
          </w:p>
        </w:tc>
        <w:tc>
          <w:tcPr>
            <w:tcW w:w="0" w:type="auto"/>
            <w:gridSpan w:val="3"/>
            <w:shd w:val="clear" w:color="auto" w:fill="auto"/>
          </w:tcPr>
          <w:p w14:paraId="7E7848A2" w14:textId="77777777" w:rsidR="00A82082" w:rsidRDefault="00A82082">
            <w:pPr>
              <w:rPr>
                <w:rFonts w:ascii="宋体"/>
                <w:vanish/>
              </w:rPr>
            </w:pPr>
          </w:p>
        </w:tc>
        <w:tc>
          <w:tcPr>
            <w:tcW w:w="0" w:type="auto"/>
            <w:gridSpan w:val="3"/>
            <w:shd w:val="clear" w:color="auto" w:fill="auto"/>
          </w:tcPr>
          <w:p w14:paraId="7E7848A3" w14:textId="77777777" w:rsidR="00A82082" w:rsidRDefault="00A82082">
            <w:pPr>
              <w:rPr>
                <w:rFonts w:ascii="宋体"/>
                <w:vanish/>
              </w:rPr>
            </w:pPr>
          </w:p>
        </w:tc>
        <w:tc>
          <w:tcPr>
            <w:tcW w:w="0" w:type="auto"/>
            <w:gridSpan w:val="3"/>
            <w:shd w:val="clear" w:color="auto" w:fill="auto"/>
          </w:tcPr>
          <w:p w14:paraId="7E7848A4" w14:textId="77777777" w:rsidR="00A82082" w:rsidRDefault="00A82082">
            <w:pPr>
              <w:rPr>
                <w:rFonts w:ascii="宋体"/>
                <w:vanish/>
              </w:rPr>
            </w:pPr>
          </w:p>
        </w:tc>
        <w:tc>
          <w:tcPr>
            <w:tcW w:w="0" w:type="auto"/>
            <w:gridSpan w:val="3"/>
            <w:shd w:val="clear" w:color="auto" w:fill="auto"/>
          </w:tcPr>
          <w:p w14:paraId="7E7848A5" w14:textId="77777777" w:rsidR="00A82082" w:rsidRDefault="00A82082">
            <w:pPr>
              <w:rPr>
                <w:rFonts w:ascii="宋体"/>
                <w:vanish/>
              </w:rPr>
            </w:pPr>
          </w:p>
        </w:tc>
        <w:tc>
          <w:tcPr>
            <w:tcW w:w="0" w:type="auto"/>
            <w:gridSpan w:val="3"/>
            <w:shd w:val="clear" w:color="auto" w:fill="auto"/>
          </w:tcPr>
          <w:p w14:paraId="7E7848A6" w14:textId="77777777" w:rsidR="00A82082" w:rsidRDefault="00A82082">
            <w:pPr>
              <w:rPr>
                <w:rFonts w:ascii="宋体"/>
                <w:vanish/>
              </w:rPr>
            </w:pPr>
          </w:p>
        </w:tc>
        <w:tc>
          <w:tcPr>
            <w:tcW w:w="0" w:type="auto"/>
            <w:gridSpan w:val="3"/>
            <w:shd w:val="clear" w:color="auto" w:fill="auto"/>
          </w:tcPr>
          <w:p w14:paraId="7E7848A7" w14:textId="77777777" w:rsidR="00A82082" w:rsidRDefault="00A82082">
            <w:pPr>
              <w:rPr>
                <w:rFonts w:ascii="宋体"/>
                <w:vanish/>
              </w:rPr>
            </w:pPr>
          </w:p>
        </w:tc>
        <w:tc>
          <w:tcPr>
            <w:tcW w:w="0" w:type="auto"/>
            <w:gridSpan w:val="3"/>
            <w:shd w:val="clear" w:color="auto" w:fill="auto"/>
          </w:tcPr>
          <w:p w14:paraId="7E7848A8" w14:textId="77777777" w:rsidR="00A82082" w:rsidRDefault="00A82082">
            <w:pPr>
              <w:rPr>
                <w:rFonts w:ascii="宋体"/>
                <w:vanish/>
              </w:rPr>
            </w:pPr>
          </w:p>
        </w:tc>
        <w:tc>
          <w:tcPr>
            <w:tcW w:w="0" w:type="auto"/>
            <w:gridSpan w:val="3"/>
            <w:shd w:val="clear" w:color="auto" w:fill="auto"/>
          </w:tcPr>
          <w:p w14:paraId="7E7848A9" w14:textId="77777777" w:rsidR="00A82082" w:rsidRDefault="00A82082">
            <w:pPr>
              <w:rPr>
                <w:rFonts w:ascii="宋体"/>
                <w:vanish/>
              </w:rPr>
            </w:pPr>
          </w:p>
        </w:tc>
        <w:tc>
          <w:tcPr>
            <w:tcW w:w="0" w:type="auto"/>
            <w:gridSpan w:val="3"/>
            <w:shd w:val="clear" w:color="auto" w:fill="auto"/>
          </w:tcPr>
          <w:p w14:paraId="7E7848AA" w14:textId="77777777" w:rsidR="00A82082" w:rsidRDefault="00A82082">
            <w:pPr>
              <w:rPr>
                <w:rFonts w:ascii="宋体"/>
                <w:vanish/>
              </w:rPr>
            </w:pPr>
          </w:p>
        </w:tc>
        <w:tc>
          <w:tcPr>
            <w:tcW w:w="0" w:type="auto"/>
            <w:gridSpan w:val="3"/>
            <w:shd w:val="clear" w:color="auto" w:fill="auto"/>
          </w:tcPr>
          <w:p w14:paraId="7E7848AB" w14:textId="77777777" w:rsidR="00A82082" w:rsidRDefault="00A82082">
            <w:pPr>
              <w:rPr>
                <w:rFonts w:ascii="宋体"/>
                <w:vanish/>
              </w:rPr>
            </w:pPr>
          </w:p>
        </w:tc>
        <w:tc>
          <w:tcPr>
            <w:tcW w:w="0" w:type="auto"/>
            <w:shd w:val="clear" w:color="auto" w:fill="auto"/>
          </w:tcPr>
          <w:p w14:paraId="7E7848AC" w14:textId="77777777" w:rsidR="00A82082" w:rsidRDefault="00A82082">
            <w:pPr>
              <w:rPr>
                <w:rFonts w:ascii="宋体"/>
                <w:vanish/>
              </w:rPr>
            </w:pPr>
          </w:p>
        </w:tc>
        <w:tc>
          <w:tcPr>
            <w:tcW w:w="0" w:type="auto"/>
            <w:shd w:val="clear" w:color="auto" w:fill="auto"/>
          </w:tcPr>
          <w:p w14:paraId="7E7848AD" w14:textId="77777777" w:rsidR="00A82082" w:rsidRDefault="00A82082">
            <w:pPr>
              <w:rPr>
                <w:rFonts w:ascii="宋体"/>
                <w:vanish/>
              </w:rPr>
            </w:pPr>
          </w:p>
        </w:tc>
        <w:tc>
          <w:tcPr>
            <w:tcW w:w="0" w:type="auto"/>
            <w:shd w:val="clear" w:color="auto" w:fill="auto"/>
          </w:tcPr>
          <w:p w14:paraId="7E7848AE" w14:textId="77777777" w:rsidR="00A82082" w:rsidRDefault="00A82082">
            <w:pPr>
              <w:rPr>
                <w:rFonts w:ascii="宋体"/>
                <w:vanish/>
              </w:rPr>
            </w:pPr>
          </w:p>
        </w:tc>
      </w:tr>
      <w:tr w:rsidR="00A82082" w14:paraId="7E7848C3" w14:textId="77777777">
        <w:trPr>
          <w:jc w:val="center"/>
          <w:hidden/>
        </w:trPr>
        <w:tc>
          <w:tcPr>
            <w:tcW w:w="0" w:type="auto"/>
            <w:gridSpan w:val="3"/>
            <w:shd w:val="clear" w:color="auto" w:fill="auto"/>
          </w:tcPr>
          <w:p w14:paraId="7E7848B0" w14:textId="77777777" w:rsidR="00A82082" w:rsidRDefault="00A82082">
            <w:pPr>
              <w:rPr>
                <w:rFonts w:ascii="宋体"/>
                <w:vanish/>
              </w:rPr>
            </w:pPr>
          </w:p>
        </w:tc>
        <w:tc>
          <w:tcPr>
            <w:tcW w:w="0" w:type="auto"/>
            <w:gridSpan w:val="3"/>
            <w:shd w:val="clear" w:color="auto" w:fill="auto"/>
          </w:tcPr>
          <w:p w14:paraId="7E7848B1" w14:textId="77777777" w:rsidR="00A82082" w:rsidRDefault="00A82082">
            <w:pPr>
              <w:rPr>
                <w:rFonts w:ascii="宋体"/>
                <w:vanish/>
              </w:rPr>
            </w:pPr>
          </w:p>
        </w:tc>
        <w:tc>
          <w:tcPr>
            <w:tcW w:w="0" w:type="auto"/>
            <w:gridSpan w:val="3"/>
            <w:shd w:val="clear" w:color="auto" w:fill="auto"/>
          </w:tcPr>
          <w:p w14:paraId="7E7848B2" w14:textId="77777777" w:rsidR="00A82082" w:rsidRDefault="00A82082">
            <w:pPr>
              <w:rPr>
                <w:rFonts w:ascii="宋体"/>
                <w:vanish/>
              </w:rPr>
            </w:pPr>
          </w:p>
        </w:tc>
        <w:tc>
          <w:tcPr>
            <w:tcW w:w="0" w:type="auto"/>
            <w:gridSpan w:val="3"/>
            <w:shd w:val="clear" w:color="auto" w:fill="auto"/>
          </w:tcPr>
          <w:p w14:paraId="7E7848B3" w14:textId="77777777" w:rsidR="00A82082" w:rsidRDefault="00A82082">
            <w:pPr>
              <w:rPr>
                <w:rFonts w:ascii="宋体"/>
                <w:vanish/>
              </w:rPr>
            </w:pPr>
          </w:p>
        </w:tc>
        <w:tc>
          <w:tcPr>
            <w:tcW w:w="0" w:type="auto"/>
            <w:gridSpan w:val="3"/>
            <w:shd w:val="clear" w:color="auto" w:fill="auto"/>
          </w:tcPr>
          <w:p w14:paraId="7E7848B4" w14:textId="77777777" w:rsidR="00A82082" w:rsidRDefault="00A82082">
            <w:pPr>
              <w:rPr>
                <w:rFonts w:ascii="宋体"/>
                <w:vanish/>
              </w:rPr>
            </w:pPr>
          </w:p>
        </w:tc>
        <w:tc>
          <w:tcPr>
            <w:tcW w:w="0" w:type="auto"/>
            <w:gridSpan w:val="3"/>
            <w:shd w:val="clear" w:color="auto" w:fill="auto"/>
          </w:tcPr>
          <w:p w14:paraId="7E7848B5" w14:textId="77777777" w:rsidR="00A82082" w:rsidRDefault="00A82082">
            <w:pPr>
              <w:rPr>
                <w:rFonts w:ascii="宋体"/>
                <w:vanish/>
              </w:rPr>
            </w:pPr>
          </w:p>
        </w:tc>
        <w:tc>
          <w:tcPr>
            <w:tcW w:w="0" w:type="auto"/>
            <w:gridSpan w:val="3"/>
            <w:shd w:val="clear" w:color="auto" w:fill="auto"/>
          </w:tcPr>
          <w:p w14:paraId="7E7848B6" w14:textId="77777777" w:rsidR="00A82082" w:rsidRDefault="00A82082">
            <w:pPr>
              <w:rPr>
                <w:rFonts w:ascii="宋体"/>
                <w:vanish/>
              </w:rPr>
            </w:pPr>
          </w:p>
        </w:tc>
        <w:tc>
          <w:tcPr>
            <w:tcW w:w="0" w:type="auto"/>
            <w:gridSpan w:val="3"/>
            <w:shd w:val="clear" w:color="auto" w:fill="auto"/>
          </w:tcPr>
          <w:p w14:paraId="7E7848B7" w14:textId="77777777" w:rsidR="00A82082" w:rsidRDefault="00A82082">
            <w:pPr>
              <w:rPr>
                <w:rFonts w:ascii="宋体"/>
                <w:vanish/>
              </w:rPr>
            </w:pPr>
          </w:p>
        </w:tc>
        <w:tc>
          <w:tcPr>
            <w:tcW w:w="0" w:type="auto"/>
            <w:gridSpan w:val="3"/>
            <w:shd w:val="clear" w:color="auto" w:fill="auto"/>
          </w:tcPr>
          <w:p w14:paraId="7E7848B8" w14:textId="77777777" w:rsidR="00A82082" w:rsidRDefault="00A82082">
            <w:pPr>
              <w:rPr>
                <w:rFonts w:ascii="宋体"/>
                <w:vanish/>
              </w:rPr>
            </w:pPr>
          </w:p>
        </w:tc>
        <w:tc>
          <w:tcPr>
            <w:tcW w:w="0" w:type="auto"/>
            <w:gridSpan w:val="3"/>
            <w:shd w:val="clear" w:color="auto" w:fill="auto"/>
          </w:tcPr>
          <w:p w14:paraId="7E7848B9" w14:textId="77777777" w:rsidR="00A82082" w:rsidRDefault="00A82082">
            <w:pPr>
              <w:rPr>
                <w:rFonts w:ascii="宋体"/>
                <w:vanish/>
              </w:rPr>
            </w:pPr>
          </w:p>
        </w:tc>
        <w:tc>
          <w:tcPr>
            <w:tcW w:w="0" w:type="auto"/>
            <w:gridSpan w:val="3"/>
            <w:shd w:val="clear" w:color="auto" w:fill="auto"/>
          </w:tcPr>
          <w:p w14:paraId="7E7848BA" w14:textId="77777777" w:rsidR="00A82082" w:rsidRDefault="00A82082">
            <w:pPr>
              <w:rPr>
                <w:rFonts w:ascii="宋体"/>
                <w:vanish/>
              </w:rPr>
            </w:pPr>
          </w:p>
        </w:tc>
        <w:tc>
          <w:tcPr>
            <w:tcW w:w="0" w:type="auto"/>
            <w:gridSpan w:val="3"/>
            <w:shd w:val="clear" w:color="auto" w:fill="auto"/>
          </w:tcPr>
          <w:p w14:paraId="7E7848BB" w14:textId="77777777" w:rsidR="00A82082" w:rsidRDefault="00A82082">
            <w:pPr>
              <w:rPr>
                <w:rFonts w:ascii="宋体"/>
                <w:vanish/>
              </w:rPr>
            </w:pPr>
          </w:p>
        </w:tc>
        <w:tc>
          <w:tcPr>
            <w:tcW w:w="0" w:type="auto"/>
            <w:gridSpan w:val="3"/>
            <w:shd w:val="clear" w:color="auto" w:fill="auto"/>
          </w:tcPr>
          <w:p w14:paraId="7E7848BC" w14:textId="77777777" w:rsidR="00A82082" w:rsidRDefault="00A82082">
            <w:pPr>
              <w:rPr>
                <w:rFonts w:ascii="宋体"/>
                <w:vanish/>
              </w:rPr>
            </w:pPr>
          </w:p>
        </w:tc>
        <w:tc>
          <w:tcPr>
            <w:tcW w:w="0" w:type="auto"/>
            <w:gridSpan w:val="3"/>
            <w:shd w:val="clear" w:color="auto" w:fill="auto"/>
          </w:tcPr>
          <w:p w14:paraId="7E7848BD" w14:textId="77777777" w:rsidR="00A82082" w:rsidRDefault="00A82082">
            <w:pPr>
              <w:rPr>
                <w:rFonts w:ascii="宋体"/>
                <w:vanish/>
              </w:rPr>
            </w:pPr>
          </w:p>
        </w:tc>
        <w:tc>
          <w:tcPr>
            <w:tcW w:w="0" w:type="auto"/>
            <w:gridSpan w:val="3"/>
            <w:shd w:val="clear" w:color="auto" w:fill="auto"/>
          </w:tcPr>
          <w:p w14:paraId="7E7848BE" w14:textId="77777777" w:rsidR="00A82082" w:rsidRDefault="00A82082">
            <w:pPr>
              <w:rPr>
                <w:rFonts w:ascii="宋体"/>
                <w:vanish/>
              </w:rPr>
            </w:pPr>
          </w:p>
        </w:tc>
        <w:tc>
          <w:tcPr>
            <w:tcW w:w="0" w:type="auto"/>
            <w:gridSpan w:val="3"/>
            <w:shd w:val="clear" w:color="auto" w:fill="auto"/>
          </w:tcPr>
          <w:p w14:paraId="7E7848BF" w14:textId="77777777" w:rsidR="00A82082" w:rsidRDefault="00A82082">
            <w:pPr>
              <w:rPr>
                <w:rFonts w:ascii="宋体"/>
                <w:vanish/>
              </w:rPr>
            </w:pPr>
          </w:p>
        </w:tc>
        <w:tc>
          <w:tcPr>
            <w:tcW w:w="0" w:type="auto"/>
            <w:shd w:val="clear" w:color="auto" w:fill="auto"/>
          </w:tcPr>
          <w:p w14:paraId="7E7848C0" w14:textId="77777777" w:rsidR="00A82082" w:rsidRDefault="00A82082">
            <w:pPr>
              <w:rPr>
                <w:rFonts w:ascii="宋体"/>
                <w:vanish/>
              </w:rPr>
            </w:pPr>
          </w:p>
        </w:tc>
        <w:tc>
          <w:tcPr>
            <w:tcW w:w="0" w:type="auto"/>
            <w:shd w:val="clear" w:color="auto" w:fill="auto"/>
          </w:tcPr>
          <w:p w14:paraId="7E7848C1" w14:textId="77777777" w:rsidR="00A82082" w:rsidRDefault="00A82082">
            <w:pPr>
              <w:rPr>
                <w:rFonts w:ascii="宋体"/>
                <w:vanish/>
              </w:rPr>
            </w:pPr>
          </w:p>
        </w:tc>
        <w:tc>
          <w:tcPr>
            <w:tcW w:w="0" w:type="auto"/>
            <w:shd w:val="clear" w:color="auto" w:fill="auto"/>
          </w:tcPr>
          <w:p w14:paraId="7E7848C2" w14:textId="77777777" w:rsidR="00A82082" w:rsidRDefault="00A82082">
            <w:pPr>
              <w:rPr>
                <w:rFonts w:ascii="宋体"/>
                <w:vanish/>
              </w:rPr>
            </w:pPr>
          </w:p>
        </w:tc>
      </w:tr>
      <w:tr w:rsidR="00A82082" w14:paraId="7E7848D7" w14:textId="77777777">
        <w:trPr>
          <w:jc w:val="center"/>
          <w:hidden/>
        </w:trPr>
        <w:tc>
          <w:tcPr>
            <w:tcW w:w="0" w:type="auto"/>
            <w:gridSpan w:val="3"/>
            <w:shd w:val="clear" w:color="auto" w:fill="auto"/>
          </w:tcPr>
          <w:p w14:paraId="7E7848C4" w14:textId="77777777" w:rsidR="00A82082" w:rsidRDefault="00A82082">
            <w:pPr>
              <w:rPr>
                <w:rFonts w:ascii="宋体"/>
                <w:vanish/>
              </w:rPr>
            </w:pPr>
          </w:p>
        </w:tc>
        <w:tc>
          <w:tcPr>
            <w:tcW w:w="0" w:type="auto"/>
            <w:gridSpan w:val="3"/>
            <w:shd w:val="clear" w:color="auto" w:fill="auto"/>
          </w:tcPr>
          <w:p w14:paraId="7E7848C5" w14:textId="77777777" w:rsidR="00A82082" w:rsidRDefault="00A82082">
            <w:pPr>
              <w:rPr>
                <w:rFonts w:ascii="宋体"/>
                <w:vanish/>
              </w:rPr>
            </w:pPr>
          </w:p>
        </w:tc>
        <w:tc>
          <w:tcPr>
            <w:tcW w:w="0" w:type="auto"/>
            <w:gridSpan w:val="3"/>
            <w:shd w:val="clear" w:color="auto" w:fill="auto"/>
          </w:tcPr>
          <w:p w14:paraId="7E7848C6" w14:textId="77777777" w:rsidR="00A82082" w:rsidRDefault="00A82082">
            <w:pPr>
              <w:rPr>
                <w:rFonts w:ascii="宋体"/>
                <w:vanish/>
              </w:rPr>
            </w:pPr>
          </w:p>
        </w:tc>
        <w:tc>
          <w:tcPr>
            <w:tcW w:w="0" w:type="auto"/>
            <w:gridSpan w:val="3"/>
            <w:shd w:val="clear" w:color="auto" w:fill="auto"/>
          </w:tcPr>
          <w:p w14:paraId="7E7848C7" w14:textId="77777777" w:rsidR="00A82082" w:rsidRDefault="00A82082">
            <w:pPr>
              <w:rPr>
                <w:rFonts w:ascii="宋体"/>
                <w:vanish/>
              </w:rPr>
            </w:pPr>
          </w:p>
        </w:tc>
        <w:tc>
          <w:tcPr>
            <w:tcW w:w="0" w:type="auto"/>
            <w:gridSpan w:val="3"/>
            <w:shd w:val="clear" w:color="auto" w:fill="auto"/>
          </w:tcPr>
          <w:p w14:paraId="7E7848C8" w14:textId="77777777" w:rsidR="00A82082" w:rsidRDefault="00A82082">
            <w:pPr>
              <w:rPr>
                <w:rFonts w:ascii="宋体"/>
                <w:vanish/>
              </w:rPr>
            </w:pPr>
          </w:p>
        </w:tc>
        <w:tc>
          <w:tcPr>
            <w:tcW w:w="0" w:type="auto"/>
            <w:gridSpan w:val="3"/>
            <w:shd w:val="clear" w:color="auto" w:fill="auto"/>
          </w:tcPr>
          <w:p w14:paraId="7E7848C9" w14:textId="77777777" w:rsidR="00A82082" w:rsidRDefault="00A82082">
            <w:pPr>
              <w:rPr>
                <w:rFonts w:ascii="宋体"/>
                <w:vanish/>
              </w:rPr>
            </w:pPr>
          </w:p>
        </w:tc>
        <w:tc>
          <w:tcPr>
            <w:tcW w:w="0" w:type="auto"/>
            <w:gridSpan w:val="3"/>
            <w:shd w:val="clear" w:color="auto" w:fill="auto"/>
          </w:tcPr>
          <w:p w14:paraId="7E7848CA" w14:textId="77777777" w:rsidR="00A82082" w:rsidRDefault="00A82082">
            <w:pPr>
              <w:rPr>
                <w:rFonts w:ascii="宋体"/>
                <w:vanish/>
              </w:rPr>
            </w:pPr>
          </w:p>
        </w:tc>
        <w:tc>
          <w:tcPr>
            <w:tcW w:w="0" w:type="auto"/>
            <w:gridSpan w:val="3"/>
            <w:shd w:val="clear" w:color="auto" w:fill="auto"/>
          </w:tcPr>
          <w:p w14:paraId="7E7848CB" w14:textId="77777777" w:rsidR="00A82082" w:rsidRDefault="00A82082">
            <w:pPr>
              <w:rPr>
                <w:rFonts w:ascii="宋体"/>
                <w:vanish/>
              </w:rPr>
            </w:pPr>
          </w:p>
        </w:tc>
        <w:tc>
          <w:tcPr>
            <w:tcW w:w="0" w:type="auto"/>
            <w:gridSpan w:val="3"/>
            <w:shd w:val="clear" w:color="auto" w:fill="auto"/>
          </w:tcPr>
          <w:p w14:paraId="7E7848CC" w14:textId="77777777" w:rsidR="00A82082" w:rsidRDefault="00A82082">
            <w:pPr>
              <w:rPr>
                <w:rFonts w:ascii="宋体"/>
                <w:vanish/>
              </w:rPr>
            </w:pPr>
          </w:p>
        </w:tc>
        <w:tc>
          <w:tcPr>
            <w:tcW w:w="0" w:type="auto"/>
            <w:gridSpan w:val="3"/>
            <w:shd w:val="clear" w:color="auto" w:fill="auto"/>
          </w:tcPr>
          <w:p w14:paraId="7E7848CD" w14:textId="77777777" w:rsidR="00A82082" w:rsidRDefault="00A82082">
            <w:pPr>
              <w:rPr>
                <w:rFonts w:ascii="宋体"/>
                <w:vanish/>
              </w:rPr>
            </w:pPr>
          </w:p>
        </w:tc>
        <w:tc>
          <w:tcPr>
            <w:tcW w:w="0" w:type="auto"/>
            <w:gridSpan w:val="3"/>
            <w:shd w:val="clear" w:color="auto" w:fill="auto"/>
          </w:tcPr>
          <w:p w14:paraId="7E7848CE" w14:textId="77777777" w:rsidR="00A82082" w:rsidRDefault="00A82082">
            <w:pPr>
              <w:rPr>
                <w:rFonts w:ascii="宋体"/>
                <w:vanish/>
              </w:rPr>
            </w:pPr>
          </w:p>
        </w:tc>
        <w:tc>
          <w:tcPr>
            <w:tcW w:w="0" w:type="auto"/>
            <w:gridSpan w:val="3"/>
            <w:shd w:val="clear" w:color="auto" w:fill="auto"/>
          </w:tcPr>
          <w:p w14:paraId="7E7848CF" w14:textId="77777777" w:rsidR="00A82082" w:rsidRDefault="00A82082">
            <w:pPr>
              <w:rPr>
                <w:rFonts w:ascii="宋体"/>
                <w:vanish/>
              </w:rPr>
            </w:pPr>
          </w:p>
        </w:tc>
        <w:tc>
          <w:tcPr>
            <w:tcW w:w="0" w:type="auto"/>
            <w:gridSpan w:val="3"/>
            <w:shd w:val="clear" w:color="auto" w:fill="auto"/>
          </w:tcPr>
          <w:p w14:paraId="7E7848D0" w14:textId="77777777" w:rsidR="00A82082" w:rsidRDefault="00A82082">
            <w:pPr>
              <w:rPr>
                <w:rFonts w:ascii="宋体"/>
                <w:vanish/>
              </w:rPr>
            </w:pPr>
          </w:p>
        </w:tc>
        <w:tc>
          <w:tcPr>
            <w:tcW w:w="0" w:type="auto"/>
            <w:gridSpan w:val="3"/>
            <w:shd w:val="clear" w:color="auto" w:fill="auto"/>
          </w:tcPr>
          <w:p w14:paraId="7E7848D1" w14:textId="77777777" w:rsidR="00A82082" w:rsidRDefault="00A82082">
            <w:pPr>
              <w:rPr>
                <w:rFonts w:ascii="宋体"/>
                <w:vanish/>
              </w:rPr>
            </w:pPr>
          </w:p>
        </w:tc>
        <w:tc>
          <w:tcPr>
            <w:tcW w:w="0" w:type="auto"/>
            <w:gridSpan w:val="3"/>
            <w:shd w:val="clear" w:color="auto" w:fill="auto"/>
          </w:tcPr>
          <w:p w14:paraId="7E7848D2" w14:textId="77777777" w:rsidR="00A82082" w:rsidRDefault="00A82082">
            <w:pPr>
              <w:rPr>
                <w:rFonts w:ascii="宋体"/>
                <w:vanish/>
              </w:rPr>
            </w:pPr>
          </w:p>
        </w:tc>
        <w:tc>
          <w:tcPr>
            <w:tcW w:w="0" w:type="auto"/>
            <w:gridSpan w:val="3"/>
            <w:shd w:val="clear" w:color="auto" w:fill="auto"/>
          </w:tcPr>
          <w:p w14:paraId="7E7848D3" w14:textId="77777777" w:rsidR="00A82082" w:rsidRDefault="00A82082">
            <w:pPr>
              <w:rPr>
                <w:rFonts w:ascii="宋体"/>
                <w:vanish/>
              </w:rPr>
            </w:pPr>
          </w:p>
        </w:tc>
        <w:tc>
          <w:tcPr>
            <w:tcW w:w="0" w:type="auto"/>
            <w:shd w:val="clear" w:color="auto" w:fill="auto"/>
          </w:tcPr>
          <w:p w14:paraId="7E7848D4" w14:textId="77777777" w:rsidR="00A82082" w:rsidRDefault="00A82082">
            <w:pPr>
              <w:rPr>
                <w:rFonts w:ascii="宋体"/>
                <w:vanish/>
              </w:rPr>
            </w:pPr>
          </w:p>
        </w:tc>
        <w:tc>
          <w:tcPr>
            <w:tcW w:w="0" w:type="auto"/>
            <w:shd w:val="clear" w:color="auto" w:fill="auto"/>
          </w:tcPr>
          <w:p w14:paraId="7E7848D5" w14:textId="77777777" w:rsidR="00A82082" w:rsidRDefault="00A82082">
            <w:pPr>
              <w:rPr>
                <w:rFonts w:ascii="宋体"/>
                <w:vanish/>
              </w:rPr>
            </w:pPr>
          </w:p>
        </w:tc>
        <w:tc>
          <w:tcPr>
            <w:tcW w:w="0" w:type="auto"/>
            <w:shd w:val="clear" w:color="auto" w:fill="auto"/>
          </w:tcPr>
          <w:p w14:paraId="7E7848D6" w14:textId="77777777" w:rsidR="00A82082" w:rsidRDefault="00A82082">
            <w:pPr>
              <w:rPr>
                <w:rFonts w:ascii="宋体"/>
                <w:vanish/>
              </w:rPr>
            </w:pPr>
          </w:p>
        </w:tc>
      </w:tr>
      <w:tr w:rsidR="00A82082" w14:paraId="7E7848EB" w14:textId="77777777">
        <w:trPr>
          <w:jc w:val="center"/>
          <w:hidden/>
        </w:trPr>
        <w:tc>
          <w:tcPr>
            <w:tcW w:w="0" w:type="auto"/>
            <w:gridSpan w:val="3"/>
            <w:shd w:val="clear" w:color="auto" w:fill="auto"/>
          </w:tcPr>
          <w:p w14:paraId="7E7848D8" w14:textId="77777777" w:rsidR="00A82082" w:rsidRDefault="00A82082">
            <w:pPr>
              <w:rPr>
                <w:rFonts w:ascii="宋体"/>
                <w:vanish/>
              </w:rPr>
            </w:pPr>
          </w:p>
        </w:tc>
        <w:tc>
          <w:tcPr>
            <w:tcW w:w="0" w:type="auto"/>
            <w:gridSpan w:val="3"/>
            <w:shd w:val="clear" w:color="auto" w:fill="auto"/>
          </w:tcPr>
          <w:p w14:paraId="7E7848D9" w14:textId="77777777" w:rsidR="00A82082" w:rsidRDefault="00A82082">
            <w:pPr>
              <w:rPr>
                <w:rFonts w:ascii="宋体"/>
                <w:vanish/>
              </w:rPr>
            </w:pPr>
          </w:p>
        </w:tc>
        <w:tc>
          <w:tcPr>
            <w:tcW w:w="0" w:type="auto"/>
            <w:gridSpan w:val="3"/>
            <w:shd w:val="clear" w:color="auto" w:fill="auto"/>
          </w:tcPr>
          <w:p w14:paraId="7E7848DA" w14:textId="77777777" w:rsidR="00A82082" w:rsidRDefault="00A82082">
            <w:pPr>
              <w:rPr>
                <w:rFonts w:ascii="宋体"/>
                <w:vanish/>
              </w:rPr>
            </w:pPr>
          </w:p>
        </w:tc>
        <w:tc>
          <w:tcPr>
            <w:tcW w:w="0" w:type="auto"/>
            <w:gridSpan w:val="3"/>
            <w:shd w:val="clear" w:color="auto" w:fill="auto"/>
          </w:tcPr>
          <w:p w14:paraId="7E7848DB" w14:textId="77777777" w:rsidR="00A82082" w:rsidRDefault="00A82082">
            <w:pPr>
              <w:rPr>
                <w:rFonts w:ascii="宋体"/>
                <w:vanish/>
              </w:rPr>
            </w:pPr>
          </w:p>
        </w:tc>
        <w:tc>
          <w:tcPr>
            <w:tcW w:w="0" w:type="auto"/>
            <w:gridSpan w:val="3"/>
            <w:shd w:val="clear" w:color="auto" w:fill="auto"/>
          </w:tcPr>
          <w:p w14:paraId="7E7848DC" w14:textId="77777777" w:rsidR="00A82082" w:rsidRDefault="00A82082">
            <w:pPr>
              <w:rPr>
                <w:rFonts w:ascii="宋体"/>
                <w:vanish/>
              </w:rPr>
            </w:pPr>
          </w:p>
        </w:tc>
        <w:tc>
          <w:tcPr>
            <w:tcW w:w="0" w:type="auto"/>
            <w:gridSpan w:val="3"/>
            <w:shd w:val="clear" w:color="auto" w:fill="auto"/>
          </w:tcPr>
          <w:p w14:paraId="7E7848DD" w14:textId="77777777" w:rsidR="00A82082" w:rsidRDefault="00A82082">
            <w:pPr>
              <w:rPr>
                <w:rFonts w:ascii="宋体"/>
                <w:vanish/>
              </w:rPr>
            </w:pPr>
          </w:p>
        </w:tc>
        <w:tc>
          <w:tcPr>
            <w:tcW w:w="0" w:type="auto"/>
            <w:gridSpan w:val="3"/>
            <w:shd w:val="clear" w:color="auto" w:fill="auto"/>
          </w:tcPr>
          <w:p w14:paraId="7E7848DE" w14:textId="77777777" w:rsidR="00A82082" w:rsidRDefault="00A82082">
            <w:pPr>
              <w:rPr>
                <w:rFonts w:ascii="宋体"/>
                <w:vanish/>
              </w:rPr>
            </w:pPr>
          </w:p>
        </w:tc>
        <w:tc>
          <w:tcPr>
            <w:tcW w:w="0" w:type="auto"/>
            <w:gridSpan w:val="3"/>
            <w:shd w:val="clear" w:color="auto" w:fill="auto"/>
          </w:tcPr>
          <w:p w14:paraId="7E7848DF" w14:textId="77777777" w:rsidR="00A82082" w:rsidRDefault="00A82082">
            <w:pPr>
              <w:rPr>
                <w:rFonts w:ascii="宋体"/>
                <w:vanish/>
              </w:rPr>
            </w:pPr>
          </w:p>
        </w:tc>
        <w:tc>
          <w:tcPr>
            <w:tcW w:w="0" w:type="auto"/>
            <w:gridSpan w:val="3"/>
            <w:shd w:val="clear" w:color="auto" w:fill="auto"/>
          </w:tcPr>
          <w:p w14:paraId="7E7848E0" w14:textId="77777777" w:rsidR="00A82082" w:rsidRDefault="00A82082">
            <w:pPr>
              <w:rPr>
                <w:rFonts w:ascii="宋体"/>
                <w:vanish/>
              </w:rPr>
            </w:pPr>
          </w:p>
        </w:tc>
        <w:tc>
          <w:tcPr>
            <w:tcW w:w="0" w:type="auto"/>
            <w:gridSpan w:val="3"/>
            <w:shd w:val="clear" w:color="auto" w:fill="auto"/>
          </w:tcPr>
          <w:p w14:paraId="7E7848E1" w14:textId="77777777" w:rsidR="00A82082" w:rsidRDefault="00A82082">
            <w:pPr>
              <w:rPr>
                <w:rFonts w:ascii="宋体"/>
                <w:vanish/>
              </w:rPr>
            </w:pPr>
          </w:p>
        </w:tc>
        <w:tc>
          <w:tcPr>
            <w:tcW w:w="0" w:type="auto"/>
            <w:gridSpan w:val="3"/>
            <w:shd w:val="clear" w:color="auto" w:fill="auto"/>
          </w:tcPr>
          <w:p w14:paraId="7E7848E2" w14:textId="77777777" w:rsidR="00A82082" w:rsidRDefault="00A82082">
            <w:pPr>
              <w:rPr>
                <w:rFonts w:ascii="宋体"/>
                <w:vanish/>
              </w:rPr>
            </w:pPr>
          </w:p>
        </w:tc>
        <w:tc>
          <w:tcPr>
            <w:tcW w:w="0" w:type="auto"/>
            <w:gridSpan w:val="3"/>
            <w:shd w:val="clear" w:color="auto" w:fill="auto"/>
          </w:tcPr>
          <w:p w14:paraId="7E7848E3" w14:textId="77777777" w:rsidR="00A82082" w:rsidRDefault="00A82082">
            <w:pPr>
              <w:rPr>
                <w:rFonts w:ascii="宋体"/>
                <w:vanish/>
              </w:rPr>
            </w:pPr>
          </w:p>
        </w:tc>
        <w:tc>
          <w:tcPr>
            <w:tcW w:w="0" w:type="auto"/>
            <w:gridSpan w:val="3"/>
            <w:shd w:val="clear" w:color="auto" w:fill="auto"/>
          </w:tcPr>
          <w:p w14:paraId="7E7848E4" w14:textId="77777777" w:rsidR="00A82082" w:rsidRDefault="00A82082">
            <w:pPr>
              <w:rPr>
                <w:rFonts w:ascii="宋体"/>
                <w:vanish/>
              </w:rPr>
            </w:pPr>
          </w:p>
        </w:tc>
        <w:tc>
          <w:tcPr>
            <w:tcW w:w="0" w:type="auto"/>
            <w:gridSpan w:val="3"/>
            <w:shd w:val="clear" w:color="auto" w:fill="auto"/>
          </w:tcPr>
          <w:p w14:paraId="7E7848E5" w14:textId="77777777" w:rsidR="00A82082" w:rsidRDefault="00A82082">
            <w:pPr>
              <w:rPr>
                <w:rFonts w:ascii="宋体"/>
                <w:vanish/>
              </w:rPr>
            </w:pPr>
          </w:p>
        </w:tc>
        <w:tc>
          <w:tcPr>
            <w:tcW w:w="0" w:type="auto"/>
            <w:gridSpan w:val="3"/>
            <w:shd w:val="clear" w:color="auto" w:fill="auto"/>
          </w:tcPr>
          <w:p w14:paraId="7E7848E6" w14:textId="77777777" w:rsidR="00A82082" w:rsidRDefault="00A82082">
            <w:pPr>
              <w:rPr>
                <w:rFonts w:ascii="宋体"/>
                <w:vanish/>
              </w:rPr>
            </w:pPr>
          </w:p>
        </w:tc>
        <w:tc>
          <w:tcPr>
            <w:tcW w:w="0" w:type="auto"/>
            <w:gridSpan w:val="3"/>
            <w:shd w:val="clear" w:color="auto" w:fill="auto"/>
          </w:tcPr>
          <w:p w14:paraId="7E7848E7" w14:textId="77777777" w:rsidR="00A82082" w:rsidRDefault="00A82082">
            <w:pPr>
              <w:rPr>
                <w:rFonts w:ascii="宋体"/>
                <w:vanish/>
              </w:rPr>
            </w:pPr>
          </w:p>
        </w:tc>
        <w:tc>
          <w:tcPr>
            <w:tcW w:w="0" w:type="auto"/>
            <w:shd w:val="clear" w:color="auto" w:fill="auto"/>
          </w:tcPr>
          <w:p w14:paraId="7E7848E8" w14:textId="77777777" w:rsidR="00A82082" w:rsidRDefault="00A82082">
            <w:pPr>
              <w:rPr>
                <w:rFonts w:ascii="宋体"/>
                <w:vanish/>
              </w:rPr>
            </w:pPr>
          </w:p>
        </w:tc>
        <w:tc>
          <w:tcPr>
            <w:tcW w:w="0" w:type="auto"/>
            <w:shd w:val="clear" w:color="auto" w:fill="auto"/>
          </w:tcPr>
          <w:p w14:paraId="7E7848E9" w14:textId="77777777" w:rsidR="00A82082" w:rsidRDefault="00A82082">
            <w:pPr>
              <w:rPr>
                <w:rFonts w:ascii="宋体"/>
                <w:vanish/>
              </w:rPr>
            </w:pPr>
          </w:p>
        </w:tc>
        <w:tc>
          <w:tcPr>
            <w:tcW w:w="0" w:type="auto"/>
            <w:shd w:val="clear" w:color="auto" w:fill="auto"/>
          </w:tcPr>
          <w:p w14:paraId="7E7848EA" w14:textId="77777777" w:rsidR="00A82082" w:rsidRDefault="00A82082">
            <w:pPr>
              <w:rPr>
                <w:rFonts w:ascii="宋体"/>
                <w:vanish/>
              </w:rPr>
            </w:pPr>
          </w:p>
        </w:tc>
      </w:tr>
      <w:tr w:rsidR="00A82082" w14:paraId="7E784907" w14:textId="77777777">
        <w:trPr>
          <w:jc w:val="center"/>
        </w:trPr>
        <w:tc>
          <w:tcPr>
            <w:tcW w:w="0" w:type="auto"/>
            <w:gridSpan w:val="3"/>
            <w:shd w:val="clear" w:color="auto" w:fill="CCEEFF"/>
            <w:tcMar>
              <w:top w:w="40" w:type="dxa"/>
              <w:left w:w="20" w:type="dxa"/>
              <w:bottom w:w="40" w:type="dxa"/>
              <w:right w:w="20" w:type="dxa"/>
            </w:tcMar>
            <w:vAlign w:val="center"/>
          </w:tcPr>
          <w:p w14:paraId="7E7848EC" w14:textId="77777777" w:rsidR="00A82082" w:rsidRDefault="00E946F9">
            <w:pPr>
              <w:textAlignment w:val="center"/>
            </w:pPr>
            <w:r>
              <w:rPr>
                <w:rFonts w:ascii="Times New Roman" w:eastAsia="宋体" w:hAnsi="Times New Roman"/>
                <w:color w:val="000000"/>
                <w:sz w:val="16"/>
                <w:szCs w:val="16"/>
              </w:rPr>
              <w:t>Dividends declared ($2.12 per share)</w:t>
            </w:r>
          </w:p>
        </w:tc>
        <w:tc>
          <w:tcPr>
            <w:tcW w:w="0" w:type="auto"/>
            <w:gridSpan w:val="2"/>
            <w:shd w:val="clear" w:color="auto" w:fill="CCEEFF"/>
            <w:tcMar>
              <w:top w:w="40" w:type="dxa"/>
              <w:left w:w="20" w:type="dxa"/>
              <w:bottom w:w="40" w:type="dxa"/>
              <w:right w:w="0" w:type="dxa"/>
            </w:tcMar>
            <w:vAlign w:val="center"/>
          </w:tcPr>
          <w:p w14:paraId="7E7848E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E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E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F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F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F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F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6" w14:textId="77777777" w:rsidR="00A82082" w:rsidRDefault="00E946F9">
            <w:pPr>
              <w:jc w:val="right"/>
              <w:textAlignment w:val="center"/>
            </w:pPr>
            <w:r>
              <w:rPr>
                <w:rFonts w:ascii="Times New Roman" w:eastAsia="宋体" w:hAnsi="Times New Roman"/>
                <w:color w:val="000000"/>
                <w:sz w:val="16"/>
                <w:szCs w:val="16"/>
              </w:rPr>
              <w:t>(6,071)</w:t>
            </w:r>
          </w:p>
        </w:tc>
        <w:tc>
          <w:tcPr>
            <w:tcW w:w="0" w:type="auto"/>
            <w:shd w:val="clear" w:color="auto" w:fill="CCEEFF"/>
            <w:tcMar>
              <w:top w:w="40" w:type="dxa"/>
              <w:left w:w="0" w:type="dxa"/>
              <w:bottom w:w="40" w:type="dxa"/>
              <w:right w:w="20" w:type="dxa"/>
            </w:tcMar>
            <w:vAlign w:val="center"/>
          </w:tcPr>
          <w:p w14:paraId="7E7848F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F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8F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F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C" w14:textId="77777777" w:rsidR="00A82082" w:rsidRDefault="00E946F9">
            <w:pPr>
              <w:jc w:val="right"/>
              <w:textAlignment w:val="center"/>
            </w:pPr>
            <w:r>
              <w:rPr>
                <w:rFonts w:ascii="Times New Roman" w:eastAsia="宋体" w:hAnsi="Times New Roman"/>
                <w:color w:val="000000"/>
                <w:sz w:val="16"/>
                <w:szCs w:val="16"/>
              </w:rPr>
              <w:t>(6,071)</w:t>
            </w:r>
          </w:p>
        </w:tc>
        <w:tc>
          <w:tcPr>
            <w:tcW w:w="0" w:type="auto"/>
            <w:shd w:val="clear" w:color="auto" w:fill="CCEEFF"/>
            <w:tcMar>
              <w:top w:w="40" w:type="dxa"/>
              <w:left w:w="0" w:type="dxa"/>
              <w:bottom w:w="40" w:type="dxa"/>
              <w:right w:w="20" w:type="dxa"/>
            </w:tcMar>
            <w:vAlign w:val="center"/>
          </w:tcPr>
          <w:p w14:paraId="7E7848F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8F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8F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0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0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02" w14:textId="77777777" w:rsidR="00A82082" w:rsidRDefault="00E946F9">
            <w:pPr>
              <w:jc w:val="right"/>
              <w:textAlignment w:val="center"/>
            </w:pPr>
            <w:r>
              <w:rPr>
                <w:rFonts w:ascii="Times New Roman" w:eastAsia="宋体" w:hAnsi="Times New Roman"/>
                <w:color w:val="000000"/>
                <w:sz w:val="16"/>
                <w:szCs w:val="16"/>
              </w:rPr>
              <w:t>(6,071)</w:t>
            </w:r>
          </w:p>
        </w:tc>
        <w:tc>
          <w:tcPr>
            <w:tcW w:w="0" w:type="auto"/>
            <w:shd w:val="clear" w:color="auto" w:fill="CCEEFF"/>
            <w:tcMar>
              <w:top w:w="40" w:type="dxa"/>
              <w:left w:w="0" w:type="dxa"/>
              <w:bottom w:w="40" w:type="dxa"/>
              <w:right w:w="20" w:type="dxa"/>
            </w:tcMar>
            <w:vAlign w:val="center"/>
          </w:tcPr>
          <w:p w14:paraId="7E784903" w14:textId="77777777" w:rsidR="00A82082" w:rsidRDefault="00A82082">
            <w:pPr>
              <w:jc w:val="right"/>
              <w:rPr>
                <w:rFonts w:ascii="宋体"/>
              </w:rPr>
            </w:pPr>
          </w:p>
        </w:tc>
        <w:tc>
          <w:tcPr>
            <w:tcW w:w="0" w:type="auto"/>
            <w:shd w:val="clear" w:color="auto" w:fill="auto"/>
          </w:tcPr>
          <w:p w14:paraId="7E784904" w14:textId="77777777" w:rsidR="00A82082" w:rsidRDefault="00A82082">
            <w:pPr>
              <w:rPr>
                <w:rFonts w:ascii="宋体"/>
                <w:vanish/>
              </w:rPr>
            </w:pPr>
          </w:p>
        </w:tc>
        <w:tc>
          <w:tcPr>
            <w:tcW w:w="0" w:type="auto"/>
            <w:shd w:val="clear" w:color="auto" w:fill="auto"/>
          </w:tcPr>
          <w:p w14:paraId="7E784905" w14:textId="77777777" w:rsidR="00A82082" w:rsidRDefault="00A82082">
            <w:pPr>
              <w:rPr>
                <w:rFonts w:ascii="宋体"/>
                <w:vanish/>
              </w:rPr>
            </w:pPr>
          </w:p>
        </w:tc>
        <w:tc>
          <w:tcPr>
            <w:tcW w:w="0" w:type="auto"/>
            <w:shd w:val="clear" w:color="auto" w:fill="auto"/>
          </w:tcPr>
          <w:p w14:paraId="7E784906" w14:textId="77777777" w:rsidR="00A82082" w:rsidRDefault="00A82082">
            <w:pPr>
              <w:rPr>
                <w:rFonts w:ascii="宋体"/>
                <w:vanish/>
              </w:rPr>
            </w:pPr>
          </w:p>
        </w:tc>
      </w:tr>
      <w:tr w:rsidR="00A82082" w14:paraId="7E784923" w14:textId="77777777">
        <w:trPr>
          <w:jc w:val="center"/>
        </w:trPr>
        <w:tc>
          <w:tcPr>
            <w:tcW w:w="0" w:type="auto"/>
            <w:gridSpan w:val="3"/>
            <w:shd w:val="clear" w:color="auto" w:fill="FFFFFF"/>
            <w:tcMar>
              <w:top w:w="40" w:type="dxa"/>
              <w:left w:w="20" w:type="dxa"/>
              <w:bottom w:w="40" w:type="dxa"/>
              <w:right w:w="20" w:type="dxa"/>
            </w:tcMar>
            <w:vAlign w:val="center"/>
          </w:tcPr>
          <w:p w14:paraId="7E784908"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7E784909" w14:textId="77777777" w:rsidR="00A82082" w:rsidRDefault="00E946F9">
            <w:pPr>
              <w:jc w:val="right"/>
              <w:textAlignment w:val="center"/>
            </w:pPr>
            <w:r>
              <w:rPr>
                <w:rFonts w:ascii="Times New Roman" w:eastAsia="宋体" w:hAnsi="Times New Roman"/>
                <w:color w:val="000000"/>
                <w:sz w:val="16"/>
                <w:szCs w:val="16"/>
              </w:rPr>
              <w:t>(21)</w:t>
            </w:r>
          </w:p>
        </w:tc>
        <w:tc>
          <w:tcPr>
            <w:tcW w:w="0" w:type="auto"/>
            <w:shd w:val="clear" w:color="auto" w:fill="FFFFFF"/>
            <w:tcMar>
              <w:top w:w="40" w:type="dxa"/>
              <w:left w:w="0" w:type="dxa"/>
              <w:bottom w:w="40" w:type="dxa"/>
              <w:right w:w="20" w:type="dxa"/>
            </w:tcMar>
            <w:vAlign w:val="center"/>
          </w:tcPr>
          <w:p w14:paraId="7E78490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0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0C" w14:textId="77777777" w:rsidR="00A82082" w:rsidRDefault="00E946F9">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7E78490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0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0F" w14:textId="77777777" w:rsidR="00A82082" w:rsidRDefault="00E946F9">
            <w:pPr>
              <w:jc w:val="right"/>
              <w:textAlignment w:val="center"/>
            </w:pPr>
            <w:r>
              <w:rPr>
                <w:rFonts w:ascii="Times New Roman" w:eastAsia="宋体" w:hAnsi="Times New Roman"/>
                <w:color w:val="000000"/>
                <w:sz w:val="16"/>
                <w:szCs w:val="16"/>
              </w:rPr>
              <w:t>(73)</w:t>
            </w:r>
          </w:p>
        </w:tc>
        <w:tc>
          <w:tcPr>
            <w:tcW w:w="0" w:type="auto"/>
            <w:shd w:val="clear" w:color="auto" w:fill="FFFFFF"/>
            <w:tcMar>
              <w:top w:w="40" w:type="dxa"/>
              <w:left w:w="0" w:type="dxa"/>
              <w:bottom w:w="40" w:type="dxa"/>
              <w:right w:w="20" w:type="dxa"/>
            </w:tcMar>
            <w:vAlign w:val="center"/>
          </w:tcPr>
          <w:p w14:paraId="7E78491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1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12" w14:textId="77777777" w:rsidR="00A82082" w:rsidRDefault="00E946F9">
            <w:pPr>
              <w:jc w:val="right"/>
              <w:textAlignment w:val="center"/>
            </w:pPr>
            <w:r>
              <w:rPr>
                <w:rFonts w:ascii="Times New Roman" w:eastAsia="宋体" w:hAnsi="Times New Roman"/>
                <w:color w:val="000000"/>
                <w:sz w:val="16"/>
                <w:szCs w:val="16"/>
              </w:rPr>
              <w:t>(2,012)</w:t>
            </w:r>
          </w:p>
        </w:tc>
        <w:tc>
          <w:tcPr>
            <w:tcW w:w="0" w:type="auto"/>
            <w:shd w:val="clear" w:color="auto" w:fill="FFFFFF"/>
            <w:tcMar>
              <w:top w:w="40" w:type="dxa"/>
              <w:left w:w="0" w:type="dxa"/>
              <w:bottom w:w="40" w:type="dxa"/>
              <w:right w:w="20" w:type="dxa"/>
            </w:tcMar>
            <w:vAlign w:val="center"/>
          </w:tcPr>
          <w:p w14:paraId="7E78491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1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1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1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1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18" w14:textId="77777777" w:rsidR="00A82082" w:rsidRDefault="00E946F9">
            <w:pPr>
              <w:jc w:val="right"/>
              <w:textAlignment w:val="center"/>
            </w:pPr>
            <w:r>
              <w:rPr>
                <w:rFonts w:ascii="Times New Roman" w:eastAsia="宋体" w:hAnsi="Times New Roman"/>
                <w:color w:val="000000"/>
                <w:sz w:val="16"/>
                <w:szCs w:val="16"/>
              </w:rPr>
              <w:t>(2,087)</w:t>
            </w:r>
          </w:p>
        </w:tc>
        <w:tc>
          <w:tcPr>
            <w:tcW w:w="0" w:type="auto"/>
            <w:shd w:val="clear" w:color="auto" w:fill="FFFFFF"/>
            <w:tcMar>
              <w:top w:w="40" w:type="dxa"/>
              <w:left w:w="0" w:type="dxa"/>
              <w:bottom w:w="40" w:type="dxa"/>
              <w:right w:w="20" w:type="dxa"/>
            </w:tcMar>
            <w:vAlign w:val="center"/>
          </w:tcPr>
          <w:p w14:paraId="7E78491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1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1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1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1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1E" w14:textId="77777777" w:rsidR="00A82082" w:rsidRDefault="00E946F9">
            <w:pPr>
              <w:jc w:val="right"/>
              <w:textAlignment w:val="center"/>
            </w:pPr>
            <w:r>
              <w:rPr>
                <w:rFonts w:ascii="Times New Roman" w:eastAsia="宋体" w:hAnsi="Times New Roman"/>
                <w:color w:val="000000"/>
                <w:sz w:val="16"/>
                <w:szCs w:val="16"/>
              </w:rPr>
              <w:t>(2,087)</w:t>
            </w:r>
          </w:p>
        </w:tc>
        <w:tc>
          <w:tcPr>
            <w:tcW w:w="0" w:type="auto"/>
            <w:shd w:val="clear" w:color="auto" w:fill="FFFFFF"/>
            <w:tcMar>
              <w:top w:w="40" w:type="dxa"/>
              <w:left w:w="0" w:type="dxa"/>
              <w:bottom w:w="40" w:type="dxa"/>
              <w:right w:w="20" w:type="dxa"/>
            </w:tcMar>
            <w:vAlign w:val="center"/>
          </w:tcPr>
          <w:p w14:paraId="7E78491F" w14:textId="77777777" w:rsidR="00A82082" w:rsidRDefault="00A82082">
            <w:pPr>
              <w:jc w:val="right"/>
              <w:rPr>
                <w:rFonts w:ascii="宋体"/>
              </w:rPr>
            </w:pPr>
          </w:p>
        </w:tc>
        <w:tc>
          <w:tcPr>
            <w:tcW w:w="0" w:type="auto"/>
            <w:shd w:val="clear" w:color="auto" w:fill="auto"/>
          </w:tcPr>
          <w:p w14:paraId="7E784920" w14:textId="77777777" w:rsidR="00A82082" w:rsidRDefault="00A82082">
            <w:pPr>
              <w:rPr>
                <w:rFonts w:ascii="宋体"/>
                <w:vanish/>
              </w:rPr>
            </w:pPr>
          </w:p>
        </w:tc>
        <w:tc>
          <w:tcPr>
            <w:tcW w:w="0" w:type="auto"/>
            <w:shd w:val="clear" w:color="auto" w:fill="auto"/>
          </w:tcPr>
          <w:p w14:paraId="7E784921" w14:textId="77777777" w:rsidR="00A82082" w:rsidRDefault="00A82082">
            <w:pPr>
              <w:rPr>
                <w:rFonts w:ascii="宋体"/>
                <w:vanish/>
              </w:rPr>
            </w:pPr>
          </w:p>
        </w:tc>
        <w:tc>
          <w:tcPr>
            <w:tcW w:w="0" w:type="auto"/>
            <w:shd w:val="clear" w:color="auto" w:fill="auto"/>
          </w:tcPr>
          <w:p w14:paraId="7E784922" w14:textId="77777777" w:rsidR="00A82082" w:rsidRDefault="00A82082">
            <w:pPr>
              <w:rPr>
                <w:rFonts w:ascii="宋体"/>
                <w:vanish/>
              </w:rPr>
            </w:pPr>
          </w:p>
        </w:tc>
      </w:tr>
      <w:tr w:rsidR="00A82082" w14:paraId="7E78493F" w14:textId="77777777">
        <w:trPr>
          <w:jc w:val="center"/>
        </w:trPr>
        <w:tc>
          <w:tcPr>
            <w:tcW w:w="0" w:type="auto"/>
            <w:gridSpan w:val="3"/>
            <w:shd w:val="clear" w:color="auto" w:fill="CCEEFF"/>
            <w:tcMar>
              <w:top w:w="40" w:type="dxa"/>
              <w:left w:w="20" w:type="dxa"/>
              <w:bottom w:w="40" w:type="dxa"/>
              <w:right w:w="20" w:type="dxa"/>
            </w:tcMar>
            <w:vAlign w:val="center"/>
          </w:tcPr>
          <w:p w14:paraId="7E784924" w14:textId="77777777" w:rsidR="00A82082" w:rsidRDefault="00E946F9">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CCEEFF"/>
            <w:tcMar>
              <w:top w:w="40" w:type="dxa"/>
              <w:left w:w="20" w:type="dxa"/>
              <w:bottom w:w="40" w:type="dxa"/>
              <w:right w:w="0" w:type="dxa"/>
            </w:tcMar>
            <w:vAlign w:val="center"/>
          </w:tcPr>
          <w:p w14:paraId="7E78492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2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2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2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2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2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2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2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2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2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2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3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3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3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3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3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3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3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37" w14:textId="77777777" w:rsidR="00A82082" w:rsidRDefault="00E946F9">
            <w:pPr>
              <w:jc w:val="right"/>
              <w:textAlignment w:val="center"/>
            </w:pPr>
            <w:r>
              <w:rPr>
                <w:rFonts w:ascii="Times New Roman" w:eastAsia="宋体" w:hAnsi="Times New Roman"/>
                <w:color w:val="000000"/>
                <w:sz w:val="16"/>
                <w:szCs w:val="16"/>
              </w:rPr>
              <w:t>(481)</w:t>
            </w:r>
          </w:p>
        </w:tc>
        <w:tc>
          <w:tcPr>
            <w:tcW w:w="0" w:type="auto"/>
            <w:shd w:val="clear" w:color="auto" w:fill="CCEEFF"/>
            <w:tcMar>
              <w:top w:w="40" w:type="dxa"/>
              <w:left w:w="0" w:type="dxa"/>
              <w:bottom w:w="40" w:type="dxa"/>
              <w:right w:w="20" w:type="dxa"/>
            </w:tcMar>
            <w:vAlign w:val="center"/>
          </w:tcPr>
          <w:p w14:paraId="7E78493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3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3A" w14:textId="77777777" w:rsidR="00A82082" w:rsidRDefault="00E946F9">
            <w:pPr>
              <w:jc w:val="right"/>
              <w:textAlignment w:val="center"/>
            </w:pPr>
            <w:r>
              <w:rPr>
                <w:rFonts w:ascii="Times New Roman" w:eastAsia="宋体" w:hAnsi="Times New Roman"/>
                <w:color w:val="000000"/>
                <w:sz w:val="16"/>
                <w:szCs w:val="16"/>
              </w:rPr>
              <w:t>(481)</w:t>
            </w:r>
          </w:p>
        </w:tc>
        <w:tc>
          <w:tcPr>
            <w:tcW w:w="0" w:type="auto"/>
            <w:shd w:val="clear" w:color="auto" w:fill="CCEEFF"/>
            <w:tcMar>
              <w:top w:w="40" w:type="dxa"/>
              <w:left w:w="0" w:type="dxa"/>
              <w:bottom w:w="40" w:type="dxa"/>
              <w:right w:w="20" w:type="dxa"/>
            </w:tcMar>
            <w:vAlign w:val="center"/>
          </w:tcPr>
          <w:p w14:paraId="7E78493B" w14:textId="77777777" w:rsidR="00A82082" w:rsidRDefault="00A82082">
            <w:pPr>
              <w:jc w:val="right"/>
              <w:rPr>
                <w:rFonts w:ascii="宋体"/>
              </w:rPr>
            </w:pPr>
          </w:p>
        </w:tc>
        <w:tc>
          <w:tcPr>
            <w:tcW w:w="0" w:type="auto"/>
            <w:shd w:val="clear" w:color="auto" w:fill="auto"/>
          </w:tcPr>
          <w:p w14:paraId="7E78493C" w14:textId="77777777" w:rsidR="00A82082" w:rsidRDefault="00A82082">
            <w:pPr>
              <w:rPr>
                <w:rFonts w:ascii="宋体"/>
                <w:vanish/>
              </w:rPr>
            </w:pPr>
          </w:p>
        </w:tc>
        <w:tc>
          <w:tcPr>
            <w:tcW w:w="0" w:type="auto"/>
            <w:shd w:val="clear" w:color="auto" w:fill="auto"/>
          </w:tcPr>
          <w:p w14:paraId="7E78493D" w14:textId="77777777" w:rsidR="00A82082" w:rsidRDefault="00A82082">
            <w:pPr>
              <w:rPr>
                <w:rFonts w:ascii="宋体"/>
                <w:vanish/>
              </w:rPr>
            </w:pPr>
          </w:p>
        </w:tc>
        <w:tc>
          <w:tcPr>
            <w:tcW w:w="0" w:type="auto"/>
            <w:shd w:val="clear" w:color="auto" w:fill="auto"/>
          </w:tcPr>
          <w:p w14:paraId="7E78493E" w14:textId="77777777" w:rsidR="00A82082" w:rsidRDefault="00A82082">
            <w:pPr>
              <w:rPr>
                <w:rFonts w:ascii="宋体"/>
                <w:vanish/>
              </w:rPr>
            </w:pPr>
          </w:p>
        </w:tc>
      </w:tr>
      <w:tr w:rsidR="00A82082" w14:paraId="7E78495B" w14:textId="77777777">
        <w:trPr>
          <w:jc w:val="center"/>
        </w:trPr>
        <w:tc>
          <w:tcPr>
            <w:tcW w:w="0" w:type="auto"/>
            <w:gridSpan w:val="3"/>
            <w:shd w:val="clear" w:color="auto" w:fill="FFFFFF"/>
            <w:tcMar>
              <w:top w:w="40" w:type="dxa"/>
              <w:left w:w="20" w:type="dxa"/>
              <w:bottom w:w="40" w:type="dxa"/>
              <w:right w:w="20" w:type="dxa"/>
            </w:tcMar>
            <w:vAlign w:val="center"/>
          </w:tcPr>
          <w:p w14:paraId="7E784940"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7E784941" w14:textId="77777777" w:rsidR="00A82082" w:rsidRDefault="00E946F9">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7E78494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4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4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4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4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47" w14:textId="77777777" w:rsidR="00A82082" w:rsidRDefault="00E946F9">
            <w:pPr>
              <w:jc w:val="right"/>
              <w:textAlignment w:val="center"/>
            </w:pPr>
            <w:r>
              <w:rPr>
                <w:rFonts w:ascii="Times New Roman" w:eastAsia="宋体" w:hAnsi="Times New Roman"/>
                <w:color w:val="000000"/>
                <w:sz w:val="16"/>
                <w:szCs w:val="16"/>
              </w:rPr>
              <w:t>(158)</w:t>
            </w:r>
          </w:p>
        </w:tc>
        <w:tc>
          <w:tcPr>
            <w:tcW w:w="0" w:type="auto"/>
            <w:shd w:val="clear" w:color="auto" w:fill="FFFFFF"/>
            <w:tcMar>
              <w:top w:w="40" w:type="dxa"/>
              <w:left w:w="0" w:type="dxa"/>
              <w:bottom w:w="40" w:type="dxa"/>
              <w:right w:w="20" w:type="dxa"/>
            </w:tcMar>
            <w:vAlign w:val="center"/>
          </w:tcPr>
          <w:p w14:paraId="7E78494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4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4A" w14:textId="77777777" w:rsidR="00A82082" w:rsidRDefault="00E946F9">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7E78494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4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4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4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4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50" w14:textId="77777777" w:rsidR="00A82082" w:rsidRDefault="00E946F9">
            <w:pPr>
              <w:jc w:val="right"/>
              <w:textAlignment w:val="center"/>
            </w:pPr>
            <w:r>
              <w:rPr>
                <w:rFonts w:ascii="Times New Roman" w:eastAsia="宋体" w:hAnsi="Times New Roman"/>
                <w:color w:val="000000"/>
                <w:sz w:val="16"/>
                <w:szCs w:val="16"/>
              </w:rPr>
              <w:t>(160)</w:t>
            </w:r>
          </w:p>
        </w:tc>
        <w:tc>
          <w:tcPr>
            <w:tcW w:w="0" w:type="auto"/>
            <w:shd w:val="clear" w:color="auto" w:fill="FFFFFF"/>
            <w:tcMar>
              <w:top w:w="40" w:type="dxa"/>
              <w:left w:w="0" w:type="dxa"/>
              <w:bottom w:w="40" w:type="dxa"/>
              <w:right w:w="20" w:type="dxa"/>
            </w:tcMar>
            <w:vAlign w:val="center"/>
          </w:tcPr>
          <w:p w14:paraId="7E78495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5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53" w14:textId="77777777" w:rsidR="00A82082" w:rsidRDefault="00E946F9">
            <w:pPr>
              <w:jc w:val="right"/>
              <w:textAlignment w:val="center"/>
            </w:pPr>
            <w:r>
              <w:rPr>
                <w:rFonts w:ascii="Times New Roman" w:eastAsia="宋体" w:hAnsi="Times New Roman"/>
                <w:color w:val="000000"/>
                <w:sz w:val="16"/>
                <w:szCs w:val="16"/>
              </w:rPr>
              <w:t>(16)</w:t>
            </w:r>
          </w:p>
        </w:tc>
        <w:tc>
          <w:tcPr>
            <w:tcW w:w="0" w:type="auto"/>
            <w:shd w:val="clear" w:color="auto" w:fill="FFFFFF"/>
            <w:tcMar>
              <w:top w:w="40" w:type="dxa"/>
              <w:left w:w="0" w:type="dxa"/>
              <w:bottom w:w="40" w:type="dxa"/>
              <w:right w:w="20" w:type="dxa"/>
            </w:tcMar>
            <w:vAlign w:val="center"/>
          </w:tcPr>
          <w:p w14:paraId="7E78495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5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56" w14:textId="77777777" w:rsidR="00A82082" w:rsidRDefault="00E946F9">
            <w:pPr>
              <w:jc w:val="right"/>
              <w:textAlignment w:val="center"/>
            </w:pPr>
            <w:r>
              <w:rPr>
                <w:rFonts w:ascii="Times New Roman" w:eastAsia="宋体" w:hAnsi="Times New Roman"/>
                <w:color w:val="000000"/>
                <w:sz w:val="16"/>
                <w:szCs w:val="16"/>
              </w:rPr>
              <w:t>(176)</w:t>
            </w:r>
          </w:p>
        </w:tc>
        <w:tc>
          <w:tcPr>
            <w:tcW w:w="0" w:type="auto"/>
            <w:shd w:val="clear" w:color="auto" w:fill="FFFFFF"/>
            <w:tcMar>
              <w:top w:w="40" w:type="dxa"/>
              <w:left w:w="0" w:type="dxa"/>
              <w:bottom w:w="40" w:type="dxa"/>
              <w:right w:w="20" w:type="dxa"/>
            </w:tcMar>
            <w:vAlign w:val="center"/>
          </w:tcPr>
          <w:p w14:paraId="7E784957" w14:textId="77777777" w:rsidR="00A82082" w:rsidRDefault="00A82082">
            <w:pPr>
              <w:jc w:val="right"/>
              <w:rPr>
                <w:rFonts w:ascii="宋体"/>
              </w:rPr>
            </w:pPr>
          </w:p>
        </w:tc>
        <w:tc>
          <w:tcPr>
            <w:tcW w:w="0" w:type="auto"/>
            <w:shd w:val="clear" w:color="auto" w:fill="auto"/>
          </w:tcPr>
          <w:p w14:paraId="7E784958" w14:textId="77777777" w:rsidR="00A82082" w:rsidRDefault="00A82082">
            <w:pPr>
              <w:rPr>
                <w:rFonts w:ascii="宋体"/>
                <w:vanish/>
              </w:rPr>
            </w:pPr>
          </w:p>
        </w:tc>
        <w:tc>
          <w:tcPr>
            <w:tcW w:w="0" w:type="auto"/>
            <w:shd w:val="clear" w:color="auto" w:fill="auto"/>
          </w:tcPr>
          <w:p w14:paraId="7E784959" w14:textId="77777777" w:rsidR="00A82082" w:rsidRDefault="00A82082">
            <w:pPr>
              <w:rPr>
                <w:rFonts w:ascii="宋体"/>
                <w:vanish/>
              </w:rPr>
            </w:pPr>
          </w:p>
        </w:tc>
        <w:tc>
          <w:tcPr>
            <w:tcW w:w="0" w:type="auto"/>
            <w:shd w:val="clear" w:color="auto" w:fill="auto"/>
          </w:tcPr>
          <w:p w14:paraId="7E78495A" w14:textId="77777777" w:rsidR="00A82082" w:rsidRDefault="00A82082">
            <w:pPr>
              <w:rPr>
                <w:rFonts w:ascii="宋体"/>
                <w:vanish/>
              </w:rPr>
            </w:pPr>
          </w:p>
        </w:tc>
      </w:tr>
      <w:tr w:rsidR="00E946F9" w14:paraId="7E78497E" w14:textId="77777777">
        <w:trPr>
          <w:jc w:val="center"/>
        </w:trPr>
        <w:tc>
          <w:tcPr>
            <w:tcW w:w="0" w:type="auto"/>
            <w:gridSpan w:val="3"/>
            <w:shd w:val="clear" w:color="auto" w:fill="CCEEFF"/>
            <w:tcMar>
              <w:top w:w="40" w:type="dxa"/>
              <w:left w:w="20" w:type="dxa"/>
              <w:bottom w:w="40" w:type="dxa"/>
              <w:right w:w="20" w:type="dxa"/>
            </w:tcMar>
            <w:vAlign w:val="center"/>
          </w:tcPr>
          <w:p w14:paraId="7E78495C" w14:textId="77777777" w:rsidR="00A82082" w:rsidRDefault="00E946F9">
            <w:pPr>
              <w:textAlignment w:val="center"/>
            </w:pPr>
            <w:r>
              <w:rPr>
                <w:rFonts w:ascii="Times New Roman" w:eastAsia="宋体" w:hAnsi="Times New Roman"/>
                <w:b/>
                <w:bCs/>
                <w:color w:val="000000"/>
                <w:sz w:val="16"/>
                <w:szCs w:val="16"/>
              </w:rPr>
              <w:t>Balances as of April 30, 2019</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495D" w14:textId="77777777" w:rsidR="00A82082" w:rsidRDefault="00E946F9">
            <w:pPr>
              <w:jc w:val="right"/>
              <w:textAlignment w:val="center"/>
            </w:pPr>
            <w:r>
              <w:rPr>
                <w:rFonts w:ascii="Times New Roman" w:eastAsia="宋体" w:hAnsi="Times New Roman"/>
                <w:color w:val="000000"/>
                <w:sz w:val="16"/>
                <w:szCs w:val="16"/>
              </w:rPr>
              <w:t>2,862 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5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5F"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6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61" w14:textId="77777777" w:rsidR="00A82082" w:rsidRDefault="00E946F9">
            <w:pPr>
              <w:jc w:val="right"/>
              <w:textAlignment w:val="center"/>
            </w:pPr>
            <w:r>
              <w:rPr>
                <w:rFonts w:ascii="Times New Roman" w:eastAsia="宋体" w:hAnsi="Times New Roman"/>
                <w:color w:val="000000"/>
                <w:sz w:val="16"/>
                <w:szCs w:val="16"/>
              </w:rPr>
              <w:t>286 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6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6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6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65" w14:textId="77777777" w:rsidR="00A82082" w:rsidRDefault="00E946F9">
            <w:pPr>
              <w:jc w:val="right"/>
              <w:textAlignment w:val="center"/>
            </w:pPr>
            <w:r>
              <w:rPr>
                <w:rFonts w:ascii="Times New Roman" w:eastAsia="宋体" w:hAnsi="Times New Roman"/>
                <w:color w:val="000000"/>
                <w:sz w:val="16"/>
                <w:szCs w:val="16"/>
              </w:rPr>
              <w:t>2,734 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6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67"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6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69" w14:textId="77777777" w:rsidR="00A82082" w:rsidRDefault="00E946F9">
            <w:pPr>
              <w:jc w:val="right"/>
              <w:textAlignment w:val="center"/>
            </w:pPr>
            <w:r>
              <w:rPr>
                <w:rFonts w:ascii="Times New Roman" w:eastAsia="宋体" w:hAnsi="Times New Roman"/>
                <w:color w:val="000000"/>
                <w:sz w:val="16"/>
                <w:szCs w:val="16"/>
              </w:rPr>
              <w:t>76,276 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6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6B"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6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6D" w14:textId="77777777" w:rsidR="00A82082" w:rsidRDefault="00E946F9">
            <w:pPr>
              <w:jc w:val="right"/>
              <w:textAlignment w:val="center"/>
            </w:pPr>
            <w:r>
              <w:rPr>
                <w:rFonts w:ascii="Times New Roman" w:eastAsia="宋体" w:hAnsi="Times New Roman"/>
                <w:color w:val="000000"/>
                <w:sz w:val="16"/>
                <w:szCs w:val="16"/>
              </w:rPr>
              <w:t>(11,091)</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6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6F"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7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71" w14:textId="77777777" w:rsidR="00A82082" w:rsidRDefault="00E946F9">
            <w:pPr>
              <w:jc w:val="right"/>
              <w:textAlignment w:val="center"/>
            </w:pPr>
            <w:r>
              <w:rPr>
                <w:rFonts w:ascii="Times New Roman" w:eastAsia="宋体" w:hAnsi="Times New Roman"/>
                <w:color w:val="000000"/>
                <w:sz w:val="16"/>
                <w:szCs w:val="16"/>
              </w:rPr>
              <w:t>68,205 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7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7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7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75" w14:textId="77777777" w:rsidR="00A82082" w:rsidRDefault="00E946F9">
            <w:pPr>
              <w:jc w:val="right"/>
              <w:textAlignment w:val="center"/>
            </w:pPr>
            <w:r>
              <w:rPr>
                <w:rFonts w:ascii="Times New Roman" w:eastAsia="宋体" w:hAnsi="Times New Roman"/>
                <w:color w:val="000000"/>
                <w:sz w:val="16"/>
                <w:szCs w:val="16"/>
              </w:rPr>
              <w:t>6,705 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7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77"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97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979" w14:textId="77777777" w:rsidR="00A82082" w:rsidRDefault="00E946F9">
            <w:pPr>
              <w:jc w:val="right"/>
              <w:textAlignment w:val="center"/>
            </w:pPr>
            <w:r>
              <w:rPr>
                <w:rFonts w:ascii="Times New Roman" w:eastAsia="宋体" w:hAnsi="Times New Roman"/>
                <w:color w:val="000000"/>
                <w:sz w:val="16"/>
                <w:szCs w:val="16"/>
              </w:rPr>
              <w:t>74,910 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97A" w14:textId="77777777" w:rsidR="00A82082" w:rsidRDefault="00A82082">
            <w:pPr>
              <w:jc w:val="right"/>
              <w:rPr>
                <w:rFonts w:ascii="宋体"/>
              </w:rPr>
            </w:pPr>
          </w:p>
        </w:tc>
        <w:tc>
          <w:tcPr>
            <w:tcW w:w="0" w:type="auto"/>
            <w:shd w:val="clear" w:color="auto" w:fill="auto"/>
          </w:tcPr>
          <w:p w14:paraId="7E78497B" w14:textId="77777777" w:rsidR="00A82082" w:rsidRDefault="00A82082">
            <w:pPr>
              <w:rPr>
                <w:rFonts w:ascii="宋体"/>
                <w:vanish/>
              </w:rPr>
            </w:pPr>
          </w:p>
        </w:tc>
        <w:tc>
          <w:tcPr>
            <w:tcW w:w="0" w:type="auto"/>
            <w:shd w:val="clear" w:color="auto" w:fill="auto"/>
          </w:tcPr>
          <w:p w14:paraId="7E78497C" w14:textId="77777777" w:rsidR="00A82082" w:rsidRDefault="00A82082">
            <w:pPr>
              <w:rPr>
                <w:rFonts w:ascii="宋体"/>
                <w:vanish/>
              </w:rPr>
            </w:pPr>
          </w:p>
        </w:tc>
        <w:tc>
          <w:tcPr>
            <w:tcW w:w="0" w:type="auto"/>
            <w:shd w:val="clear" w:color="auto" w:fill="auto"/>
          </w:tcPr>
          <w:p w14:paraId="7E78497D" w14:textId="77777777" w:rsidR="00A82082" w:rsidRDefault="00A82082">
            <w:pPr>
              <w:rPr>
                <w:rFonts w:ascii="宋体"/>
                <w:vanish/>
              </w:rPr>
            </w:pPr>
          </w:p>
        </w:tc>
      </w:tr>
      <w:tr w:rsidR="00A82082" w14:paraId="7E78499A" w14:textId="77777777">
        <w:trPr>
          <w:jc w:val="center"/>
        </w:trPr>
        <w:tc>
          <w:tcPr>
            <w:tcW w:w="0" w:type="auto"/>
            <w:gridSpan w:val="3"/>
            <w:shd w:val="clear" w:color="auto" w:fill="FFFFFF"/>
            <w:tcMar>
              <w:top w:w="40" w:type="dxa"/>
              <w:left w:w="20" w:type="dxa"/>
              <w:bottom w:w="40" w:type="dxa"/>
              <w:right w:w="20" w:type="dxa"/>
            </w:tcMar>
            <w:vAlign w:val="center"/>
          </w:tcPr>
          <w:p w14:paraId="7E78497F"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7E78498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8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8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8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8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8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8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8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8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89" w14:textId="77777777" w:rsidR="00A82082" w:rsidRDefault="00E946F9">
            <w:pPr>
              <w:jc w:val="right"/>
              <w:textAlignment w:val="center"/>
            </w:pPr>
            <w:r>
              <w:rPr>
                <w:rFonts w:ascii="Times New Roman" w:eastAsia="宋体" w:hAnsi="Times New Roman"/>
                <w:color w:val="000000"/>
                <w:sz w:val="16"/>
                <w:szCs w:val="16"/>
              </w:rPr>
              <w:t>3,610 </w:t>
            </w:r>
          </w:p>
        </w:tc>
        <w:tc>
          <w:tcPr>
            <w:tcW w:w="0" w:type="auto"/>
            <w:shd w:val="clear" w:color="auto" w:fill="FFFFFF"/>
            <w:tcMar>
              <w:top w:w="40" w:type="dxa"/>
              <w:left w:w="0" w:type="dxa"/>
              <w:bottom w:w="40" w:type="dxa"/>
              <w:right w:w="20" w:type="dxa"/>
            </w:tcMar>
            <w:vAlign w:val="center"/>
          </w:tcPr>
          <w:p w14:paraId="7E78498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8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8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98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8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8F" w14:textId="77777777" w:rsidR="00A82082" w:rsidRDefault="00E946F9">
            <w:pPr>
              <w:jc w:val="right"/>
              <w:textAlignment w:val="center"/>
            </w:pPr>
            <w:r>
              <w:rPr>
                <w:rFonts w:ascii="Times New Roman" w:eastAsia="宋体" w:hAnsi="Times New Roman"/>
                <w:color w:val="000000"/>
                <w:sz w:val="16"/>
                <w:szCs w:val="16"/>
              </w:rPr>
              <w:t>3,610 </w:t>
            </w:r>
          </w:p>
        </w:tc>
        <w:tc>
          <w:tcPr>
            <w:tcW w:w="0" w:type="auto"/>
            <w:shd w:val="clear" w:color="auto" w:fill="FFFFFF"/>
            <w:tcMar>
              <w:top w:w="40" w:type="dxa"/>
              <w:left w:w="0" w:type="dxa"/>
              <w:bottom w:w="40" w:type="dxa"/>
              <w:right w:w="20" w:type="dxa"/>
            </w:tcMar>
            <w:vAlign w:val="center"/>
          </w:tcPr>
          <w:p w14:paraId="7E78499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9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92" w14:textId="77777777" w:rsidR="00A82082" w:rsidRDefault="00E946F9">
            <w:pPr>
              <w:jc w:val="right"/>
              <w:textAlignment w:val="center"/>
            </w:pPr>
            <w:r>
              <w:rPr>
                <w:rFonts w:ascii="Times New Roman" w:eastAsia="宋体" w:hAnsi="Times New Roman"/>
                <w:color w:val="000000"/>
                <w:sz w:val="16"/>
                <w:szCs w:val="16"/>
              </w:rPr>
              <w:t>70 </w:t>
            </w:r>
          </w:p>
        </w:tc>
        <w:tc>
          <w:tcPr>
            <w:tcW w:w="0" w:type="auto"/>
            <w:shd w:val="clear" w:color="auto" w:fill="FFFFFF"/>
            <w:tcMar>
              <w:top w:w="40" w:type="dxa"/>
              <w:left w:w="0" w:type="dxa"/>
              <w:bottom w:w="40" w:type="dxa"/>
              <w:right w:w="20" w:type="dxa"/>
            </w:tcMar>
            <w:vAlign w:val="center"/>
          </w:tcPr>
          <w:p w14:paraId="7E78499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99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995" w14:textId="77777777" w:rsidR="00A82082" w:rsidRDefault="00E946F9">
            <w:pPr>
              <w:jc w:val="right"/>
              <w:textAlignment w:val="center"/>
            </w:pPr>
            <w:r>
              <w:rPr>
                <w:rFonts w:ascii="Times New Roman" w:eastAsia="宋体" w:hAnsi="Times New Roman"/>
                <w:color w:val="000000"/>
                <w:sz w:val="16"/>
                <w:szCs w:val="16"/>
              </w:rPr>
              <w:t>3,680 </w:t>
            </w:r>
          </w:p>
        </w:tc>
        <w:tc>
          <w:tcPr>
            <w:tcW w:w="0" w:type="auto"/>
            <w:shd w:val="clear" w:color="auto" w:fill="FFFFFF"/>
            <w:tcMar>
              <w:top w:w="40" w:type="dxa"/>
              <w:left w:w="0" w:type="dxa"/>
              <w:bottom w:w="40" w:type="dxa"/>
              <w:right w:w="20" w:type="dxa"/>
            </w:tcMar>
            <w:vAlign w:val="center"/>
          </w:tcPr>
          <w:p w14:paraId="7E784996" w14:textId="77777777" w:rsidR="00A82082" w:rsidRDefault="00A82082">
            <w:pPr>
              <w:jc w:val="right"/>
              <w:rPr>
                <w:rFonts w:ascii="宋体"/>
              </w:rPr>
            </w:pPr>
          </w:p>
        </w:tc>
        <w:tc>
          <w:tcPr>
            <w:tcW w:w="0" w:type="auto"/>
            <w:shd w:val="clear" w:color="auto" w:fill="auto"/>
          </w:tcPr>
          <w:p w14:paraId="7E784997" w14:textId="77777777" w:rsidR="00A82082" w:rsidRDefault="00A82082">
            <w:pPr>
              <w:rPr>
                <w:rFonts w:ascii="宋体"/>
                <w:vanish/>
              </w:rPr>
            </w:pPr>
          </w:p>
        </w:tc>
        <w:tc>
          <w:tcPr>
            <w:tcW w:w="0" w:type="auto"/>
            <w:shd w:val="clear" w:color="auto" w:fill="auto"/>
          </w:tcPr>
          <w:p w14:paraId="7E784998" w14:textId="77777777" w:rsidR="00A82082" w:rsidRDefault="00A82082">
            <w:pPr>
              <w:rPr>
                <w:rFonts w:ascii="宋体"/>
                <w:vanish/>
              </w:rPr>
            </w:pPr>
          </w:p>
        </w:tc>
        <w:tc>
          <w:tcPr>
            <w:tcW w:w="0" w:type="auto"/>
            <w:shd w:val="clear" w:color="auto" w:fill="auto"/>
          </w:tcPr>
          <w:p w14:paraId="7E784999" w14:textId="77777777" w:rsidR="00A82082" w:rsidRDefault="00A82082">
            <w:pPr>
              <w:rPr>
                <w:rFonts w:ascii="宋体"/>
                <w:vanish/>
              </w:rPr>
            </w:pPr>
          </w:p>
        </w:tc>
      </w:tr>
      <w:tr w:rsidR="00A82082" w14:paraId="7E7849B6" w14:textId="77777777">
        <w:trPr>
          <w:jc w:val="center"/>
        </w:trPr>
        <w:tc>
          <w:tcPr>
            <w:tcW w:w="0" w:type="auto"/>
            <w:gridSpan w:val="3"/>
            <w:shd w:val="clear" w:color="auto" w:fill="CCEEFF"/>
            <w:tcMar>
              <w:top w:w="40" w:type="dxa"/>
              <w:left w:w="20" w:type="dxa"/>
              <w:bottom w:w="40" w:type="dxa"/>
              <w:right w:w="20" w:type="dxa"/>
            </w:tcMar>
            <w:vAlign w:val="center"/>
          </w:tcPr>
          <w:p w14:paraId="7E78499B" w14:textId="77777777" w:rsidR="00A82082" w:rsidRDefault="00E946F9">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7E78499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9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9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9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A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A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A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A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A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A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9A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A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A8" w14:textId="77777777" w:rsidR="00A82082" w:rsidRDefault="00E946F9">
            <w:pPr>
              <w:jc w:val="right"/>
              <w:textAlignment w:val="center"/>
            </w:pPr>
            <w:r>
              <w:rPr>
                <w:rFonts w:ascii="Times New Roman" w:eastAsia="宋体" w:hAnsi="Times New Roman"/>
                <w:color w:val="000000"/>
                <w:sz w:val="16"/>
                <w:szCs w:val="16"/>
              </w:rPr>
              <w:t>(179)</w:t>
            </w:r>
          </w:p>
        </w:tc>
        <w:tc>
          <w:tcPr>
            <w:tcW w:w="0" w:type="auto"/>
            <w:shd w:val="clear" w:color="auto" w:fill="CCEEFF"/>
            <w:tcMar>
              <w:top w:w="40" w:type="dxa"/>
              <w:left w:w="0" w:type="dxa"/>
              <w:bottom w:w="40" w:type="dxa"/>
              <w:right w:w="20" w:type="dxa"/>
            </w:tcMar>
            <w:vAlign w:val="center"/>
          </w:tcPr>
          <w:p w14:paraId="7E7849A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A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AB" w14:textId="77777777" w:rsidR="00A82082" w:rsidRDefault="00E946F9">
            <w:pPr>
              <w:jc w:val="right"/>
              <w:textAlignment w:val="center"/>
            </w:pPr>
            <w:r>
              <w:rPr>
                <w:rFonts w:ascii="Times New Roman" w:eastAsia="宋体" w:hAnsi="Times New Roman"/>
                <w:color w:val="000000"/>
                <w:sz w:val="16"/>
                <w:szCs w:val="16"/>
              </w:rPr>
              <w:t>(179)</w:t>
            </w:r>
          </w:p>
        </w:tc>
        <w:tc>
          <w:tcPr>
            <w:tcW w:w="0" w:type="auto"/>
            <w:shd w:val="clear" w:color="auto" w:fill="CCEEFF"/>
            <w:tcMar>
              <w:top w:w="40" w:type="dxa"/>
              <w:left w:w="0" w:type="dxa"/>
              <w:bottom w:w="40" w:type="dxa"/>
              <w:right w:w="20" w:type="dxa"/>
            </w:tcMar>
            <w:vAlign w:val="center"/>
          </w:tcPr>
          <w:p w14:paraId="7E7849A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A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AE" w14:textId="77777777" w:rsidR="00A82082" w:rsidRDefault="00E946F9">
            <w:pPr>
              <w:jc w:val="right"/>
              <w:textAlignment w:val="center"/>
            </w:pPr>
            <w:r>
              <w:rPr>
                <w:rFonts w:ascii="Times New Roman" w:eastAsia="宋体" w:hAnsi="Times New Roman"/>
                <w:color w:val="000000"/>
                <w:sz w:val="16"/>
                <w:szCs w:val="16"/>
              </w:rPr>
              <w:t>84 </w:t>
            </w:r>
          </w:p>
        </w:tc>
        <w:tc>
          <w:tcPr>
            <w:tcW w:w="0" w:type="auto"/>
            <w:shd w:val="clear" w:color="auto" w:fill="CCEEFF"/>
            <w:tcMar>
              <w:top w:w="40" w:type="dxa"/>
              <w:left w:w="0" w:type="dxa"/>
              <w:bottom w:w="40" w:type="dxa"/>
              <w:right w:w="20" w:type="dxa"/>
            </w:tcMar>
            <w:vAlign w:val="center"/>
          </w:tcPr>
          <w:p w14:paraId="7E7849A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9B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9B1" w14:textId="77777777" w:rsidR="00A82082" w:rsidRDefault="00E946F9">
            <w:pPr>
              <w:jc w:val="right"/>
              <w:textAlignment w:val="center"/>
            </w:pPr>
            <w:r>
              <w:rPr>
                <w:rFonts w:ascii="Times New Roman" w:eastAsia="宋体" w:hAnsi="Times New Roman"/>
                <w:color w:val="000000"/>
                <w:sz w:val="16"/>
                <w:szCs w:val="16"/>
              </w:rPr>
              <w:t>(95)</w:t>
            </w:r>
          </w:p>
        </w:tc>
        <w:tc>
          <w:tcPr>
            <w:tcW w:w="0" w:type="auto"/>
            <w:shd w:val="clear" w:color="auto" w:fill="CCEEFF"/>
            <w:tcMar>
              <w:top w:w="40" w:type="dxa"/>
              <w:left w:w="0" w:type="dxa"/>
              <w:bottom w:w="40" w:type="dxa"/>
              <w:right w:w="20" w:type="dxa"/>
            </w:tcMar>
            <w:vAlign w:val="center"/>
          </w:tcPr>
          <w:p w14:paraId="7E7849B2" w14:textId="77777777" w:rsidR="00A82082" w:rsidRDefault="00A82082">
            <w:pPr>
              <w:jc w:val="right"/>
              <w:rPr>
                <w:rFonts w:ascii="宋体"/>
              </w:rPr>
            </w:pPr>
          </w:p>
        </w:tc>
        <w:tc>
          <w:tcPr>
            <w:tcW w:w="0" w:type="auto"/>
            <w:shd w:val="clear" w:color="auto" w:fill="auto"/>
          </w:tcPr>
          <w:p w14:paraId="7E7849B3" w14:textId="77777777" w:rsidR="00A82082" w:rsidRDefault="00A82082">
            <w:pPr>
              <w:rPr>
                <w:rFonts w:ascii="宋体"/>
                <w:vanish/>
              </w:rPr>
            </w:pPr>
          </w:p>
        </w:tc>
        <w:tc>
          <w:tcPr>
            <w:tcW w:w="0" w:type="auto"/>
            <w:shd w:val="clear" w:color="auto" w:fill="auto"/>
          </w:tcPr>
          <w:p w14:paraId="7E7849B4" w14:textId="77777777" w:rsidR="00A82082" w:rsidRDefault="00A82082">
            <w:pPr>
              <w:rPr>
                <w:rFonts w:ascii="宋体"/>
                <w:vanish/>
              </w:rPr>
            </w:pPr>
          </w:p>
        </w:tc>
        <w:tc>
          <w:tcPr>
            <w:tcW w:w="0" w:type="auto"/>
            <w:shd w:val="clear" w:color="auto" w:fill="auto"/>
          </w:tcPr>
          <w:p w14:paraId="7E7849B5" w14:textId="77777777" w:rsidR="00A82082" w:rsidRDefault="00A82082">
            <w:pPr>
              <w:rPr>
                <w:rFonts w:ascii="宋体"/>
                <w:vanish/>
              </w:rPr>
            </w:pPr>
          </w:p>
        </w:tc>
      </w:tr>
      <w:tr w:rsidR="00A82082" w14:paraId="7E7849CA" w14:textId="77777777">
        <w:trPr>
          <w:jc w:val="center"/>
          <w:hidden/>
        </w:trPr>
        <w:tc>
          <w:tcPr>
            <w:tcW w:w="0" w:type="auto"/>
            <w:gridSpan w:val="3"/>
            <w:shd w:val="clear" w:color="auto" w:fill="auto"/>
          </w:tcPr>
          <w:p w14:paraId="7E7849B7" w14:textId="77777777" w:rsidR="00A82082" w:rsidRDefault="00A82082">
            <w:pPr>
              <w:rPr>
                <w:rFonts w:ascii="宋体"/>
                <w:vanish/>
              </w:rPr>
            </w:pPr>
          </w:p>
        </w:tc>
        <w:tc>
          <w:tcPr>
            <w:tcW w:w="0" w:type="auto"/>
            <w:gridSpan w:val="3"/>
            <w:shd w:val="clear" w:color="auto" w:fill="auto"/>
          </w:tcPr>
          <w:p w14:paraId="7E7849B8" w14:textId="77777777" w:rsidR="00A82082" w:rsidRDefault="00A82082">
            <w:pPr>
              <w:rPr>
                <w:rFonts w:ascii="宋体"/>
                <w:vanish/>
              </w:rPr>
            </w:pPr>
          </w:p>
        </w:tc>
        <w:tc>
          <w:tcPr>
            <w:tcW w:w="0" w:type="auto"/>
            <w:gridSpan w:val="3"/>
            <w:shd w:val="clear" w:color="auto" w:fill="auto"/>
          </w:tcPr>
          <w:p w14:paraId="7E7849B9" w14:textId="77777777" w:rsidR="00A82082" w:rsidRDefault="00A82082">
            <w:pPr>
              <w:rPr>
                <w:rFonts w:ascii="宋体"/>
                <w:vanish/>
              </w:rPr>
            </w:pPr>
          </w:p>
        </w:tc>
        <w:tc>
          <w:tcPr>
            <w:tcW w:w="0" w:type="auto"/>
            <w:gridSpan w:val="3"/>
            <w:shd w:val="clear" w:color="auto" w:fill="auto"/>
          </w:tcPr>
          <w:p w14:paraId="7E7849BA" w14:textId="77777777" w:rsidR="00A82082" w:rsidRDefault="00A82082">
            <w:pPr>
              <w:rPr>
                <w:rFonts w:ascii="宋体"/>
                <w:vanish/>
              </w:rPr>
            </w:pPr>
          </w:p>
        </w:tc>
        <w:tc>
          <w:tcPr>
            <w:tcW w:w="0" w:type="auto"/>
            <w:gridSpan w:val="3"/>
            <w:shd w:val="clear" w:color="auto" w:fill="auto"/>
          </w:tcPr>
          <w:p w14:paraId="7E7849BB" w14:textId="77777777" w:rsidR="00A82082" w:rsidRDefault="00A82082">
            <w:pPr>
              <w:rPr>
                <w:rFonts w:ascii="宋体"/>
                <w:vanish/>
              </w:rPr>
            </w:pPr>
          </w:p>
        </w:tc>
        <w:tc>
          <w:tcPr>
            <w:tcW w:w="0" w:type="auto"/>
            <w:gridSpan w:val="3"/>
            <w:shd w:val="clear" w:color="auto" w:fill="auto"/>
          </w:tcPr>
          <w:p w14:paraId="7E7849BC" w14:textId="77777777" w:rsidR="00A82082" w:rsidRDefault="00A82082">
            <w:pPr>
              <w:rPr>
                <w:rFonts w:ascii="宋体"/>
                <w:vanish/>
              </w:rPr>
            </w:pPr>
          </w:p>
        </w:tc>
        <w:tc>
          <w:tcPr>
            <w:tcW w:w="0" w:type="auto"/>
            <w:gridSpan w:val="3"/>
            <w:shd w:val="clear" w:color="auto" w:fill="auto"/>
          </w:tcPr>
          <w:p w14:paraId="7E7849BD" w14:textId="77777777" w:rsidR="00A82082" w:rsidRDefault="00A82082">
            <w:pPr>
              <w:rPr>
                <w:rFonts w:ascii="宋体"/>
                <w:vanish/>
              </w:rPr>
            </w:pPr>
          </w:p>
        </w:tc>
        <w:tc>
          <w:tcPr>
            <w:tcW w:w="0" w:type="auto"/>
            <w:gridSpan w:val="3"/>
            <w:shd w:val="clear" w:color="auto" w:fill="auto"/>
          </w:tcPr>
          <w:p w14:paraId="7E7849BE" w14:textId="77777777" w:rsidR="00A82082" w:rsidRDefault="00A82082">
            <w:pPr>
              <w:rPr>
                <w:rFonts w:ascii="宋体"/>
                <w:vanish/>
              </w:rPr>
            </w:pPr>
          </w:p>
        </w:tc>
        <w:tc>
          <w:tcPr>
            <w:tcW w:w="0" w:type="auto"/>
            <w:gridSpan w:val="3"/>
            <w:shd w:val="clear" w:color="auto" w:fill="auto"/>
          </w:tcPr>
          <w:p w14:paraId="7E7849BF" w14:textId="77777777" w:rsidR="00A82082" w:rsidRDefault="00A82082">
            <w:pPr>
              <w:rPr>
                <w:rFonts w:ascii="宋体"/>
                <w:vanish/>
              </w:rPr>
            </w:pPr>
          </w:p>
        </w:tc>
        <w:tc>
          <w:tcPr>
            <w:tcW w:w="0" w:type="auto"/>
            <w:gridSpan w:val="3"/>
            <w:shd w:val="clear" w:color="auto" w:fill="auto"/>
          </w:tcPr>
          <w:p w14:paraId="7E7849C0" w14:textId="77777777" w:rsidR="00A82082" w:rsidRDefault="00A82082">
            <w:pPr>
              <w:rPr>
                <w:rFonts w:ascii="宋体"/>
                <w:vanish/>
              </w:rPr>
            </w:pPr>
          </w:p>
        </w:tc>
        <w:tc>
          <w:tcPr>
            <w:tcW w:w="0" w:type="auto"/>
            <w:gridSpan w:val="3"/>
            <w:shd w:val="clear" w:color="auto" w:fill="auto"/>
          </w:tcPr>
          <w:p w14:paraId="7E7849C1" w14:textId="77777777" w:rsidR="00A82082" w:rsidRDefault="00A82082">
            <w:pPr>
              <w:rPr>
                <w:rFonts w:ascii="宋体"/>
                <w:vanish/>
              </w:rPr>
            </w:pPr>
          </w:p>
        </w:tc>
        <w:tc>
          <w:tcPr>
            <w:tcW w:w="0" w:type="auto"/>
            <w:gridSpan w:val="3"/>
            <w:shd w:val="clear" w:color="auto" w:fill="auto"/>
          </w:tcPr>
          <w:p w14:paraId="7E7849C2" w14:textId="77777777" w:rsidR="00A82082" w:rsidRDefault="00A82082">
            <w:pPr>
              <w:rPr>
                <w:rFonts w:ascii="宋体"/>
                <w:vanish/>
              </w:rPr>
            </w:pPr>
          </w:p>
        </w:tc>
        <w:tc>
          <w:tcPr>
            <w:tcW w:w="0" w:type="auto"/>
            <w:gridSpan w:val="3"/>
            <w:shd w:val="clear" w:color="auto" w:fill="auto"/>
          </w:tcPr>
          <w:p w14:paraId="7E7849C3" w14:textId="77777777" w:rsidR="00A82082" w:rsidRDefault="00A82082">
            <w:pPr>
              <w:rPr>
                <w:rFonts w:ascii="宋体"/>
                <w:vanish/>
              </w:rPr>
            </w:pPr>
          </w:p>
        </w:tc>
        <w:tc>
          <w:tcPr>
            <w:tcW w:w="0" w:type="auto"/>
            <w:gridSpan w:val="3"/>
            <w:shd w:val="clear" w:color="auto" w:fill="auto"/>
          </w:tcPr>
          <w:p w14:paraId="7E7849C4" w14:textId="77777777" w:rsidR="00A82082" w:rsidRDefault="00A82082">
            <w:pPr>
              <w:rPr>
                <w:rFonts w:ascii="宋体"/>
                <w:vanish/>
              </w:rPr>
            </w:pPr>
          </w:p>
        </w:tc>
        <w:tc>
          <w:tcPr>
            <w:tcW w:w="0" w:type="auto"/>
            <w:gridSpan w:val="3"/>
            <w:shd w:val="clear" w:color="auto" w:fill="auto"/>
          </w:tcPr>
          <w:p w14:paraId="7E7849C5" w14:textId="77777777" w:rsidR="00A82082" w:rsidRDefault="00A82082">
            <w:pPr>
              <w:rPr>
                <w:rFonts w:ascii="宋体"/>
                <w:vanish/>
              </w:rPr>
            </w:pPr>
          </w:p>
        </w:tc>
        <w:tc>
          <w:tcPr>
            <w:tcW w:w="0" w:type="auto"/>
            <w:gridSpan w:val="3"/>
            <w:shd w:val="clear" w:color="auto" w:fill="auto"/>
          </w:tcPr>
          <w:p w14:paraId="7E7849C6" w14:textId="77777777" w:rsidR="00A82082" w:rsidRDefault="00A82082">
            <w:pPr>
              <w:rPr>
                <w:rFonts w:ascii="宋体"/>
                <w:vanish/>
              </w:rPr>
            </w:pPr>
          </w:p>
        </w:tc>
        <w:tc>
          <w:tcPr>
            <w:tcW w:w="0" w:type="auto"/>
            <w:shd w:val="clear" w:color="auto" w:fill="auto"/>
          </w:tcPr>
          <w:p w14:paraId="7E7849C7" w14:textId="77777777" w:rsidR="00A82082" w:rsidRDefault="00A82082">
            <w:pPr>
              <w:rPr>
                <w:rFonts w:ascii="宋体"/>
                <w:vanish/>
              </w:rPr>
            </w:pPr>
          </w:p>
        </w:tc>
        <w:tc>
          <w:tcPr>
            <w:tcW w:w="0" w:type="auto"/>
            <w:shd w:val="clear" w:color="auto" w:fill="auto"/>
          </w:tcPr>
          <w:p w14:paraId="7E7849C8" w14:textId="77777777" w:rsidR="00A82082" w:rsidRDefault="00A82082">
            <w:pPr>
              <w:rPr>
                <w:rFonts w:ascii="宋体"/>
                <w:vanish/>
              </w:rPr>
            </w:pPr>
          </w:p>
        </w:tc>
        <w:tc>
          <w:tcPr>
            <w:tcW w:w="0" w:type="auto"/>
            <w:shd w:val="clear" w:color="auto" w:fill="auto"/>
          </w:tcPr>
          <w:p w14:paraId="7E7849C9" w14:textId="77777777" w:rsidR="00A82082" w:rsidRDefault="00A82082">
            <w:pPr>
              <w:rPr>
                <w:rFonts w:ascii="宋体"/>
                <w:vanish/>
              </w:rPr>
            </w:pPr>
          </w:p>
        </w:tc>
      </w:tr>
      <w:tr w:rsidR="00A82082" w14:paraId="7E7849DE" w14:textId="77777777">
        <w:trPr>
          <w:jc w:val="center"/>
          <w:hidden/>
        </w:trPr>
        <w:tc>
          <w:tcPr>
            <w:tcW w:w="0" w:type="auto"/>
            <w:gridSpan w:val="3"/>
            <w:shd w:val="clear" w:color="auto" w:fill="auto"/>
          </w:tcPr>
          <w:p w14:paraId="7E7849CB" w14:textId="77777777" w:rsidR="00A82082" w:rsidRDefault="00A82082">
            <w:pPr>
              <w:rPr>
                <w:rFonts w:ascii="宋体"/>
                <w:vanish/>
              </w:rPr>
            </w:pPr>
          </w:p>
        </w:tc>
        <w:tc>
          <w:tcPr>
            <w:tcW w:w="0" w:type="auto"/>
            <w:gridSpan w:val="3"/>
            <w:shd w:val="clear" w:color="auto" w:fill="auto"/>
          </w:tcPr>
          <w:p w14:paraId="7E7849CC" w14:textId="77777777" w:rsidR="00A82082" w:rsidRDefault="00A82082">
            <w:pPr>
              <w:rPr>
                <w:rFonts w:ascii="宋体"/>
                <w:vanish/>
              </w:rPr>
            </w:pPr>
          </w:p>
        </w:tc>
        <w:tc>
          <w:tcPr>
            <w:tcW w:w="0" w:type="auto"/>
            <w:gridSpan w:val="3"/>
            <w:shd w:val="clear" w:color="auto" w:fill="auto"/>
          </w:tcPr>
          <w:p w14:paraId="7E7849CD" w14:textId="77777777" w:rsidR="00A82082" w:rsidRDefault="00A82082">
            <w:pPr>
              <w:rPr>
                <w:rFonts w:ascii="宋体"/>
                <w:vanish/>
              </w:rPr>
            </w:pPr>
          </w:p>
        </w:tc>
        <w:tc>
          <w:tcPr>
            <w:tcW w:w="0" w:type="auto"/>
            <w:gridSpan w:val="3"/>
            <w:shd w:val="clear" w:color="auto" w:fill="auto"/>
          </w:tcPr>
          <w:p w14:paraId="7E7849CE" w14:textId="77777777" w:rsidR="00A82082" w:rsidRDefault="00A82082">
            <w:pPr>
              <w:rPr>
                <w:rFonts w:ascii="宋体"/>
                <w:vanish/>
              </w:rPr>
            </w:pPr>
          </w:p>
        </w:tc>
        <w:tc>
          <w:tcPr>
            <w:tcW w:w="0" w:type="auto"/>
            <w:gridSpan w:val="3"/>
            <w:shd w:val="clear" w:color="auto" w:fill="auto"/>
          </w:tcPr>
          <w:p w14:paraId="7E7849CF" w14:textId="77777777" w:rsidR="00A82082" w:rsidRDefault="00A82082">
            <w:pPr>
              <w:rPr>
                <w:rFonts w:ascii="宋体"/>
                <w:vanish/>
              </w:rPr>
            </w:pPr>
          </w:p>
        </w:tc>
        <w:tc>
          <w:tcPr>
            <w:tcW w:w="0" w:type="auto"/>
            <w:gridSpan w:val="3"/>
            <w:shd w:val="clear" w:color="auto" w:fill="auto"/>
          </w:tcPr>
          <w:p w14:paraId="7E7849D0" w14:textId="77777777" w:rsidR="00A82082" w:rsidRDefault="00A82082">
            <w:pPr>
              <w:rPr>
                <w:rFonts w:ascii="宋体"/>
                <w:vanish/>
              </w:rPr>
            </w:pPr>
          </w:p>
        </w:tc>
        <w:tc>
          <w:tcPr>
            <w:tcW w:w="0" w:type="auto"/>
            <w:gridSpan w:val="3"/>
            <w:shd w:val="clear" w:color="auto" w:fill="auto"/>
          </w:tcPr>
          <w:p w14:paraId="7E7849D1" w14:textId="77777777" w:rsidR="00A82082" w:rsidRDefault="00A82082">
            <w:pPr>
              <w:rPr>
                <w:rFonts w:ascii="宋体"/>
                <w:vanish/>
              </w:rPr>
            </w:pPr>
          </w:p>
        </w:tc>
        <w:tc>
          <w:tcPr>
            <w:tcW w:w="0" w:type="auto"/>
            <w:gridSpan w:val="3"/>
            <w:shd w:val="clear" w:color="auto" w:fill="auto"/>
          </w:tcPr>
          <w:p w14:paraId="7E7849D2" w14:textId="77777777" w:rsidR="00A82082" w:rsidRDefault="00A82082">
            <w:pPr>
              <w:rPr>
                <w:rFonts w:ascii="宋体"/>
                <w:vanish/>
              </w:rPr>
            </w:pPr>
          </w:p>
        </w:tc>
        <w:tc>
          <w:tcPr>
            <w:tcW w:w="0" w:type="auto"/>
            <w:gridSpan w:val="3"/>
            <w:shd w:val="clear" w:color="auto" w:fill="auto"/>
          </w:tcPr>
          <w:p w14:paraId="7E7849D3" w14:textId="77777777" w:rsidR="00A82082" w:rsidRDefault="00A82082">
            <w:pPr>
              <w:rPr>
                <w:rFonts w:ascii="宋体"/>
                <w:vanish/>
              </w:rPr>
            </w:pPr>
          </w:p>
        </w:tc>
        <w:tc>
          <w:tcPr>
            <w:tcW w:w="0" w:type="auto"/>
            <w:gridSpan w:val="3"/>
            <w:shd w:val="clear" w:color="auto" w:fill="auto"/>
          </w:tcPr>
          <w:p w14:paraId="7E7849D4" w14:textId="77777777" w:rsidR="00A82082" w:rsidRDefault="00A82082">
            <w:pPr>
              <w:rPr>
                <w:rFonts w:ascii="宋体"/>
                <w:vanish/>
              </w:rPr>
            </w:pPr>
          </w:p>
        </w:tc>
        <w:tc>
          <w:tcPr>
            <w:tcW w:w="0" w:type="auto"/>
            <w:gridSpan w:val="3"/>
            <w:shd w:val="clear" w:color="auto" w:fill="auto"/>
          </w:tcPr>
          <w:p w14:paraId="7E7849D5" w14:textId="77777777" w:rsidR="00A82082" w:rsidRDefault="00A82082">
            <w:pPr>
              <w:rPr>
                <w:rFonts w:ascii="宋体"/>
                <w:vanish/>
              </w:rPr>
            </w:pPr>
          </w:p>
        </w:tc>
        <w:tc>
          <w:tcPr>
            <w:tcW w:w="0" w:type="auto"/>
            <w:gridSpan w:val="3"/>
            <w:shd w:val="clear" w:color="auto" w:fill="auto"/>
          </w:tcPr>
          <w:p w14:paraId="7E7849D6" w14:textId="77777777" w:rsidR="00A82082" w:rsidRDefault="00A82082">
            <w:pPr>
              <w:rPr>
                <w:rFonts w:ascii="宋体"/>
                <w:vanish/>
              </w:rPr>
            </w:pPr>
          </w:p>
        </w:tc>
        <w:tc>
          <w:tcPr>
            <w:tcW w:w="0" w:type="auto"/>
            <w:gridSpan w:val="3"/>
            <w:shd w:val="clear" w:color="auto" w:fill="auto"/>
          </w:tcPr>
          <w:p w14:paraId="7E7849D7" w14:textId="77777777" w:rsidR="00A82082" w:rsidRDefault="00A82082">
            <w:pPr>
              <w:rPr>
                <w:rFonts w:ascii="宋体"/>
                <w:vanish/>
              </w:rPr>
            </w:pPr>
          </w:p>
        </w:tc>
        <w:tc>
          <w:tcPr>
            <w:tcW w:w="0" w:type="auto"/>
            <w:gridSpan w:val="3"/>
            <w:shd w:val="clear" w:color="auto" w:fill="auto"/>
          </w:tcPr>
          <w:p w14:paraId="7E7849D8" w14:textId="77777777" w:rsidR="00A82082" w:rsidRDefault="00A82082">
            <w:pPr>
              <w:rPr>
                <w:rFonts w:ascii="宋体"/>
                <w:vanish/>
              </w:rPr>
            </w:pPr>
          </w:p>
        </w:tc>
        <w:tc>
          <w:tcPr>
            <w:tcW w:w="0" w:type="auto"/>
            <w:gridSpan w:val="3"/>
            <w:shd w:val="clear" w:color="auto" w:fill="auto"/>
          </w:tcPr>
          <w:p w14:paraId="7E7849D9" w14:textId="77777777" w:rsidR="00A82082" w:rsidRDefault="00A82082">
            <w:pPr>
              <w:rPr>
                <w:rFonts w:ascii="宋体"/>
                <w:vanish/>
              </w:rPr>
            </w:pPr>
          </w:p>
        </w:tc>
        <w:tc>
          <w:tcPr>
            <w:tcW w:w="0" w:type="auto"/>
            <w:gridSpan w:val="3"/>
            <w:shd w:val="clear" w:color="auto" w:fill="auto"/>
          </w:tcPr>
          <w:p w14:paraId="7E7849DA" w14:textId="77777777" w:rsidR="00A82082" w:rsidRDefault="00A82082">
            <w:pPr>
              <w:rPr>
                <w:rFonts w:ascii="宋体"/>
                <w:vanish/>
              </w:rPr>
            </w:pPr>
          </w:p>
        </w:tc>
        <w:tc>
          <w:tcPr>
            <w:tcW w:w="0" w:type="auto"/>
            <w:shd w:val="clear" w:color="auto" w:fill="auto"/>
          </w:tcPr>
          <w:p w14:paraId="7E7849DB" w14:textId="77777777" w:rsidR="00A82082" w:rsidRDefault="00A82082">
            <w:pPr>
              <w:rPr>
                <w:rFonts w:ascii="宋体"/>
                <w:vanish/>
              </w:rPr>
            </w:pPr>
          </w:p>
        </w:tc>
        <w:tc>
          <w:tcPr>
            <w:tcW w:w="0" w:type="auto"/>
            <w:shd w:val="clear" w:color="auto" w:fill="auto"/>
          </w:tcPr>
          <w:p w14:paraId="7E7849DC" w14:textId="77777777" w:rsidR="00A82082" w:rsidRDefault="00A82082">
            <w:pPr>
              <w:rPr>
                <w:rFonts w:ascii="宋体"/>
                <w:vanish/>
              </w:rPr>
            </w:pPr>
          </w:p>
        </w:tc>
        <w:tc>
          <w:tcPr>
            <w:tcW w:w="0" w:type="auto"/>
            <w:shd w:val="clear" w:color="auto" w:fill="auto"/>
          </w:tcPr>
          <w:p w14:paraId="7E7849DD" w14:textId="77777777" w:rsidR="00A82082" w:rsidRDefault="00A82082">
            <w:pPr>
              <w:rPr>
                <w:rFonts w:ascii="宋体"/>
                <w:vanish/>
              </w:rPr>
            </w:pPr>
          </w:p>
        </w:tc>
      </w:tr>
      <w:tr w:rsidR="00A82082" w14:paraId="7E7849F2" w14:textId="77777777">
        <w:trPr>
          <w:jc w:val="center"/>
          <w:hidden/>
        </w:trPr>
        <w:tc>
          <w:tcPr>
            <w:tcW w:w="0" w:type="auto"/>
            <w:gridSpan w:val="3"/>
            <w:shd w:val="clear" w:color="auto" w:fill="auto"/>
          </w:tcPr>
          <w:p w14:paraId="7E7849DF" w14:textId="77777777" w:rsidR="00A82082" w:rsidRDefault="00A82082">
            <w:pPr>
              <w:rPr>
                <w:rFonts w:ascii="宋体"/>
                <w:vanish/>
              </w:rPr>
            </w:pPr>
          </w:p>
        </w:tc>
        <w:tc>
          <w:tcPr>
            <w:tcW w:w="0" w:type="auto"/>
            <w:gridSpan w:val="3"/>
            <w:shd w:val="clear" w:color="auto" w:fill="auto"/>
          </w:tcPr>
          <w:p w14:paraId="7E7849E0" w14:textId="77777777" w:rsidR="00A82082" w:rsidRDefault="00A82082">
            <w:pPr>
              <w:rPr>
                <w:rFonts w:ascii="宋体"/>
                <w:vanish/>
              </w:rPr>
            </w:pPr>
          </w:p>
        </w:tc>
        <w:tc>
          <w:tcPr>
            <w:tcW w:w="0" w:type="auto"/>
            <w:gridSpan w:val="3"/>
            <w:shd w:val="clear" w:color="auto" w:fill="auto"/>
          </w:tcPr>
          <w:p w14:paraId="7E7849E1" w14:textId="77777777" w:rsidR="00A82082" w:rsidRDefault="00A82082">
            <w:pPr>
              <w:rPr>
                <w:rFonts w:ascii="宋体"/>
                <w:vanish/>
              </w:rPr>
            </w:pPr>
          </w:p>
        </w:tc>
        <w:tc>
          <w:tcPr>
            <w:tcW w:w="0" w:type="auto"/>
            <w:gridSpan w:val="3"/>
            <w:shd w:val="clear" w:color="auto" w:fill="auto"/>
          </w:tcPr>
          <w:p w14:paraId="7E7849E2" w14:textId="77777777" w:rsidR="00A82082" w:rsidRDefault="00A82082">
            <w:pPr>
              <w:rPr>
                <w:rFonts w:ascii="宋体"/>
                <w:vanish/>
              </w:rPr>
            </w:pPr>
          </w:p>
        </w:tc>
        <w:tc>
          <w:tcPr>
            <w:tcW w:w="0" w:type="auto"/>
            <w:gridSpan w:val="3"/>
            <w:shd w:val="clear" w:color="auto" w:fill="auto"/>
          </w:tcPr>
          <w:p w14:paraId="7E7849E3" w14:textId="77777777" w:rsidR="00A82082" w:rsidRDefault="00A82082">
            <w:pPr>
              <w:rPr>
                <w:rFonts w:ascii="宋体"/>
                <w:vanish/>
              </w:rPr>
            </w:pPr>
          </w:p>
        </w:tc>
        <w:tc>
          <w:tcPr>
            <w:tcW w:w="0" w:type="auto"/>
            <w:gridSpan w:val="3"/>
            <w:shd w:val="clear" w:color="auto" w:fill="auto"/>
          </w:tcPr>
          <w:p w14:paraId="7E7849E4" w14:textId="77777777" w:rsidR="00A82082" w:rsidRDefault="00A82082">
            <w:pPr>
              <w:rPr>
                <w:rFonts w:ascii="宋体"/>
                <w:vanish/>
              </w:rPr>
            </w:pPr>
          </w:p>
        </w:tc>
        <w:tc>
          <w:tcPr>
            <w:tcW w:w="0" w:type="auto"/>
            <w:gridSpan w:val="3"/>
            <w:shd w:val="clear" w:color="auto" w:fill="auto"/>
          </w:tcPr>
          <w:p w14:paraId="7E7849E5" w14:textId="77777777" w:rsidR="00A82082" w:rsidRDefault="00A82082">
            <w:pPr>
              <w:rPr>
                <w:rFonts w:ascii="宋体"/>
                <w:vanish/>
              </w:rPr>
            </w:pPr>
          </w:p>
        </w:tc>
        <w:tc>
          <w:tcPr>
            <w:tcW w:w="0" w:type="auto"/>
            <w:gridSpan w:val="3"/>
            <w:shd w:val="clear" w:color="auto" w:fill="auto"/>
          </w:tcPr>
          <w:p w14:paraId="7E7849E6" w14:textId="77777777" w:rsidR="00A82082" w:rsidRDefault="00A82082">
            <w:pPr>
              <w:rPr>
                <w:rFonts w:ascii="宋体"/>
                <w:vanish/>
              </w:rPr>
            </w:pPr>
          </w:p>
        </w:tc>
        <w:tc>
          <w:tcPr>
            <w:tcW w:w="0" w:type="auto"/>
            <w:gridSpan w:val="3"/>
            <w:shd w:val="clear" w:color="auto" w:fill="auto"/>
          </w:tcPr>
          <w:p w14:paraId="7E7849E7" w14:textId="77777777" w:rsidR="00A82082" w:rsidRDefault="00A82082">
            <w:pPr>
              <w:rPr>
                <w:rFonts w:ascii="宋体"/>
                <w:vanish/>
              </w:rPr>
            </w:pPr>
          </w:p>
        </w:tc>
        <w:tc>
          <w:tcPr>
            <w:tcW w:w="0" w:type="auto"/>
            <w:gridSpan w:val="3"/>
            <w:shd w:val="clear" w:color="auto" w:fill="auto"/>
          </w:tcPr>
          <w:p w14:paraId="7E7849E8" w14:textId="77777777" w:rsidR="00A82082" w:rsidRDefault="00A82082">
            <w:pPr>
              <w:rPr>
                <w:rFonts w:ascii="宋体"/>
                <w:vanish/>
              </w:rPr>
            </w:pPr>
          </w:p>
        </w:tc>
        <w:tc>
          <w:tcPr>
            <w:tcW w:w="0" w:type="auto"/>
            <w:gridSpan w:val="3"/>
            <w:shd w:val="clear" w:color="auto" w:fill="auto"/>
          </w:tcPr>
          <w:p w14:paraId="7E7849E9" w14:textId="77777777" w:rsidR="00A82082" w:rsidRDefault="00A82082">
            <w:pPr>
              <w:rPr>
                <w:rFonts w:ascii="宋体"/>
                <w:vanish/>
              </w:rPr>
            </w:pPr>
          </w:p>
        </w:tc>
        <w:tc>
          <w:tcPr>
            <w:tcW w:w="0" w:type="auto"/>
            <w:gridSpan w:val="3"/>
            <w:shd w:val="clear" w:color="auto" w:fill="auto"/>
          </w:tcPr>
          <w:p w14:paraId="7E7849EA" w14:textId="77777777" w:rsidR="00A82082" w:rsidRDefault="00A82082">
            <w:pPr>
              <w:rPr>
                <w:rFonts w:ascii="宋体"/>
                <w:vanish/>
              </w:rPr>
            </w:pPr>
          </w:p>
        </w:tc>
        <w:tc>
          <w:tcPr>
            <w:tcW w:w="0" w:type="auto"/>
            <w:gridSpan w:val="3"/>
            <w:shd w:val="clear" w:color="auto" w:fill="auto"/>
          </w:tcPr>
          <w:p w14:paraId="7E7849EB" w14:textId="77777777" w:rsidR="00A82082" w:rsidRDefault="00A82082">
            <w:pPr>
              <w:rPr>
                <w:rFonts w:ascii="宋体"/>
                <w:vanish/>
              </w:rPr>
            </w:pPr>
          </w:p>
        </w:tc>
        <w:tc>
          <w:tcPr>
            <w:tcW w:w="0" w:type="auto"/>
            <w:gridSpan w:val="3"/>
            <w:shd w:val="clear" w:color="auto" w:fill="auto"/>
          </w:tcPr>
          <w:p w14:paraId="7E7849EC" w14:textId="77777777" w:rsidR="00A82082" w:rsidRDefault="00A82082">
            <w:pPr>
              <w:rPr>
                <w:rFonts w:ascii="宋体"/>
                <w:vanish/>
              </w:rPr>
            </w:pPr>
          </w:p>
        </w:tc>
        <w:tc>
          <w:tcPr>
            <w:tcW w:w="0" w:type="auto"/>
            <w:gridSpan w:val="3"/>
            <w:shd w:val="clear" w:color="auto" w:fill="auto"/>
          </w:tcPr>
          <w:p w14:paraId="7E7849ED" w14:textId="77777777" w:rsidR="00A82082" w:rsidRDefault="00A82082">
            <w:pPr>
              <w:rPr>
                <w:rFonts w:ascii="宋体"/>
                <w:vanish/>
              </w:rPr>
            </w:pPr>
          </w:p>
        </w:tc>
        <w:tc>
          <w:tcPr>
            <w:tcW w:w="0" w:type="auto"/>
            <w:gridSpan w:val="3"/>
            <w:shd w:val="clear" w:color="auto" w:fill="auto"/>
          </w:tcPr>
          <w:p w14:paraId="7E7849EE" w14:textId="77777777" w:rsidR="00A82082" w:rsidRDefault="00A82082">
            <w:pPr>
              <w:rPr>
                <w:rFonts w:ascii="宋体"/>
                <w:vanish/>
              </w:rPr>
            </w:pPr>
          </w:p>
        </w:tc>
        <w:tc>
          <w:tcPr>
            <w:tcW w:w="0" w:type="auto"/>
            <w:shd w:val="clear" w:color="auto" w:fill="auto"/>
          </w:tcPr>
          <w:p w14:paraId="7E7849EF" w14:textId="77777777" w:rsidR="00A82082" w:rsidRDefault="00A82082">
            <w:pPr>
              <w:rPr>
                <w:rFonts w:ascii="宋体"/>
                <w:vanish/>
              </w:rPr>
            </w:pPr>
          </w:p>
        </w:tc>
        <w:tc>
          <w:tcPr>
            <w:tcW w:w="0" w:type="auto"/>
            <w:shd w:val="clear" w:color="auto" w:fill="auto"/>
          </w:tcPr>
          <w:p w14:paraId="7E7849F0" w14:textId="77777777" w:rsidR="00A82082" w:rsidRDefault="00A82082">
            <w:pPr>
              <w:rPr>
                <w:rFonts w:ascii="宋体"/>
                <w:vanish/>
              </w:rPr>
            </w:pPr>
          </w:p>
        </w:tc>
        <w:tc>
          <w:tcPr>
            <w:tcW w:w="0" w:type="auto"/>
            <w:shd w:val="clear" w:color="auto" w:fill="auto"/>
          </w:tcPr>
          <w:p w14:paraId="7E7849F1" w14:textId="77777777" w:rsidR="00A82082" w:rsidRDefault="00A82082">
            <w:pPr>
              <w:rPr>
                <w:rFonts w:ascii="宋体"/>
                <w:vanish/>
              </w:rPr>
            </w:pPr>
          </w:p>
        </w:tc>
      </w:tr>
      <w:tr w:rsidR="00A82082" w14:paraId="7E784A06" w14:textId="77777777">
        <w:trPr>
          <w:jc w:val="center"/>
          <w:hidden/>
        </w:trPr>
        <w:tc>
          <w:tcPr>
            <w:tcW w:w="0" w:type="auto"/>
            <w:gridSpan w:val="3"/>
            <w:shd w:val="clear" w:color="auto" w:fill="auto"/>
          </w:tcPr>
          <w:p w14:paraId="7E7849F3" w14:textId="77777777" w:rsidR="00A82082" w:rsidRDefault="00A82082">
            <w:pPr>
              <w:rPr>
                <w:rFonts w:ascii="宋体"/>
                <w:vanish/>
              </w:rPr>
            </w:pPr>
          </w:p>
        </w:tc>
        <w:tc>
          <w:tcPr>
            <w:tcW w:w="0" w:type="auto"/>
            <w:gridSpan w:val="3"/>
            <w:shd w:val="clear" w:color="auto" w:fill="auto"/>
          </w:tcPr>
          <w:p w14:paraId="7E7849F4" w14:textId="77777777" w:rsidR="00A82082" w:rsidRDefault="00A82082">
            <w:pPr>
              <w:rPr>
                <w:rFonts w:ascii="宋体"/>
                <w:vanish/>
              </w:rPr>
            </w:pPr>
          </w:p>
        </w:tc>
        <w:tc>
          <w:tcPr>
            <w:tcW w:w="0" w:type="auto"/>
            <w:gridSpan w:val="3"/>
            <w:shd w:val="clear" w:color="auto" w:fill="auto"/>
          </w:tcPr>
          <w:p w14:paraId="7E7849F5" w14:textId="77777777" w:rsidR="00A82082" w:rsidRDefault="00A82082">
            <w:pPr>
              <w:rPr>
                <w:rFonts w:ascii="宋体"/>
                <w:vanish/>
              </w:rPr>
            </w:pPr>
          </w:p>
        </w:tc>
        <w:tc>
          <w:tcPr>
            <w:tcW w:w="0" w:type="auto"/>
            <w:gridSpan w:val="3"/>
            <w:shd w:val="clear" w:color="auto" w:fill="auto"/>
          </w:tcPr>
          <w:p w14:paraId="7E7849F6" w14:textId="77777777" w:rsidR="00A82082" w:rsidRDefault="00A82082">
            <w:pPr>
              <w:rPr>
                <w:rFonts w:ascii="宋体"/>
                <w:vanish/>
              </w:rPr>
            </w:pPr>
          </w:p>
        </w:tc>
        <w:tc>
          <w:tcPr>
            <w:tcW w:w="0" w:type="auto"/>
            <w:gridSpan w:val="3"/>
            <w:shd w:val="clear" w:color="auto" w:fill="auto"/>
          </w:tcPr>
          <w:p w14:paraId="7E7849F7" w14:textId="77777777" w:rsidR="00A82082" w:rsidRDefault="00A82082">
            <w:pPr>
              <w:rPr>
                <w:rFonts w:ascii="宋体"/>
                <w:vanish/>
              </w:rPr>
            </w:pPr>
          </w:p>
        </w:tc>
        <w:tc>
          <w:tcPr>
            <w:tcW w:w="0" w:type="auto"/>
            <w:gridSpan w:val="3"/>
            <w:shd w:val="clear" w:color="auto" w:fill="auto"/>
          </w:tcPr>
          <w:p w14:paraId="7E7849F8" w14:textId="77777777" w:rsidR="00A82082" w:rsidRDefault="00A82082">
            <w:pPr>
              <w:rPr>
                <w:rFonts w:ascii="宋体"/>
                <w:vanish/>
              </w:rPr>
            </w:pPr>
          </w:p>
        </w:tc>
        <w:tc>
          <w:tcPr>
            <w:tcW w:w="0" w:type="auto"/>
            <w:gridSpan w:val="3"/>
            <w:shd w:val="clear" w:color="auto" w:fill="auto"/>
          </w:tcPr>
          <w:p w14:paraId="7E7849F9" w14:textId="77777777" w:rsidR="00A82082" w:rsidRDefault="00A82082">
            <w:pPr>
              <w:rPr>
                <w:rFonts w:ascii="宋体"/>
                <w:vanish/>
              </w:rPr>
            </w:pPr>
          </w:p>
        </w:tc>
        <w:tc>
          <w:tcPr>
            <w:tcW w:w="0" w:type="auto"/>
            <w:gridSpan w:val="3"/>
            <w:shd w:val="clear" w:color="auto" w:fill="auto"/>
          </w:tcPr>
          <w:p w14:paraId="7E7849FA" w14:textId="77777777" w:rsidR="00A82082" w:rsidRDefault="00A82082">
            <w:pPr>
              <w:rPr>
                <w:rFonts w:ascii="宋体"/>
                <w:vanish/>
              </w:rPr>
            </w:pPr>
          </w:p>
        </w:tc>
        <w:tc>
          <w:tcPr>
            <w:tcW w:w="0" w:type="auto"/>
            <w:gridSpan w:val="3"/>
            <w:shd w:val="clear" w:color="auto" w:fill="auto"/>
          </w:tcPr>
          <w:p w14:paraId="7E7849FB" w14:textId="77777777" w:rsidR="00A82082" w:rsidRDefault="00A82082">
            <w:pPr>
              <w:rPr>
                <w:rFonts w:ascii="宋体"/>
                <w:vanish/>
              </w:rPr>
            </w:pPr>
          </w:p>
        </w:tc>
        <w:tc>
          <w:tcPr>
            <w:tcW w:w="0" w:type="auto"/>
            <w:gridSpan w:val="3"/>
            <w:shd w:val="clear" w:color="auto" w:fill="auto"/>
          </w:tcPr>
          <w:p w14:paraId="7E7849FC" w14:textId="77777777" w:rsidR="00A82082" w:rsidRDefault="00A82082">
            <w:pPr>
              <w:rPr>
                <w:rFonts w:ascii="宋体"/>
                <w:vanish/>
              </w:rPr>
            </w:pPr>
          </w:p>
        </w:tc>
        <w:tc>
          <w:tcPr>
            <w:tcW w:w="0" w:type="auto"/>
            <w:gridSpan w:val="3"/>
            <w:shd w:val="clear" w:color="auto" w:fill="auto"/>
          </w:tcPr>
          <w:p w14:paraId="7E7849FD" w14:textId="77777777" w:rsidR="00A82082" w:rsidRDefault="00A82082">
            <w:pPr>
              <w:rPr>
                <w:rFonts w:ascii="宋体"/>
                <w:vanish/>
              </w:rPr>
            </w:pPr>
          </w:p>
        </w:tc>
        <w:tc>
          <w:tcPr>
            <w:tcW w:w="0" w:type="auto"/>
            <w:gridSpan w:val="3"/>
            <w:shd w:val="clear" w:color="auto" w:fill="auto"/>
          </w:tcPr>
          <w:p w14:paraId="7E7849FE" w14:textId="77777777" w:rsidR="00A82082" w:rsidRDefault="00A82082">
            <w:pPr>
              <w:rPr>
                <w:rFonts w:ascii="宋体"/>
                <w:vanish/>
              </w:rPr>
            </w:pPr>
          </w:p>
        </w:tc>
        <w:tc>
          <w:tcPr>
            <w:tcW w:w="0" w:type="auto"/>
            <w:gridSpan w:val="3"/>
            <w:shd w:val="clear" w:color="auto" w:fill="auto"/>
          </w:tcPr>
          <w:p w14:paraId="7E7849FF" w14:textId="77777777" w:rsidR="00A82082" w:rsidRDefault="00A82082">
            <w:pPr>
              <w:rPr>
                <w:rFonts w:ascii="宋体"/>
                <w:vanish/>
              </w:rPr>
            </w:pPr>
          </w:p>
        </w:tc>
        <w:tc>
          <w:tcPr>
            <w:tcW w:w="0" w:type="auto"/>
            <w:gridSpan w:val="3"/>
            <w:shd w:val="clear" w:color="auto" w:fill="auto"/>
          </w:tcPr>
          <w:p w14:paraId="7E784A00" w14:textId="77777777" w:rsidR="00A82082" w:rsidRDefault="00A82082">
            <w:pPr>
              <w:rPr>
                <w:rFonts w:ascii="宋体"/>
                <w:vanish/>
              </w:rPr>
            </w:pPr>
          </w:p>
        </w:tc>
        <w:tc>
          <w:tcPr>
            <w:tcW w:w="0" w:type="auto"/>
            <w:gridSpan w:val="3"/>
            <w:shd w:val="clear" w:color="auto" w:fill="auto"/>
          </w:tcPr>
          <w:p w14:paraId="7E784A01" w14:textId="77777777" w:rsidR="00A82082" w:rsidRDefault="00A82082">
            <w:pPr>
              <w:rPr>
                <w:rFonts w:ascii="宋体"/>
                <w:vanish/>
              </w:rPr>
            </w:pPr>
          </w:p>
        </w:tc>
        <w:tc>
          <w:tcPr>
            <w:tcW w:w="0" w:type="auto"/>
            <w:gridSpan w:val="3"/>
            <w:shd w:val="clear" w:color="auto" w:fill="auto"/>
          </w:tcPr>
          <w:p w14:paraId="7E784A02" w14:textId="77777777" w:rsidR="00A82082" w:rsidRDefault="00A82082">
            <w:pPr>
              <w:rPr>
                <w:rFonts w:ascii="宋体"/>
                <w:vanish/>
              </w:rPr>
            </w:pPr>
          </w:p>
        </w:tc>
        <w:tc>
          <w:tcPr>
            <w:tcW w:w="0" w:type="auto"/>
            <w:shd w:val="clear" w:color="auto" w:fill="auto"/>
          </w:tcPr>
          <w:p w14:paraId="7E784A03" w14:textId="77777777" w:rsidR="00A82082" w:rsidRDefault="00A82082">
            <w:pPr>
              <w:rPr>
                <w:rFonts w:ascii="宋体"/>
                <w:vanish/>
              </w:rPr>
            </w:pPr>
          </w:p>
        </w:tc>
        <w:tc>
          <w:tcPr>
            <w:tcW w:w="0" w:type="auto"/>
            <w:shd w:val="clear" w:color="auto" w:fill="auto"/>
          </w:tcPr>
          <w:p w14:paraId="7E784A04" w14:textId="77777777" w:rsidR="00A82082" w:rsidRDefault="00A82082">
            <w:pPr>
              <w:rPr>
                <w:rFonts w:ascii="宋体"/>
                <w:vanish/>
              </w:rPr>
            </w:pPr>
          </w:p>
        </w:tc>
        <w:tc>
          <w:tcPr>
            <w:tcW w:w="0" w:type="auto"/>
            <w:shd w:val="clear" w:color="auto" w:fill="auto"/>
          </w:tcPr>
          <w:p w14:paraId="7E784A05" w14:textId="77777777" w:rsidR="00A82082" w:rsidRDefault="00A82082">
            <w:pPr>
              <w:rPr>
                <w:rFonts w:ascii="宋体"/>
                <w:vanish/>
              </w:rPr>
            </w:pPr>
          </w:p>
        </w:tc>
      </w:tr>
      <w:tr w:rsidR="00A82082" w14:paraId="7E784A22" w14:textId="77777777">
        <w:trPr>
          <w:jc w:val="center"/>
        </w:trPr>
        <w:tc>
          <w:tcPr>
            <w:tcW w:w="0" w:type="auto"/>
            <w:gridSpan w:val="3"/>
            <w:shd w:val="clear" w:color="auto" w:fill="FFFFFF"/>
            <w:tcMar>
              <w:top w:w="40" w:type="dxa"/>
              <w:left w:w="20" w:type="dxa"/>
              <w:bottom w:w="40" w:type="dxa"/>
              <w:right w:w="20" w:type="dxa"/>
            </w:tcMar>
            <w:vAlign w:val="center"/>
          </w:tcPr>
          <w:p w14:paraId="7E784A07" w14:textId="77777777" w:rsidR="00A82082" w:rsidRDefault="00E946F9">
            <w:pPr>
              <w:textAlignment w:val="center"/>
            </w:pPr>
            <w:r>
              <w:rPr>
                <w:rFonts w:ascii="Times New Roman" w:eastAsia="宋体" w:hAnsi="Times New Roman"/>
                <w:color w:val="000000"/>
                <w:sz w:val="16"/>
                <w:szCs w:val="16"/>
              </w:rPr>
              <w:t>Dividends</w:t>
            </w:r>
          </w:p>
        </w:tc>
        <w:tc>
          <w:tcPr>
            <w:tcW w:w="0" w:type="auto"/>
            <w:gridSpan w:val="2"/>
            <w:shd w:val="clear" w:color="auto" w:fill="FFFFFF"/>
            <w:tcMar>
              <w:top w:w="40" w:type="dxa"/>
              <w:left w:w="20" w:type="dxa"/>
              <w:bottom w:w="40" w:type="dxa"/>
              <w:right w:w="0" w:type="dxa"/>
            </w:tcMar>
            <w:vAlign w:val="center"/>
          </w:tcPr>
          <w:p w14:paraId="7E784A0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0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0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0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0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0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0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0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1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11" w14:textId="77777777" w:rsidR="00A82082" w:rsidRDefault="00E946F9">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7E784A1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1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1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1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1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17" w14:textId="77777777" w:rsidR="00A82082" w:rsidRDefault="00E946F9">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7E784A1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1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1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1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1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1D" w14:textId="77777777" w:rsidR="00A82082" w:rsidRDefault="00E946F9">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7E784A1E" w14:textId="77777777" w:rsidR="00A82082" w:rsidRDefault="00A82082">
            <w:pPr>
              <w:jc w:val="right"/>
              <w:rPr>
                <w:rFonts w:ascii="宋体"/>
              </w:rPr>
            </w:pPr>
          </w:p>
        </w:tc>
        <w:tc>
          <w:tcPr>
            <w:tcW w:w="0" w:type="auto"/>
            <w:shd w:val="clear" w:color="auto" w:fill="auto"/>
          </w:tcPr>
          <w:p w14:paraId="7E784A1F" w14:textId="77777777" w:rsidR="00A82082" w:rsidRDefault="00A82082">
            <w:pPr>
              <w:rPr>
                <w:rFonts w:ascii="宋体"/>
                <w:vanish/>
              </w:rPr>
            </w:pPr>
          </w:p>
        </w:tc>
        <w:tc>
          <w:tcPr>
            <w:tcW w:w="0" w:type="auto"/>
            <w:shd w:val="clear" w:color="auto" w:fill="auto"/>
          </w:tcPr>
          <w:p w14:paraId="7E784A20" w14:textId="77777777" w:rsidR="00A82082" w:rsidRDefault="00A82082">
            <w:pPr>
              <w:rPr>
                <w:rFonts w:ascii="宋体"/>
                <w:vanish/>
              </w:rPr>
            </w:pPr>
          </w:p>
        </w:tc>
        <w:tc>
          <w:tcPr>
            <w:tcW w:w="0" w:type="auto"/>
            <w:shd w:val="clear" w:color="auto" w:fill="auto"/>
          </w:tcPr>
          <w:p w14:paraId="7E784A21" w14:textId="77777777" w:rsidR="00A82082" w:rsidRDefault="00A82082">
            <w:pPr>
              <w:rPr>
                <w:rFonts w:ascii="宋体"/>
                <w:vanish/>
              </w:rPr>
            </w:pPr>
          </w:p>
        </w:tc>
      </w:tr>
      <w:tr w:rsidR="00A82082" w14:paraId="7E784A3E" w14:textId="77777777">
        <w:trPr>
          <w:jc w:val="center"/>
        </w:trPr>
        <w:tc>
          <w:tcPr>
            <w:tcW w:w="0" w:type="auto"/>
            <w:gridSpan w:val="3"/>
            <w:shd w:val="clear" w:color="auto" w:fill="CCEEFF"/>
            <w:tcMar>
              <w:top w:w="40" w:type="dxa"/>
              <w:left w:w="20" w:type="dxa"/>
              <w:bottom w:w="40" w:type="dxa"/>
              <w:right w:w="20" w:type="dxa"/>
            </w:tcMar>
            <w:vAlign w:val="center"/>
          </w:tcPr>
          <w:p w14:paraId="7E784A23"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7E784A24" w14:textId="77777777" w:rsidR="00A82082" w:rsidRDefault="00E946F9">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7E784A2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2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27" w14:textId="77777777" w:rsidR="00A82082" w:rsidRDefault="00E946F9">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7E784A2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2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2A" w14:textId="77777777" w:rsidR="00A82082" w:rsidRDefault="00E946F9">
            <w:pPr>
              <w:jc w:val="right"/>
              <w:textAlignment w:val="center"/>
            </w:pPr>
            <w:r>
              <w:rPr>
                <w:rFonts w:ascii="Times New Roman" w:eastAsia="宋体" w:hAnsi="Times New Roman"/>
                <w:color w:val="000000"/>
                <w:sz w:val="16"/>
                <w:szCs w:val="16"/>
              </w:rPr>
              <w:t>(54)</w:t>
            </w:r>
          </w:p>
        </w:tc>
        <w:tc>
          <w:tcPr>
            <w:tcW w:w="0" w:type="auto"/>
            <w:shd w:val="clear" w:color="auto" w:fill="CCEEFF"/>
            <w:tcMar>
              <w:top w:w="40" w:type="dxa"/>
              <w:left w:w="0" w:type="dxa"/>
              <w:bottom w:w="40" w:type="dxa"/>
              <w:right w:w="20" w:type="dxa"/>
            </w:tcMar>
            <w:vAlign w:val="center"/>
          </w:tcPr>
          <w:p w14:paraId="7E784A2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2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2D" w14:textId="77777777" w:rsidR="00A82082" w:rsidRDefault="00E946F9">
            <w:pPr>
              <w:jc w:val="right"/>
              <w:textAlignment w:val="center"/>
            </w:pPr>
            <w:r>
              <w:rPr>
                <w:rFonts w:ascii="Times New Roman" w:eastAsia="宋体" w:hAnsi="Times New Roman"/>
                <w:color w:val="000000"/>
                <w:sz w:val="16"/>
                <w:szCs w:val="16"/>
              </w:rPr>
              <w:t>(1,499)</w:t>
            </w:r>
          </w:p>
        </w:tc>
        <w:tc>
          <w:tcPr>
            <w:tcW w:w="0" w:type="auto"/>
            <w:shd w:val="clear" w:color="auto" w:fill="CCEEFF"/>
            <w:tcMar>
              <w:top w:w="40" w:type="dxa"/>
              <w:left w:w="0" w:type="dxa"/>
              <w:bottom w:w="40" w:type="dxa"/>
              <w:right w:w="20" w:type="dxa"/>
            </w:tcMar>
            <w:vAlign w:val="center"/>
          </w:tcPr>
          <w:p w14:paraId="7E784A2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2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3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3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3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33" w14:textId="77777777" w:rsidR="00A82082" w:rsidRDefault="00E946F9">
            <w:pPr>
              <w:jc w:val="right"/>
              <w:textAlignment w:val="center"/>
            </w:pPr>
            <w:r>
              <w:rPr>
                <w:rFonts w:ascii="Times New Roman" w:eastAsia="宋体" w:hAnsi="Times New Roman"/>
                <w:color w:val="000000"/>
                <w:sz w:val="16"/>
                <w:szCs w:val="16"/>
              </w:rPr>
              <w:t>(1,555)</w:t>
            </w:r>
          </w:p>
        </w:tc>
        <w:tc>
          <w:tcPr>
            <w:tcW w:w="0" w:type="auto"/>
            <w:shd w:val="clear" w:color="auto" w:fill="CCEEFF"/>
            <w:tcMar>
              <w:top w:w="40" w:type="dxa"/>
              <w:left w:w="0" w:type="dxa"/>
              <w:bottom w:w="40" w:type="dxa"/>
              <w:right w:w="20" w:type="dxa"/>
            </w:tcMar>
            <w:vAlign w:val="center"/>
          </w:tcPr>
          <w:p w14:paraId="7E784A3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3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3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3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3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39" w14:textId="77777777" w:rsidR="00A82082" w:rsidRDefault="00E946F9">
            <w:pPr>
              <w:jc w:val="right"/>
              <w:textAlignment w:val="center"/>
            </w:pPr>
            <w:r>
              <w:rPr>
                <w:rFonts w:ascii="Times New Roman" w:eastAsia="宋体" w:hAnsi="Times New Roman"/>
                <w:color w:val="000000"/>
                <w:sz w:val="16"/>
                <w:szCs w:val="16"/>
              </w:rPr>
              <w:t>(1,555)</w:t>
            </w:r>
          </w:p>
        </w:tc>
        <w:tc>
          <w:tcPr>
            <w:tcW w:w="0" w:type="auto"/>
            <w:shd w:val="clear" w:color="auto" w:fill="CCEEFF"/>
            <w:tcMar>
              <w:top w:w="40" w:type="dxa"/>
              <w:left w:w="0" w:type="dxa"/>
              <w:bottom w:w="40" w:type="dxa"/>
              <w:right w:w="20" w:type="dxa"/>
            </w:tcMar>
            <w:vAlign w:val="center"/>
          </w:tcPr>
          <w:p w14:paraId="7E784A3A" w14:textId="77777777" w:rsidR="00A82082" w:rsidRDefault="00A82082">
            <w:pPr>
              <w:jc w:val="right"/>
              <w:rPr>
                <w:rFonts w:ascii="宋体"/>
              </w:rPr>
            </w:pPr>
          </w:p>
        </w:tc>
        <w:tc>
          <w:tcPr>
            <w:tcW w:w="0" w:type="auto"/>
            <w:shd w:val="clear" w:color="auto" w:fill="auto"/>
          </w:tcPr>
          <w:p w14:paraId="7E784A3B" w14:textId="77777777" w:rsidR="00A82082" w:rsidRDefault="00A82082">
            <w:pPr>
              <w:rPr>
                <w:rFonts w:ascii="宋体"/>
                <w:vanish/>
              </w:rPr>
            </w:pPr>
          </w:p>
        </w:tc>
        <w:tc>
          <w:tcPr>
            <w:tcW w:w="0" w:type="auto"/>
            <w:shd w:val="clear" w:color="auto" w:fill="auto"/>
          </w:tcPr>
          <w:p w14:paraId="7E784A3C" w14:textId="77777777" w:rsidR="00A82082" w:rsidRDefault="00A82082">
            <w:pPr>
              <w:rPr>
                <w:rFonts w:ascii="宋体"/>
                <w:vanish/>
              </w:rPr>
            </w:pPr>
          </w:p>
        </w:tc>
        <w:tc>
          <w:tcPr>
            <w:tcW w:w="0" w:type="auto"/>
            <w:shd w:val="clear" w:color="auto" w:fill="auto"/>
          </w:tcPr>
          <w:p w14:paraId="7E784A3D" w14:textId="77777777" w:rsidR="00A82082" w:rsidRDefault="00A82082">
            <w:pPr>
              <w:rPr>
                <w:rFonts w:ascii="宋体"/>
                <w:vanish/>
              </w:rPr>
            </w:pPr>
          </w:p>
        </w:tc>
      </w:tr>
      <w:tr w:rsidR="00A82082" w14:paraId="7E784A5A" w14:textId="77777777">
        <w:trPr>
          <w:jc w:val="center"/>
        </w:trPr>
        <w:tc>
          <w:tcPr>
            <w:tcW w:w="0" w:type="auto"/>
            <w:gridSpan w:val="3"/>
            <w:shd w:val="clear" w:color="auto" w:fill="FFFFFF"/>
            <w:tcMar>
              <w:top w:w="40" w:type="dxa"/>
              <w:left w:w="20" w:type="dxa"/>
              <w:bottom w:w="40" w:type="dxa"/>
              <w:right w:w="20" w:type="dxa"/>
            </w:tcMar>
            <w:vAlign w:val="center"/>
          </w:tcPr>
          <w:p w14:paraId="7E784A3F" w14:textId="77777777" w:rsidR="00A82082" w:rsidRDefault="00E946F9">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7E784A4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4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4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4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4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4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4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4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4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4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4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4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4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4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4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4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5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5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52" w14:textId="77777777" w:rsidR="00A82082" w:rsidRDefault="00E946F9">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7E784A5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5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55" w14:textId="77777777" w:rsidR="00A82082" w:rsidRDefault="00E946F9">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7E784A56" w14:textId="77777777" w:rsidR="00A82082" w:rsidRDefault="00A82082">
            <w:pPr>
              <w:jc w:val="right"/>
              <w:rPr>
                <w:rFonts w:ascii="宋体"/>
              </w:rPr>
            </w:pPr>
          </w:p>
        </w:tc>
        <w:tc>
          <w:tcPr>
            <w:tcW w:w="0" w:type="auto"/>
            <w:shd w:val="clear" w:color="auto" w:fill="auto"/>
          </w:tcPr>
          <w:p w14:paraId="7E784A57" w14:textId="77777777" w:rsidR="00A82082" w:rsidRDefault="00A82082">
            <w:pPr>
              <w:rPr>
                <w:rFonts w:ascii="宋体"/>
                <w:vanish/>
              </w:rPr>
            </w:pPr>
          </w:p>
        </w:tc>
        <w:tc>
          <w:tcPr>
            <w:tcW w:w="0" w:type="auto"/>
            <w:shd w:val="clear" w:color="auto" w:fill="auto"/>
          </w:tcPr>
          <w:p w14:paraId="7E784A58" w14:textId="77777777" w:rsidR="00A82082" w:rsidRDefault="00A82082">
            <w:pPr>
              <w:rPr>
                <w:rFonts w:ascii="宋体"/>
                <w:vanish/>
              </w:rPr>
            </w:pPr>
          </w:p>
        </w:tc>
        <w:tc>
          <w:tcPr>
            <w:tcW w:w="0" w:type="auto"/>
            <w:shd w:val="clear" w:color="auto" w:fill="auto"/>
          </w:tcPr>
          <w:p w14:paraId="7E784A59" w14:textId="77777777" w:rsidR="00A82082" w:rsidRDefault="00A82082">
            <w:pPr>
              <w:rPr>
                <w:rFonts w:ascii="宋体"/>
                <w:vanish/>
              </w:rPr>
            </w:pPr>
          </w:p>
        </w:tc>
      </w:tr>
      <w:tr w:rsidR="00A82082" w14:paraId="7E784A76" w14:textId="77777777">
        <w:trPr>
          <w:jc w:val="center"/>
        </w:trPr>
        <w:tc>
          <w:tcPr>
            <w:tcW w:w="0" w:type="auto"/>
            <w:gridSpan w:val="3"/>
            <w:shd w:val="clear" w:color="auto" w:fill="CCEEFF"/>
            <w:tcMar>
              <w:top w:w="40" w:type="dxa"/>
              <w:left w:w="20" w:type="dxa"/>
              <w:bottom w:w="40" w:type="dxa"/>
              <w:right w:w="20" w:type="dxa"/>
            </w:tcMar>
            <w:vAlign w:val="center"/>
          </w:tcPr>
          <w:p w14:paraId="7E784A5B"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7E784A5C"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5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5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5F" w14:textId="77777777" w:rsidR="00A82082" w:rsidRDefault="00E946F9">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7E784A6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6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62" w14:textId="77777777" w:rsidR="00A82082" w:rsidRDefault="00E946F9">
            <w:pPr>
              <w:jc w:val="right"/>
              <w:textAlignment w:val="center"/>
            </w:pPr>
            <w:r>
              <w:rPr>
                <w:rFonts w:ascii="Times New Roman" w:eastAsia="宋体" w:hAnsi="Times New Roman"/>
                <w:color w:val="000000"/>
                <w:sz w:val="16"/>
                <w:szCs w:val="16"/>
              </w:rPr>
              <w:t>200 </w:t>
            </w:r>
          </w:p>
        </w:tc>
        <w:tc>
          <w:tcPr>
            <w:tcW w:w="0" w:type="auto"/>
            <w:shd w:val="clear" w:color="auto" w:fill="CCEEFF"/>
            <w:tcMar>
              <w:top w:w="40" w:type="dxa"/>
              <w:left w:w="0" w:type="dxa"/>
              <w:bottom w:w="40" w:type="dxa"/>
              <w:right w:w="20" w:type="dxa"/>
            </w:tcMar>
            <w:vAlign w:val="center"/>
          </w:tcPr>
          <w:p w14:paraId="7E784A6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6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65" w14:textId="77777777" w:rsidR="00A82082" w:rsidRDefault="00E946F9">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7E784A6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6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6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6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6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6B" w14:textId="77777777" w:rsidR="00A82082" w:rsidRDefault="00E946F9">
            <w:pPr>
              <w:jc w:val="right"/>
              <w:textAlignment w:val="center"/>
            </w:pPr>
            <w:r>
              <w:rPr>
                <w:rFonts w:ascii="Times New Roman" w:eastAsia="宋体" w:hAnsi="Times New Roman"/>
                <w:color w:val="000000"/>
                <w:sz w:val="16"/>
                <w:szCs w:val="16"/>
              </w:rPr>
              <w:t>231 </w:t>
            </w:r>
          </w:p>
        </w:tc>
        <w:tc>
          <w:tcPr>
            <w:tcW w:w="0" w:type="auto"/>
            <w:shd w:val="clear" w:color="auto" w:fill="CCEEFF"/>
            <w:tcMar>
              <w:top w:w="40" w:type="dxa"/>
              <w:left w:w="0" w:type="dxa"/>
              <w:bottom w:w="40" w:type="dxa"/>
              <w:right w:w="20" w:type="dxa"/>
            </w:tcMar>
            <w:vAlign w:val="center"/>
          </w:tcPr>
          <w:p w14:paraId="7E784A6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6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6E" w14:textId="77777777" w:rsidR="00A82082" w:rsidRDefault="00E946F9">
            <w:pPr>
              <w:jc w:val="right"/>
              <w:textAlignment w:val="center"/>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center"/>
          </w:tcPr>
          <w:p w14:paraId="7E784A6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7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71" w14:textId="77777777" w:rsidR="00A82082" w:rsidRDefault="00E946F9">
            <w:pPr>
              <w:jc w:val="right"/>
              <w:textAlignment w:val="center"/>
            </w:pPr>
            <w:r>
              <w:rPr>
                <w:rFonts w:ascii="Times New Roman" w:eastAsia="宋体" w:hAnsi="Times New Roman"/>
                <w:color w:val="000000"/>
                <w:sz w:val="16"/>
                <w:szCs w:val="16"/>
              </w:rPr>
              <w:t>170 </w:t>
            </w:r>
          </w:p>
        </w:tc>
        <w:tc>
          <w:tcPr>
            <w:tcW w:w="0" w:type="auto"/>
            <w:shd w:val="clear" w:color="auto" w:fill="CCEEFF"/>
            <w:tcMar>
              <w:top w:w="40" w:type="dxa"/>
              <w:left w:w="0" w:type="dxa"/>
              <w:bottom w:w="40" w:type="dxa"/>
              <w:right w:w="20" w:type="dxa"/>
            </w:tcMar>
            <w:vAlign w:val="center"/>
          </w:tcPr>
          <w:p w14:paraId="7E784A72" w14:textId="77777777" w:rsidR="00A82082" w:rsidRDefault="00A82082">
            <w:pPr>
              <w:jc w:val="right"/>
              <w:rPr>
                <w:rFonts w:ascii="宋体"/>
              </w:rPr>
            </w:pPr>
          </w:p>
        </w:tc>
        <w:tc>
          <w:tcPr>
            <w:tcW w:w="0" w:type="auto"/>
            <w:shd w:val="clear" w:color="auto" w:fill="auto"/>
          </w:tcPr>
          <w:p w14:paraId="7E784A73" w14:textId="77777777" w:rsidR="00A82082" w:rsidRDefault="00A82082">
            <w:pPr>
              <w:rPr>
                <w:rFonts w:ascii="宋体"/>
                <w:vanish/>
              </w:rPr>
            </w:pPr>
          </w:p>
        </w:tc>
        <w:tc>
          <w:tcPr>
            <w:tcW w:w="0" w:type="auto"/>
            <w:shd w:val="clear" w:color="auto" w:fill="auto"/>
          </w:tcPr>
          <w:p w14:paraId="7E784A74" w14:textId="77777777" w:rsidR="00A82082" w:rsidRDefault="00A82082">
            <w:pPr>
              <w:rPr>
                <w:rFonts w:ascii="宋体"/>
                <w:vanish/>
              </w:rPr>
            </w:pPr>
          </w:p>
        </w:tc>
        <w:tc>
          <w:tcPr>
            <w:tcW w:w="0" w:type="auto"/>
            <w:shd w:val="clear" w:color="auto" w:fill="auto"/>
          </w:tcPr>
          <w:p w14:paraId="7E784A75" w14:textId="77777777" w:rsidR="00A82082" w:rsidRDefault="00A82082">
            <w:pPr>
              <w:rPr>
                <w:rFonts w:ascii="宋体"/>
                <w:vanish/>
              </w:rPr>
            </w:pPr>
          </w:p>
        </w:tc>
      </w:tr>
      <w:tr w:rsidR="00E946F9" w14:paraId="7E784A99" w14:textId="77777777">
        <w:trPr>
          <w:jc w:val="center"/>
        </w:trPr>
        <w:tc>
          <w:tcPr>
            <w:tcW w:w="0" w:type="auto"/>
            <w:gridSpan w:val="3"/>
            <w:shd w:val="clear" w:color="auto" w:fill="FFFFFF"/>
            <w:tcMar>
              <w:top w:w="40" w:type="dxa"/>
              <w:left w:w="20" w:type="dxa"/>
              <w:bottom w:w="40" w:type="dxa"/>
              <w:right w:w="20" w:type="dxa"/>
            </w:tcMar>
            <w:vAlign w:val="center"/>
          </w:tcPr>
          <w:p w14:paraId="7E784A77" w14:textId="77777777" w:rsidR="00A82082" w:rsidRDefault="00E946F9">
            <w:pPr>
              <w:textAlignment w:val="center"/>
            </w:pPr>
            <w:r>
              <w:rPr>
                <w:rFonts w:ascii="Times New Roman" w:eastAsia="宋体" w:hAnsi="Times New Roman"/>
                <w:b/>
                <w:bCs/>
                <w:color w:val="000000"/>
                <w:sz w:val="16"/>
                <w:szCs w:val="16"/>
              </w:rPr>
              <w:t>Balances as of July 31, 2019</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A78" w14:textId="77777777" w:rsidR="00A82082" w:rsidRDefault="00E946F9">
            <w:pPr>
              <w:jc w:val="right"/>
              <w:textAlignment w:val="center"/>
            </w:pPr>
            <w:r>
              <w:rPr>
                <w:rFonts w:ascii="Times New Roman" w:eastAsia="宋体" w:hAnsi="Times New Roman"/>
                <w:color w:val="000000"/>
                <w:sz w:val="16"/>
                <w:szCs w:val="16"/>
              </w:rPr>
              <w:t>2,847 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7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7A"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7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7C" w14:textId="77777777" w:rsidR="00A82082" w:rsidRDefault="00E946F9">
            <w:pPr>
              <w:jc w:val="right"/>
              <w:textAlignment w:val="center"/>
            </w:pPr>
            <w:r>
              <w:rPr>
                <w:rFonts w:ascii="Times New Roman" w:eastAsia="宋体" w:hAnsi="Times New Roman"/>
                <w:color w:val="000000"/>
                <w:sz w:val="16"/>
                <w:szCs w:val="16"/>
              </w:rPr>
              <w:t>285 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7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7E"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7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80" w14:textId="77777777" w:rsidR="00A82082" w:rsidRDefault="00E946F9">
            <w:pPr>
              <w:jc w:val="right"/>
              <w:textAlignment w:val="center"/>
            </w:pPr>
            <w:r>
              <w:rPr>
                <w:rFonts w:ascii="Times New Roman" w:eastAsia="宋体" w:hAnsi="Times New Roman"/>
                <w:color w:val="000000"/>
                <w:sz w:val="16"/>
                <w:szCs w:val="16"/>
              </w:rPr>
              <w:t>2,880 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8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82"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8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84" w14:textId="77777777" w:rsidR="00A82082" w:rsidRDefault="00E946F9">
            <w:pPr>
              <w:jc w:val="right"/>
              <w:textAlignment w:val="center"/>
            </w:pPr>
            <w:r>
              <w:rPr>
                <w:rFonts w:ascii="Times New Roman" w:eastAsia="宋体" w:hAnsi="Times New Roman"/>
                <w:color w:val="000000"/>
                <w:sz w:val="16"/>
                <w:szCs w:val="16"/>
              </w:rPr>
              <w:t>78,432 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8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86"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8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88" w14:textId="77777777" w:rsidR="00A82082" w:rsidRDefault="00E946F9">
            <w:pPr>
              <w:jc w:val="right"/>
              <w:textAlignment w:val="center"/>
            </w:pPr>
            <w:r>
              <w:rPr>
                <w:rFonts w:ascii="Times New Roman" w:eastAsia="宋体" w:hAnsi="Times New Roman"/>
                <w:color w:val="000000"/>
                <w:sz w:val="16"/>
                <w:szCs w:val="16"/>
              </w:rPr>
              <w:t>(11,270)</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8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8A"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8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8C" w14:textId="77777777" w:rsidR="00A82082" w:rsidRDefault="00E946F9">
            <w:pPr>
              <w:jc w:val="right"/>
              <w:textAlignment w:val="center"/>
            </w:pPr>
            <w:r>
              <w:rPr>
                <w:rFonts w:ascii="Times New Roman" w:eastAsia="宋体" w:hAnsi="Times New Roman"/>
                <w:color w:val="000000"/>
                <w:sz w:val="16"/>
                <w:szCs w:val="16"/>
              </w:rPr>
              <w:t>70,327 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8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8E"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8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90" w14:textId="77777777" w:rsidR="00A82082" w:rsidRDefault="00E946F9">
            <w:pPr>
              <w:jc w:val="right"/>
              <w:textAlignment w:val="center"/>
            </w:pPr>
            <w:r>
              <w:rPr>
                <w:rFonts w:ascii="Times New Roman" w:eastAsia="宋体" w:hAnsi="Times New Roman"/>
                <w:color w:val="000000"/>
                <w:sz w:val="16"/>
                <w:szCs w:val="16"/>
              </w:rPr>
              <w:t>6,804 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9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92"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A9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A94" w14:textId="77777777" w:rsidR="00A82082" w:rsidRDefault="00E946F9">
            <w:pPr>
              <w:jc w:val="right"/>
              <w:textAlignment w:val="center"/>
            </w:pPr>
            <w:r>
              <w:rPr>
                <w:rFonts w:ascii="Times New Roman" w:eastAsia="宋体" w:hAnsi="Times New Roman"/>
                <w:color w:val="000000"/>
                <w:sz w:val="16"/>
                <w:szCs w:val="16"/>
              </w:rPr>
              <w:t>77,131 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A95" w14:textId="77777777" w:rsidR="00A82082" w:rsidRDefault="00A82082">
            <w:pPr>
              <w:jc w:val="right"/>
              <w:rPr>
                <w:rFonts w:ascii="宋体"/>
              </w:rPr>
            </w:pPr>
          </w:p>
        </w:tc>
        <w:tc>
          <w:tcPr>
            <w:tcW w:w="0" w:type="auto"/>
            <w:shd w:val="clear" w:color="auto" w:fill="auto"/>
          </w:tcPr>
          <w:p w14:paraId="7E784A96" w14:textId="77777777" w:rsidR="00A82082" w:rsidRDefault="00A82082">
            <w:pPr>
              <w:rPr>
                <w:rFonts w:ascii="宋体"/>
                <w:vanish/>
              </w:rPr>
            </w:pPr>
          </w:p>
        </w:tc>
        <w:tc>
          <w:tcPr>
            <w:tcW w:w="0" w:type="auto"/>
            <w:shd w:val="clear" w:color="auto" w:fill="auto"/>
          </w:tcPr>
          <w:p w14:paraId="7E784A97" w14:textId="77777777" w:rsidR="00A82082" w:rsidRDefault="00A82082">
            <w:pPr>
              <w:rPr>
                <w:rFonts w:ascii="宋体"/>
                <w:vanish/>
              </w:rPr>
            </w:pPr>
          </w:p>
        </w:tc>
        <w:tc>
          <w:tcPr>
            <w:tcW w:w="0" w:type="auto"/>
            <w:shd w:val="clear" w:color="auto" w:fill="auto"/>
          </w:tcPr>
          <w:p w14:paraId="7E784A98" w14:textId="77777777" w:rsidR="00A82082" w:rsidRDefault="00A82082">
            <w:pPr>
              <w:rPr>
                <w:rFonts w:ascii="宋体"/>
                <w:vanish/>
              </w:rPr>
            </w:pPr>
          </w:p>
        </w:tc>
      </w:tr>
      <w:tr w:rsidR="00A82082" w14:paraId="7E784AAD" w14:textId="77777777">
        <w:trPr>
          <w:jc w:val="center"/>
          <w:hidden/>
        </w:trPr>
        <w:tc>
          <w:tcPr>
            <w:tcW w:w="0" w:type="auto"/>
            <w:gridSpan w:val="3"/>
            <w:shd w:val="clear" w:color="auto" w:fill="auto"/>
          </w:tcPr>
          <w:p w14:paraId="7E784A9A" w14:textId="77777777" w:rsidR="00A82082" w:rsidRDefault="00A82082">
            <w:pPr>
              <w:rPr>
                <w:rFonts w:ascii="宋体"/>
                <w:vanish/>
              </w:rPr>
            </w:pPr>
          </w:p>
        </w:tc>
        <w:tc>
          <w:tcPr>
            <w:tcW w:w="0" w:type="auto"/>
            <w:gridSpan w:val="3"/>
            <w:shd w:val="clear" w:color="auto" w:fill="auto"/>
          </w:tcPr>
          <w:p w14:paraId="7E784A9B" w14:textId="77777777" w:rsidR="00A82082" w:rsidRDefault="00A82082">
            <w:pPr>
              <w:rPr>
                <w:rFonts w:ascii="宋体"/>
                <w:vanish/>
              </w:rPr>
            </w:pPr>
          </w:p>
        </w:tc>
        <w:tc>
          <w:tcPr>
            <w:tcW w:w="0" w:type="auto"/>
            <w:gridSpan w:val="3"/>
            <w:shd w:val="clear" w:color="auto" w:fill="auto"/>
          </w:tcPr>
          <w:p w14:paraId="7E784A9C" w14:textId="77777777" w:rsidR="00A82082" w:rsidRDefault="00A82082">
            <w:pPr>
              <w:rPr>
                <w:rFonts w:ascii="宋体"/>
                <w:vanish/>
              </w:rPr>
            </w:pPr>
          </w:p>
        </w:tc>
        <w:tc>
          <w:tcPr>
            <w:tcW w:w="0" w:type="auto"/>
            <w:gridSpan w:val="3"/>
            <w:shd w:val="clear" w:color="auto" w:fill="auto"/>
          </w:tcPr>
          <w:p w14:paraId="7E784A9D" w14:textId="77777777" w:rsidR="00A82082" w:rsidRDefault="00A82082">
            <w:pPr>
              <w:rPr>
                <w:rFonts w:ascii="宋体"/>
                <w:vanish/>
              </w:rPr>
            </w:pPr>
          </w:p>
        </w:tc>
        <w:tc>
          <w:tcPr>
            <w:tcW w:w="0" w:type="auto"/>
            <w:gridSpan w:val="3"/>
            <w:shd w:val="clear" w:color="auto" w:fill="auto"/>
          </w:tcPr>
          <w:p w14:paraId="7E784A9E" w14:textId="77777777" w:rsidR="00A82082" w:rsidRDefault="00A82082">
            <w:pPr>
              <w:rPr>
                <w:rFonts w:ascii="宋体"/>
                <w:vanish/>
              </w:rPr>
            </w:pPr>
          </w:p>
        </w:tc>
        <w:tc>
          <w:tcPr>
            <w:tcW w:w="0" w:type="auto"/>
            <w:gridSpan w:val="3"/>
            <w:shd w:val="clear" w:color="auto" w:fill="auto"/>
          </w:tcPr>
          <w:p w14:paraId="7E784A9F" w14:textId="77777777" w:rsidR="00A82082" w:rsidRDefault="00A82082">
            <w:pPr>
              <w:rPr>
                <w:rFonts w:ascii="宋体"/>
                <w:vanish/>
              </w:rPr>
            </w:pPr>
          </w:p>
        </w:tc>
        <w:tc>
          <w:tcPr>
            <w:tcW w:w="0" w:type="auto"/>
            <w:gridSpan w:val="3"/>
            <w:shd w:val="clear" w:color="auto" w:fill="auto"/>
          </w:tcPr>
          <w:p w14:paraId="7E784AA0" w14:textId="77777777" w:rsidR="00A82082" w:rsidRDefault="00A82082">
            <w:pPr>
              <w:rPr>
                <w:rFonts w:ascii="宋体"/>
                <w:vanish/>
              </w:rPr>
            </w:pPr>
          </w:p>
        </w:tc>
        <w:tc>
          <w:tcPr>
            <w:tcW w:w="0" w:type="auto"/>
            <w:gridSpan w:val="3"/>
            <w:shd w:val="clear" w:color="auto" w:fill="auto"/>
          </w:tcPr>
          <w:p w14:paraId="7E784AA1" w14:textId="77777777" w:rsidR="00A82082" w:rsidRDefault="00A82082">
            <w:pPr>
              <w:rPr>
                <w:rFonts w:ascii="宋体"/>
                <w:vanish/>
              </w:rPr>
            </w:pPr>
          </w:p>
        </w:tc>
        <w:tc>
          <w:tcPr>
            <w:tcW w:w="0" w:type="auto"/>
            <w:gridSpan w:val="3"/>
            <w:shd w:val="clear" w:color="auto" w:fill="auto"/>
          </w:tcPr>
          <w:p w14:paraId="7E784AA2" w14:textId="77777777" w:rsidR="00A82082" w:rsidRDefault="00A82082">
            <w:pPr>
              <w:rPr>
                <w:rFonts w:ascii="宋体"/>
                <w:vanish/>
              </w:rPr>
            </w:pPr>
          </w:p>
        </w:tc>
        <w:tc>
          <w:tcPr>
            <w:tcW w:w="0" w:type="auto"/>
            <w:gridSpan w:val="3"/>
            <w:shd w:val="clear" w:color="auto" w:fill="auto"/>
          </w:tcPr>
          <w:p w14:paraId="7E784AA3" w14:textId="77777777" w:rsidR="00A82082" w:rsidRDefault="00A82082">
            <w:pPr>
              <w:rPr>
                <w:rFonts w:ascii="宋体"/>
                <w:vanish/>
              </w:rPr>
            </w:pPr>
          </w:p>
        </w:tc>
        <w:tc>
          <w:tcPr>
            <w:tcW w:w="0" w:type="auto"/>
            <w:gridSpan w:val="3"/>
            <w:shd w:val="clear" w:color="auto" w:fill="auto"/>
          </w:tcPr>
          <w:p w14:paraId="7E784AA4" w14:textId="77777777" w:rsidR="00A82082" w:rsidRDefault="00A82082">
            <w:pPr>
              <w:rPr>
                <w:rFonts w:ascii="宋体"/>
                <w:vanish/>
              </w:rPr>
            </w:pPr>
          </w:p>
        </w:tc>
        <w:tc>
          <w:tcPr>
            <w:tcW w:w="0" w:type="auto"/>
            <w:gridSpan w:val="3"/>
            <w:shd w:val="clear" w:color="auto" w:fill="auto"/>
          </w:tcPr>
          <w:p w14:paraId="7E784AA5" w14:textId="77777777" w:rsidR="00A82082" w:rsidRDefault="00A82082">
            <w:pPr>
              <w:rPr>
                <w:rFonts w:ascii="宋体"/>
                <w:vanish/>
              </w:rPr>
            </w:pPr>
          </w:p>
        </w:tc>
        <w:tc>
          <w:tcPr>
            <w:tcW w:w="0" w:type="auto"/>
            <w:gridSpan w:val="3"/>
            <w:shd w:val="clear" w:color="auto" w:fill="auto"/>
          </w:tcPr>
          <w:p w14:paraId="7E784AA6" w14:textId="77777777" w:rsidR="00A82082" w:rsidRDefault="00A82082">
            <w:pPr>
              <w:rPr>
                <w:rFonts w:ascii="宋体"/>
                <w:vanish/>
              </w:rPr>
            </w:pPr>
          </w:p>
        </w:tc>
        <w:tc>
          <w:tcPr>
            <w:tcW w:w="0" w:type="auto"/>
            <w:gridSpan w:val="3"/>
            <w:shd w:val="clear" w:color="auto" w:fill="auto"/>
          </w:tcPr>
          <w:p w14:paraId="7E784AA7" w14:textId="77777777" w:rsidR="00A82082" w:rsidRDefault="00A82082">
            <w:pPr>
              <w:rPr>
                <w:rFonts w:ascii="宋体"/>
                <w:vanish/>
              </w:rPr>
            </w:pPr>
          </w:p>
        </w:tc>
        <w:tc>
          <w:tcPr>
            <w:tcW w:w="0" w:type="auto"/>
            <w:gridSpan w:val="3"/>
            <w:shd w:val="clear" w:color="auto" w:fill="auto"/>
          </w:tcPr>
          <w:p w14:paraId="7E784AA8" w14:textId="77777777" w:rsidR="00A82082" w:rsidRDefault="00A82082">
            <w:pPr>
              <w:rPr>
                <w:rFonts w:ascii="宋体"/>
                <w:vanish/>
              </w:rPr>
            </w:pPr>
          </w:p>
        </w:tc>
        <w:tc>
          <w:tcPr>
            <w:tcW w:w="0" w:type="auto"/>
            <w:gridSpan w:val="3"/>
            <w:shd w:val="clear" w:color="auto" w:fill="auto"/>
          </w:tcPr>
          <w:p w14:paraId="7E784AA9" w14:textId="77777777" w:rsidR="00A82082" w:rsidRDefault="00A82082">
            <w:pPr>
              <w:rPr>
                <w:rFonts w:ascii="宋体"/>
                <w:vanish/>
              </w:rPr>
            </w:pPr>
          </w:p>
        </w:tc>
        <w:tc>
          <w:tcPr>
            <w:tcW w:w="0" w:type="auto"/>
            <w:shd w:val="clear" w:color="auto" w:fill="auto"/>
          </w:tcPr>
          <w:p w14:paraId="7E784AAA" w14:textId="77777777" w:rsidR="00A82082" w:rsidRDefault="00A82082">
            <w:pPr>
              <w:rPr>
                <w:rFonts w:ascii="宋体"/>
                <w:vanish/>
              </w:rPr>
            </w:pPr>
          </w:p>
        </w:tc>
        <w:tc>
          <w:tcPr>
            <w:tcW w:w="0" w:type="auto"/>
            <w:shd w:val="clear" w:color="auto" w:fill="auto"/>
          </w:tcPr>
          <w:p w14:paraId="7E784AAB" w14:textId="77777777" w:rsidR="00A82082" w:rsidRDefault="00A82082">
            <w:pPr>
              <w:rPr>
                <w:rFonts w:ascii="宋体"/>
                <w:vanish/>
              </w:rPr>
            </w:pPr>
          </w:p>
        </w:tc>
        <w:tc>
          <w:tcPr>
            <w:tcW w:w="0" w:type="auto"/>
            <w:shd w:val="clear" w:color="auto" w:fill="auto"/>
          </w:tcPr>
          <w:p w14:paraId="7E784AAC" w14:textId="77777777" w:rsidR="00A82082" w:rsidRDefault="00A82082">
            <w:pPr>
              <w:rPr>
                <w:rFonts w:ascii="宋体"/>
                <w:vanish/>
              </w:rPr>
            </w:pPr>
          </w:p>
        </w:tc>
      </w:tr>
      <w:tr w:rsidR="00A82082" w14:paraId="7E784AC9" w14:textId="77777777">
        <w:trPr>
          <w:jc w:val="center"/>
        </w:trPr>
        <w:tc>
          <w:tcPr>
            <w:tcW w:w="0" w:type="auto"/>
            <w:gridSpan w:val="3"/>
            <w:shd w:val="clear" w:color="auto" w:fill="CCEEFF"/>
            <w:tcMar>
              <w:top w:w="40" w:type="dxa"/>
              <w:left w:w="20" w:type="dxa"/>
              <w:bottom w:w="40" w:type="dxa"/>
              <w:right w:w="20" w:type="dxa"/>
            </w:tcMar>
            <w:vAlign w:val="center"/>
          </w:tcPr>
          <w:p w14:paraId="7E784AAE"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7E784AA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B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B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B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B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B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B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B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B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B8" w14:textId="77777777" w:rsidR="00A82082" w:rsidRDefault="00E946F9">
            <w:pPr>
              <w:jc w:val="right"/>
              <w:textAlignment w:val="center"/>
            </w:pPr>
            <w:r>
              <w:rPr>
                <w:rFonts w:ascii="Times New Roman" w:eastAsia="宋体" w:hAnsi="Times New Roman"/>
                <w:color w:val="000000"/>
                <w:sz w:val="16"/>
                <w:szCs w:val="16"/>
              </w:rPr>
              <w:t>3,288 </w:t>
            </w:r>
          </w:p>
        </w:tc>
        <w:tc>
          <w:tcPr>
            <w:tcW w:w="0" w:type="auto"/>
            <w:shd w:val="clear" w:color="auto" w:fill="CCEEFF"/>
            <w:tcMar>
              <w:top w:w="40" w:type="dxa"/>
              <w:left w:w="0" w:type="dxa"/>
              <w:bottom w:w="40" w:type="dxa"/>
              <w:right w:w="20" w:type="dxa"/>
            </w:tcMar>
            <w:vAlign w:val="center"/>
          </w:tcPr>
          <w:p w14:paraId="7E784AB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B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B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AB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B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BE" w14:textId="77777777" w:rsidR="00A82082" w:rsidRDefault="00E946F9">
            <w:pPr>
              <w:jc w:val="right"/>
              <w:textAlignment w:val="center"/>
            </w:pPr>
            <w:r>
              <w:rPr>
                <w:rFonts w:ascii="Times New Roman" w:eastAsia="宋体" w:hAnsi="Times New Roman"/>
                <w:color w:val="000000"/>
                <w:sz w:val="16"/>
                <w:szCs w:val="16"/>
              </w:rPr>
              <w:t>3,288 </w:t>
            </w:r>
          </w:p>
        </w:tc>
        <w:tc>
          <w:tcPr>
            <w:tcW w:w="0" w:type="auto"/>
            <w:shd w:val="clear" w:color="auto" w:fill="CCEEFF"/>
            <w:tcMar>
              <w:top w:w="40" w:type="dxa"/>
              <w:left w:w="0" w:type="dxa"/>
              <w:bottom w:w="40" w:type="dxa"/>
              <w:right w:w="20" w:type="dxa"/>
            </w:tcMar>
            <w:vAlign w:val="center"/>
          </w:tcPr>
          <w:p w14:paraId="7E784AB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C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C1" w14:textId="77777777" w:rsidR="00A82082" w:rsidRDefault="00E946F9">
            <w:pPr>
              <w:jc w:val="right"/>
              <w:textAlignment w:val="center"/>
            </w:pPr>
            <w:r>
              <w:rPr>
                <w:rFonts w:ascii="Times New Roman" w:eastAsia="宋体" w:hAnsi="Times New Roman"/>
                <w:color w:val="000000"/>
                <w:sz w:val="16"/>
                <w:szCs w:val="16"/>
              </w:rPr>
              <w:t>33 </w:t>
            </w:r>
          </w:p>
        </w:tc>
        <w:tc>
          <w:tcPr>
            <w:tcW w:w="0" w:type="auto"/>
            <w:shd w:val="clear" w:color="auto" w:fill="CCEEFF"/>
            <w:tcMar>
              <w:top w:w="40" w:type="dxa"/>
              <w:left w:w="0" w:type="dxa"/>
              <w:bottom w:w="40" w:type="dxa"/>
              <w:right w:w="20" w:type="dxa"/>
            </w:tcMar>
            <w:vAlign w:val="center"/>
          </w:tcPr>
          <w:p w14:paraId="7E784AC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AC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AC4" w14:textId="77777777" w:rsidR="00A82082" w:rsidRDefault="00E946F9">
            <w:pPr>
              <w:jc w:val="right"/>
              <w:textAlignment w:val="center"/>
            </w:pPr>
            <w:r>
              <w:rPr>
                <w:rFonts w:ascii="Times New Roman" w:eastAsia="宋体" w:hAnsi="Times New Roman"/>
                <w:color w:val="000000"/>
                <w:sz w:val="16"/>
                <w:szCs w:val="16"/>
              </w:rPr>
              <w:t>3,321 </w:t>
            </w:r>
          </w:p>
        </w:tc>
        <w:tc>
          <w:tcPr>
            <w:tcW w:w="0" w:type="auto"/>
            <w:shd w:val="clear" w:color="auto" w:fill="CCEEFF"/>
            <w:tcMar>
              <w:top w:w="40" w:type="dxa"/>
              <w:left w:w="0" w:type="dxa"/>
              <w:bottom w:w="40" w:type="dxa"/>
              <w:right w:w="20" w:type="dxa"/>
            </w:tcMar>
            <w:vAlign w:val="center"/>
          </w:tcPr>
          <w:p w14:paraId="7E784AC5" w14:textId="77777777" w:rsidR="00A82082" w:rsidRDefault="00A82082">
            <w:pPr>
              <w:jc w:val="right"/>
              <w:rPr>
                <w:rFonts w:ascii="宋体"/>
              </w:rPr>
            </w:pPr>
          </w:p>
        </w:tc>
        <w:tc>
          <w:tcPr>
            <w:tcW w:w="0" w:type="auto"/>
            <w:shd w:val="clear" w:color="auto" w:fill="auto"/>
          </w:tcPr>
          <w:p w14:paraId="7E784AC6" w14:textId="77777777" w:rsidR="00A82082" w:rsidRDefault="00A82082">
            <w:pPr>
              <w:rPr>
                <w:rFonts w:ascii="宋体"/>
                <w:vanish/>
              </w:rPr>
            </w:pPr>
          </w:p>
        </w:tc>
        <w:tc>
          <w:tcPr>
            <w:tcW w:w="0" w:type="auto"/>
            <w:shd w:val="clear" w:color="auto" w:fill="auto"/>
          </w:tcPr>
          <w:p w14:paraId="7E784AC7" w14:textId="77777777" w:rsidR="00A82082" w:rsidRDefault="00A82082">
            <w:pPr>
              <w:rPr>
                <w:rFonts w:ascii="宋体"/>
                <w:vanish/>
              </w:rPr>
            </w:pPr>
          </w:p>
        </w:tc>
        <w:tc>
          <w:tcPr>
            <w:tcW w:w="0" w:type="auto"/>
            <w:shd w:val="clear" w:color="auto" w:fill="auto"/>
          </w:tcPr>
          <w:p w14:paraId="7E784AC8" w14:textId="77777777" w:rsidR="00A82082" w:rsidRDefault="00A82082">
            <w:pPr>
              <w:rPr>
                <w:rFonts w:ascii="宋体"/>
                <w:vanish/>
              </w:rPr>
            </w:pPr>
          </w:p>
        </w:tc>
      </w:tr>
      <w:tr w:rsidR="00A82082" w14:paraId="7E784AE5" w14:textId="77777777">
        <w:trPr>
          <w:jc w:val="center"/>
        </w:trPr>
        <w:tc>
          <w:tcPr>
            <w:tcW w:w="0" w:type="auto"/>
            <w:gridSpan w:val="3"/>
            <w:shd w:val="clear" w:color="auto" w:fill="FFFFFF"/>
            <w:tcMar>
              <w:top w:w="40" w:type="dxa"/>
              <w:left w:w="20" w:type="dxa"/>
              <w:bottom w:w="40" w:type="dxa"/>
              <w:right w:w="20" w:type="dxa"/>
            </w:tcMar>
            <w:vAlign w:val="center"/>
          </w:tcPr>
          <w:p w14:paraId="7E784ACA" w14:textId="77777777" w:rsidR="00A82082" w:rsidRDefault="00E946F9">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FFFFFF"/>
            <w:tcMar>
              <w:top w:w="40" w:type="dxa"/>
              <w:left w:w="20" w:type="dxa"/>
              <w:bottom w:w="40" w:type="dxa"/>
              <w:right w:w="0" w:type="dxa"/>
            </w:tcMar>
            <w:vAlign w:val="center"/>
          </w:tcPr>
          <w:p w14:paraId="7E784AC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C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C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C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C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D1"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D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D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AD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D7" w14:textId="77777777" w:rsidR="00A82082" w:rsidRDefault="00E946F9">
            <w:pPr>
              <w:jc w:val="right"/>
              <w:textAlignment w:val="center"/>
            </w:pPr>
            <w:r>
              <w:rPr>
                <w:rFonts w:ascii="Times New Roman" w:eastAsia="宋体" w:hAnsi="Times New Roman"/>
                <w:color w:val="000000"/>
                <w:sz w:val="16"/>
                <w:szCs w:val="16"/>
              </w:rPr>
              <w:t>(1,112)</w:t>
            </w:r>
          </w:p>
        </w:tc>
        <w:tc>
          <w:tcPr>
            <w:tcW w:w="0" w:type="auto"/>
            <w:shd w:val="clear" w:color="auto" w:fill="FFFFFF"/>
            <w:tcMar>
              <w:top w:w="40" w:type="dxa"/>
              <w:left w:w="0" w:type="dxa"/>
              <w:bottom w:w="40" w:type="dxa"/>
              <w:right w:w="20" w:type="dxa"/>
            </w:tcMar>
            <w:vAlign w:val="center"/>
          </w:tcPr>
          <w:p w14:paraId="7E784AD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DA" w14:textId="77777777" w:rsidR="00A82082" w:rsidRDefault="00E946F9">
            <w:pPr>
              <w:jc w:val="right"/>
              <w:textAlignment w:val="center"/>
            </w:pPr>
            <w:r>
              <w:rPr>
                <w:rFonts w:ascii="Times New Roman" w:eastAsia="宋体" w:hAnsi="Times New Roman"/>
                <w:color w:val="000000"/>
                <w:sz w:val="16"/>
                <w:szCs w:val="16"/>
              </w:rPr>
              <w:t>(1,112)</w:t>
            </w:r>
          </w:p>
        </w:tc>
        <w:tc>
          <w:tcPr>
            <w:tcW w:w="0" w:type="auto"/>
            <w:shd w:val="clear" w:color="auto" w:fill="FFFFFF"/>
            <w:tcMar>
              <w:top w:w="40" w:type="dxa"/>
              <w:left w:w="0" w:type="dxa"/>
              <w:bottom w:w="40" w:type="dxa"/>
              <w:right w:w="20" w:type="dxa"/>
            </w:tcMar>
            <w:vAlign w:val="center"/>
          </w:tcPr>
          <w:p w14:paraId="7E784AD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DD" w14:textId="77777777" w:rsidR="00A82082" w:rsidRDefault="00E946F9">
            <w:pPr>
              <w:jc w:val="right"/>
              <w:textAlignment w:val="center"/>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center"/>
          </w:tcPr>
          <w:p w14:paraId="7E784AD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AD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AE0" w14:textId="77777777" w:rsidR="00A82082" w:rsidRDefault="00E946F9">
            <w:pPr>
              <w:jc w:val="right"/>
              <w:textAlignment w:val="center"/>
            </w:pPr>
            <w:r>
              <w:rPr>
                <w:rFonts w:ascii="Times New Roman" w:eastAsia="宋体" w:hAnsi="Times New Roman"/>
                <w:color w:val="000000"/>
                <w:sz w:val="16"/>
                <w:szCs w:val="16"/>
              </w:rPr>
              <w:t>(1,305)</w:t>
            </w:r>
          </w:p>
        </w:tc>
        <w:tc>
          <w:tcPr>
            <w:tcW w:w="0" w:type="auto"/>
            <w:shd w:val="clear" w:color="auto" w:fill="FFFFFF"/>
            <w:tcMar>
              <w:top w:w="40" w:type="dxa"/>
              <w:left w:w="0" w:type="dxa"/>
              <w:bottom w:w="40" w:type="dxa"/>
              <w:right w:w="20" w:type="dxa"/>
            </w:tcMar>
            <w:vAlign w:val="center"/>
          </w:tcPr>
          <w:p w14:paraId="7E784AE1" w14:textId="77777777" w:rsidR="00A82082" w:rsidRDefault="00A82082">
            <w:pPr>
              <w:jc w:val="right"/>
              <w:rPr>
                <w:rFonts w:ascii="宋体"/>
              </w:rPr>
            </w:pPr>
          </w:p>
        </w:tc>
        <w:tc>
          <w:tcPr>
            <w:tcW w:w="0" w:type="auto"/>
            <w:shd w:val="clear" w:color="auto" w:fill="auto"/>
          </w:tcPr>
          <w:p w14:paraId="7E784AE2" w14:textId="77777777" w:rsidR="00A82082" w:rsidRDefault="00A82082">
            <w:pPr>
              <w:rPr>
                <w:rFonts w:ascii="宋体"/>
                <w:vanish/>
              </w:rPr>
            </w:pPr>
          </w:p>
        </w:tc>
        <w:tc>
          <w:tcPr>
            <w:tcW w:w="0" w:type="auto"/>
            <w:shd w:val="clear" w:color="auto" w:fill="auto"/>
          </w:tcPr>
          <w:p w14:paraId="7E784AE3" w14:textId="77777777" w:rsidR="00A82082" w:rsidRDefault="00A82082">
            <w:pPr>
              <w:rPr>
                <w:rFonts w:ascii="宋体"/>
                <w:vanish/>
              </w:rPr>
            </w:pPr>
          </w:p>
        </w:tc>
        <w:tc>
          <w:tcPr>
            <w:tcW w:w="0" w:type="auto"/>
            <w:shd w:val="clear" w:color="auto" w:fill="auto"/>
          </w:tcPr>
          <w:p w14:paraId="7E784AE4" w14:textId="77777777" w:rsidR="00A82082" w:rsidRDefault="00A82082">
            <w:pPr>
              <w:rPr>
                <w:rFonts w:ascii="宋体"/>
                <w:vanish/>
              </w:rPr>
            </w:pPr>
          </w:p>
        </w:tc>
      </w:tr>
      <w:tr w:rsidR="00A82082" w14:paraId="7E784AF9" w14:textId="77777777">
        <w:trPr>
          <w:jc w:val="center"/>
          <w:hidden/>
        </w:trPr>
        <w:tc>
          <w:tcPr>
            <w:tcW w:w="0" w:type="auto"/>
            <w:gridSpan w:val="3"/>
            <w:shd w:val="clear" w:color="auto" w:fill="auto"/>
          </w:tcPr>
          <w:p w14:paraId="7E784AE6" w14:textId="77777777" w:rsidR="00A82082" w:rsidRDefault="00A82082">
            <w:pPr>
              <w:rPr>
                <w:rFonts w:ascii="宋体"/>
                <w:vanish/>
              </w:rPr>
            </w:pPr>
          </w:p>
        </w:tc>
        <w:tc>
          <w:tcPr>
            <w:tcW w:w="0" w:type="auto"/>
            <w:gridSpan w:val="3"/>
            <w:shd w:val="clear" w:color="auto" w:fill="auto"/>
          </w:tcPr>
          <w:p w14:paraId="7E784AE7" w14:textId="77777777" w:rsidR="00A82082" w:rsidRDefault="00A82082">
            <w:pPr>
              <w:rPr>
                <w:rFonts w:ascii="宋体"/>
                <w:vanish/>
              </w:rPr>
            </w:pPr>
          </w:p>
        </w:tc>
        <w:tc>
          <w:tcPr>
            <w:tcW w:w="0" w:type="auto"/>
            <w:gridSpan w:val="3"/>
            <w:shd w:val="clear" w:color="auto" w:fill="auto"/>
          </w:tcPr>
          <w:p w14:paraId="7E784AE8" w14:textId="77777777" w:rsidR="00A82082" w:rsidRDefault="00A82082">
            <w:pPr>
              <w:rPr>
                <w:rFonts w:ascii="宋体"/>
                <w:vanish/>
              </w:rPr>
            </w:pPr>
          </w:p>
        </w:tc>
        <w:tc>
          <w:tcPr>
            <w:tcW w:w="0" w:type="auto"/>
            <w:gridSpan w:val="3"/>
            <w:shd w:val="clear" w:color="auto" w:fill="auto"/>
          </w:tcPr>
          <w:p w14:paraId="7E784AE9" w14:textId="77777777" w:rsidR="00A82082" w:rsidRDefault="00A82082">
            <w:pPr>
              <w:rPr>
                <w:rFonts w:ascii="宋体"/>
                <w:vanish/>
              </w:rPr>
            </w:pPr>
          </w:p>
        </w:tc>
        <w:tc>
          <w:tcPr>
            <w:tcW w:w="0" w:type="auto"/>
            <w:gridSpan w:val="3"/>
            <w:shd w:val="clear" w:color="auto" w:fill="auto"/>
          </w:tcPr>
          <w:p w14:paraId="7E784AEA" w14:textId="77777777" w:rsidR="00A82082" w:rsidRDefault="00A82082">
            <w:pPr>
              <w:rPr>
                <w:rFonts w:ascii="宋体"/>
                <w:vanish/>
              </w:rPr>
            </w:pPr>
          </w:p>
        </w:tc>
        <w:tc>
          <w:tcPr>
            <w:tcW w:w="0" w:type="auto"/>
            <w:gridSpan w:val="3"/>
            <w:shd w:val="clear" w:color="auto" w:fill="auto"/>
          </w:tcPr>
          <w:p w14:paraId="7E784AEB" w14:textId="77777777" w:rsidR="00A82082" w:rsidRDefault="00A82082">
            <w:pPr>
              <w:rPr>
                <w:rFonts w:ascii="宋体"/>
                <w:vanish/>
              </w:rPr>
            </w:pPr>
          </w:p>
        </w:tc>
        <w:tc>
          <w:tcPr>
            <w:tcW w:w="0" w:type="auto"/>
            <w:gridSpan w:val="3"/>
            <w:shd w:val="clear" w:color="auto" w:fill="auto"/>
          </w:tcPr>
          <w:p w14:paraId="7E784AEC" w14:textId="77777777" w:rsidR="00A82082" w:rsidRDefault="00A82082">
            <w:pPr>
              <w:rPr>
                <w:rFonts w:ascii="宋体"/>
                <w:vanish/>
              </w:rPr>
            </w:pPr>
          </w:p>
        </w:tc>
        <w:tc>
          <w:tcPr>
            <w:tcW w:w="0" w:type="auto"/>
            <w:gridSpan w:val="3"/>
            <w:shd w:val="clear" w:color="auto" w:fill="auto"/>
          </w:tcPr>
          <w:p w14:paraId="7E784AED" w14:textId="77777777" w:rsidR="00A82082" w:rsidRDefault="00A82082">
            <w:pPr>
              <w:rPr>
                <w:rFonts w:ascii="宋体"/>
                <w:vanish/>
              </w:rPr>
            </w:pPr>
          </w:p>
        </w:tc>
        <w:tc>
          <w:tcPr>
            <w:tcW w:w="0" w:type="auto"/>
            <w:gridSpan w:val="3"/>
            <w:shd w:val="clear" w:color="auto" w:fill="auto"/>
          </w:tcPr>
          <w:p w14:paraId="7E784AEE" w14:textId="77777777" w:rsidR="00A82082" w:rsidRDefault="00A82082">
            <w:pPr>
              <w:rPr>
                <w:rFonts w:ascii="宋体"/>
                <w:vanish/>
              </w:rPr>
            </w:pPr>
          </w:p>
        </w:tc>
        <w:tc>
          <w:tcPr>
            <w:tcW w:w="0" w:type="auto"/>
            <w:gridSpan w:val="3"/>
            <w:shd w:val="clear" w:color="auto" w:fill="auto"/>
          </w:tcPr>
          <w:p w14:paraId="7E784AEF" w14:textId="77777777" w:rsidR="00A82082" w:rsidRDefault="00A82082">
            <w:pPr>
              <w:rPr>
                <w:rFonts w:ascii="宋体"/>
                <w:vanish/>
              </w:rPr>
            </w:pPr>
          </w:p>
        </w:tc>
        <w:tc>
          <w:tcPr>
            <w:tcW w:w="0" w:type="auto"/>
            <w:gridSpan w:val="3"/>
            <w:shd w:val="clear" w:color="auto" w:fill="auto"/>
          </w:tcPr>
          <w:p w14:paraId="7E784AF0" w14:textId="77777777" w:rsidR="00A82082" w:rsidRDefault="00A82082">
            <w:pPr>
              <w:rPr>
                <w:rFonts w:ascii="宋体"/>
                <w:vanish/>
              </w:rPr>
            </w:pPr>
          </w:p>
        </w:tc>
        <w:tc>
          <w:tcPr>
            <w:tcW w:w="0" w:type="auto"/>
            <w:gridSpan w:val="3"/>
            <w:shd w:val="clear" w:color="auto" w:fill="auto"/>
          </w:tcPr>
          <w:p w14:paraId="7E784AF1" w14:textId="77777777" w:rsidR="00A82082" w:rsidRDefault="00A82082">
            <w:pPr>
              <w:rPr>
                <w:rFonts w:ascii="宋体"/>
                <w:vanish/>
              </w:rPr>
            </w:pPr>
          </w:p>
        </w:tc>
        <w:tc>
          <w:tcPr>
            <w:tcW w:w="0" w:type="auto"/>
            <w:gridSpan w:val="3"/>
            <w:shd w:val="clear" w:color="auto" w:fill="auto"/>
          </w:tcPr>
          <w:p w14:paraId="7E784AF2" w14:textId="77777777" w:rsidR="00A82082" w:rsidRDefault="00A82082">
            <w:pPr>
              <w:rPr>
                <w:rFonts w:ascii="宋体"/>
                <w:vanish/>
              </w:rPr>
            </w:pPr>
          </w:p>
        </w:tc>
        <w:tc>
          <w:tcPr>
            <w:tcW w:w="0" w:type="auto"/>
            <w:gridSpan w:val="3"/>
            <w:shd w:val="clear" w:color="auto" w:fill="auto"/>
          </w:tcPr>
          <w:p w14:paraId="7E784AF3" w14:textId="77777777" w:rsidR="00A82082" w:rsidRDefault="00A82082">
            <w:pPr>
              <w:rPr>
                <w:rFonts w:ascii="宋体"/>
                <w:vanish/>
              </w:rPr>
            </w:pPr>
          </w:p>
        </w:tc>
        <w:tc>
          <w:tcPr>
            <w:tcW w:w="0" w:type="auto"/>
            <w:gridSpan w:val="3"/>
            <w:shd w:val="clear" w:color="auto" w:fill="auto"/>
          </w:tcPr>
          <w:p w14:paraId="7E784AF4" w14:textId="77777777" w:rsidR="00A82082" w:rsidRDefault="00A82082">
            <w:pPr>
              <w:rPr>
                <w:rFonts w:ascii="宋体"/>
                <w:vanish/>
              </w:rPr>
            </w:pPr>
          </w:p>
        </w:tc>
        <w:tc>
          <w:tcPr>
            <w:tcW w:w="0" w:type="auto"/>
            <w:gridSpan w:val="3"/>
            <w:shd w:val="clear" w:color="auto" w:fill="auto"/>
          </w:tcPr>
          <w:p w14:paraId="7E784AF5" w14:textId="77777777" w:rsidR="00A82082" w:rsidRDefault="00A82082">
            <w:pPr>
              <w:rPr>
                <w:rFonts w:ascii="宋体"/>
                <w:vanish/>
              </w:rPr>
            </w:pPr>
          </w:p>
        </w:tc>
        <w:tc>
          <w:tcPr>
            <w:tcW w:w="0" w:type="auto"/>
            <w:shd w:val="clear" w:color="auto" w:fill="auto"/>
          </w:tcPr>
          <w:p w14:paraId="7E784AF6" w14:textId="77777777" w:rsidR="00A82082" w:rsidRDefault="00A82082">
            <w:pPr>
              <w:rPr>
                <w:rFonts w:ascii="宋体"/>
                <w:vanish/>
              </w:rPr>
            </w:pPr>
          </w:p>
        </w:tc>
        <w:tc>
          <w:tcPr>
            <w:tcW w:w="0" w:type="auto"/>
            <w:shd w:val="clear" w:color="auto" w:fill="auto"/>
          </w:tcPr>
          <w:p w14:paraId="7E784AF7" w14:textId="77777777" w:rsidR="00A82082" w:rsidRDefault="00A82082">
            <w:pPr>
              <w:rPr>
                <w:rFonts w:ascii="宋体"/>
                <w:vanish/>
              </w:rPr>
            </w:pPr>
          </w:p>
        </w:tc>
        <w:tc>
          <w:tcPr>
            <w:tcW w:w="0" w:type="auto"/>
            <w:shd w:val="clear" w:color="auto" w:fill="auto"/>
          </w:tcPr>
          <w:p w14:paraId="7E784AF8" w14:textId="77777777" w:rsidR="00A82082" w:rsidRDefault="00A82082">
            <w:pPr>
              <w:rPr>
                <w:rFonts w:ascii="宋体"/>
                <w:vanish/>
              </w:rPr>
            </w:pPr>
          </w:p>
        </w:tc>
      </w:tr>
      <w:tr w:rsidR="00A82082" w14:paraId="7E784B0D" w14:textId="77777777">
        <w:trPr>
          <w:jc w:val="center"/>
          <w:hidden/>
        </w:trPr>
        <w:tc>
          <w:tcPr>
            <w:tcW w:w="0" w:type="auto"/>
            <w:gridSpan w:val="3"/>
            <w:shd w:val="clear" w:color="auto" w:fill="auto"/>
          </w:tcPr>
          <w:p w14:paraId="7E784AFA" w14:textId="77777777" w:rsidR="00A82082" w:rsidRDefault="00A82082">
            <w:pPr>
              <w:rPr>
                <w:rFonts w:ascii="宋体"/>
                <w:vanish/>
              </w:rPr>
            </w:pPr>
          </w:p>
        </w:tc>
        <w:tc>
          <w:tcPr>
            <w:tcW w:w="0" w:type="auto"/>
            <w:gridSpan w:val="3"/>
            <w:shd w:val="clear" w:color="auto" w:fill="auto"/>
          </w:tcPr>
          <w:p w14:paraId="7E784AFB" w14:textId="77777777" w:rsidR="00A82082" w:rsidRDefault="00A82082">
            <w:pPr>
              <w:rPr>
                <w:rFonts w:ascii="宋体"/>
                <w:vanish/>
              </w:rPr>
            </w:pPr>
          </w:p>
        </w:tc>
        <w:tc>
          <w:tcPr>
            <w:tcW w:w="0" w:type="auto"/>
            <w:gridSpan w:val="3"/>
            <w:shd w:val="clear" w:color="auto" w:fill="auto"/>
          </w:tcPr>
          <w:p w14:paraId="7E784AFC" w14:textId="77777777" w:rsidR="00A82082" w:rsidRDefault="00A82082">
            <w:pPr>
              <w:rPr>
                <w:rFonts w:ascii="宋体"/>
                <w:vanish/>
              </w:rPr>
            </w:pPr>
          </w:p>
        </w:tc>
        <w:tc>
          <w:tcPr>
            <w:tcW w:w="0" w:type="auto"/>
            <w:gridSpan w:val="3"/>
            <w:shd w:val="clear" w:color="auto" w:fill="auto"/>
          </w:tcPr>
          <w:p w14:paraId="7E784AFD" w14:textId="77777777" w:rsidR="00A82082" w:rsidRDefault="00A82082">
            <w:pPr>
              <w:rPr>
                <w:rFonts w:ascii="宋体"/>
                <w:vanish/>
              </w:rPr>
            </w:pPr>
          </w:p>
        </w:tc>
        <w:tc>
          <w:tcPr>
            <w:tcW w:w="0" w:type="auto"/>
            <w:gridSpan w:val="3"/>
            <w:shd w:val="clear" w:color="auto" w:fill="auto"/>
          </w:tcPr>
          <w:p w14:paraId="7E784AFE" w14:textId="77777777" w:rsidR="00A82082" w:rsidRDefault="00A82082">
            <w:pPr>
              <w:rPr>
                <w:rFonts w:ascii="宋体"/>
                <w:vanish/>
              </w:rPr>
            </w:pPr>
          </w:p>
        </w:tc>
        <w:tc>
          <w:tcPr>
            <w:tcW w:w="0" w:type="auto"/>
            <w:gridSpan w:val="3"/>
            <w:shd w:val="clear" w:color="auto" w:fill="auto"/>
          </w:tcPr>
          <w:p w14:paraId="7E784AFF" w14:textId="77777777" w:rsidR="00A82082" w:rsidRDefault="00A82082">
            <w:pPr>
              <w:rPr>
                <w:rFonts w:ascii="宋体"/>
                <w:vanish/>
              </w:rPr>
            </w:pPr>
          </w:p>
        </w:tc>
        <w:tc>
          <w:tcPr>
            <w:tcW w:w="0" w:type="auto"/>
            <w:gridSpan w:val="3"/>
            <w:shd w:val="clear" w:color="auto" w:fill="auto"/>
          </w:tcPr>
          <w:p w14:paraId="7E784B00" w14:textId="77777777" w:rsidR="00A82082" w:rsidRDefault="00A82082">
            <w:pPr>
              <w:rPr>
                <w:rFonts w:ascii="宋体"/>
                <w:vanish/>
              </w:rPr>
            </w:pPr>
          </w:p>
        </w:tc>
        <w:tc>
          <w:tcPr>
            <w:tcW w:w="0" w:type="auto"/>
            <w:gridSpan w:val="3"/>
            <w:shd w:val="clear" w:color="auto" w:fill="auto"/>
          </w:tcPr>
          <w:p w14:paraId="7E784B01" w14:textId="77777777" w:rsidR="00A82082" w:rsidRDefault="00A82082">
            <w:pPr>
              <w:rPr>
                <w:rFonts w:ascii="宋体"/>
                <w:vanish/>
              </w:rPr>
            </w:pPr>
          </w:p>
        </w:tc>
        <w:tc>
          <w:tcPr>
            <w:tcW w:w="0" w:type="auto"/>
            <w:gridSpan w:val="3"/>
            <w:shd w:val="clear" w:color="auto" w:fill="auto"/>
          </w:tcPr>
          <w:p w14:paraId="7E784B02" w14:textId="77777777" w:rsidR="00A82082" w:rsidRDefault="00A82082">
            <w:pPr>
              <w:rPr>
                <w:rFonts w:ascii="宋体"/>
                <w:vanish/>
              </w:rPr>
            </w:pPr>
          </w:p>
        </w:tc>
        <w:tc>
          <w:tcPr>
            <w:tcW w:w="0" w:type="auto"/>
            <w:gridSpan w:val="3"/>
            <w:shd w:val="clear" w:color="auto" w:fill="auto"/>
          </w:tcPr>
          <w:p w14:paraId="7E784B03" w14:textId="77777777" w:rsidR="00A82082" w:rsidRDefault="00A82082">
            <w:pPr>
              <w:rPr>
                <w:rFonts w:ascii="宋体"/>
                <w:vanish/>
              </w:rPr>
            </w:pPr>
          </w:p>
        </w:tc>
        <w:tc>
          <w:tcPr>
            <w:tcW w:w="0" w:type="auto"/>
            <w:gridSpan w:val="3"/>
            <w:shd w:val="clear" w:color="auto" w:fill="auto"/>
          </w:tcPr>
          <w:p w14:paraId="7E784B04" w14:textId="77777777" w:rsidR="00A82082" w:rsidRDefault="00A82082">
            <w:pPr>
              <w:rPr>
                <w:rFonts w:ascii="宋体"/>
                <w:vanish/>
              </w:rPr>
            </w:pPr>
          </w:p>
        </w:tc>
        <w:tc>
          <w:tcPr>
            <w:tcW w:w="0" w:type="auto"/>
            <w:gridSpan w:val="3"/>
            <w:shd w:val="clear" w:color="auto" w:fill="auto"/>
          </w:tcPr>
          <w:p w14:paraId="7E784B05" w14:textId="77777777" w:rsidR="00A82082" w:rsidRDefault="00A82082">
            <w:pPr>
              <w:rPr>
                <w:rFonts w:ascii="宋体"/>
                <w:vanish/>
              </w:rPr>
            </w:pPr>
          </w:p>
        </w:tc>
        <w:tc>
          <w:tcPr>
            <w:tcW w:w="0" w:type="auto"/>
            <w:gridSpan w:val="3"/>
            <w:shd w:val="clear" w:color="auto" w:fill="auto"/>
          </w:tcPr>
          <w:p w14:paraId="7E784B06" w14:textId="77777777" w:rsidR="00A82082" w:rsidRDefault="00A82082">
            <w:pPr>
              <w:rPr>
                <w:rFonts w:ascii="宋体"/>
                <w:vanish/>
              </w:rPr>
            </w:pPr>
          </w:p>
        </w:tc>
        <w:tc>
          <w:tcPr>
            <w:tcW w:w="0" w:type="auto"/>
            <w:gridSpan w:val="3"/>
            <w:shd w:val="clear" w:color="auto" w:fill="auto"/>
          </w:tcPr>
          <w:p w14:paraId="7E784B07" w14:textId="77777777" w:rsidR="00A82082" w:rsidRDefault="00A82082">
            <w:pPr>
              <w:rPr>
                <w:rFonts w:ascii="宋体"/>
                <w:vanish/>
              </w:rPr>
            </w:pPr>
          </w:p>
        </w:tc>
        <w:tc>
          <w:tcPr>
            <w:tcW w:w="0" w:type="auto"/>
            <w:gridSpan w:val="3"/>
            <w:shd w:val="clear" w:color="auto" w:fill="auto"/>
          </w:tcPr>
          <w:p w14:paraId="7E784B08" w14:textId="77777777" w:rsidR="00A82082" w:rsidRDefault="00A82082">
            <w:pPr>
              <w:rPr>
                <w:rFonts w:ascii="宋体"/>
                <w:vanish/>
              </w:rPr>
            </w:pPr>
          </w:p>
        </w:tc>
        <w:tc>
          <w:tcPr>
            <w:tcW w:w="0" w:type="auto"/>
            <w:gridSpan w:val="3"/>
            <w:shd w:val="clear" w:color="auto" w:fill="auto"/>
          </w:tcPr>
          <w:p w14:paraId="7E784B09" w14:textId="77777777" w:rsidR="00A82082" w:rsidRDefault="00A82082">
            <w:pPr>
              <w:rPr>
                <w:rFonts w:ascii="宋体"/>
                <w:vanish/>
              </w:rPr>
            </w:pPr>
          </w:p>
        </w:tc>
        <w:tc>
          <w:tcPr>
            <w:tcW w:w="0" w:type="auto"/>
            <w:shd w:val="clear" w:color="auto" w:fill="auto"/>
          </w:tcPr>
          <w:p w14:paraId="7E784B0A" w14:textId="77777777" w:rsidR="00A82082" w:rsidRDefault="00A82082">
            <w:pPr>
              <w:rPr>
                <w:rFonts w:ascii="宋体"/>
                <w:vanish/>
              </w:rPr>
            </w:pPr>
          </w:p>
        </w:tc>
        <w:tc>
          <w:tcPr>
            <w:tcW w:w="0" w:type="auto"/>
            <w:shd w:val="clear" w:color="auto" w:fill="auto"/>
          </w:tcPr>
          <w:p w14:paraId="7E784B0B" w14:textId="77777777" w:rsidR="00A82082" w:rsidRDefault="00A82082">
            <w:pPr>
              <w:rPr>
                <w:rFonts w:ascii="宋体"/>
                <w:vanish/>
              </w:rPr>
            </w:pPr>
          </w:p>
        </w:tc>
        <w:tc>
          <w:tcPr>
            <w:tcW w:w="0" w:type="auto"/>
            <w:shd w:val="clear" w:color="auto" w:fill="auto"/>
          </w:tcPr>
          <w:p w14:paraId="7E784B0C" w14:textId="77777777" w:rsidR="00A82082" w:rsidRDefault="00A82082">
            <w:pPr>
              <w:rPr>
                <w:rFonts w:ascii="宋体"/>
                <w:vanish/>
              </w:rPr>
            </w:pPr>
          </w:p>
        </w:tc>
      </w:tr>
      <w:tr w:rsidR="00A82082" w14:paraId="7E784B21" w14:textId="77777777">
        <w:trPr>
          <w:jc w:val="center"/>
          <w:hidden/>
        </w:trPr>
        <w:tc>
          <w:tcPr>
            <w:tcW w:w="0" w:type="auto"/>
            <w:gridSpan w:val="3"/>
            <w:shd w:val="clear" w:color="auto" w:fill="auto"/>
          </w:tcPr>
          <w:p w14:paraId="7E784B0E" w14:textId="77777777" w:rsidR="00A82082" w:rsidRDefault="00A82082">
            <w:pPr>
              <w:rPr>
                <w:rFonts w:ascii="宋体"/>
                <w:vanish/>
              </w:rPr>
            </w:pPr>
          </w:p>
        </w:tc>
        <w:tc>
          <w:tcPr>
            <w:tcW w:w="0" w:type="auto"/>
            <w:gridSpan w:val="3"/>
            <w:shd w:val="clear" w:color="auto" w:fill="auto"/>
          </w:tcPr>
          <w:p w14:paraId="7E784B0F" w14:textId="77777777" w:rsidR="00A82082" w:rsidRDefault="00A82082">
            <w:pPr>
              <w:rPr>
                <w:rFonts w:ascii="宋体"/>
                <w:vanish/>
              </w:rPr>
            </w:pPr>
          </w:p>
        </w:tc>
        <w:tc>
          <w:tcPr>
            <w:tcW w:w="0" w:type="auto"/>
            <w:gridSpan w:val="3"/>
            <w:shd w:val="clear" w:color="auto" w:fill="auto"/>
          </w:tcPr>
          <w:p w14:paraId="7E784B10" w14:textId="77777777" w:rsidR="00A82082" w:rsidRDefault="00A82082">
            <w:pPr>
              <w:rPr>
                <w:rFonts w:ascii="宋体"/>
                <w:vanish/>
              </w:rPr>
            </w:pPr>
          </w:p>
        </w:tc>
        <w:tc>
          <w:tcPr>
            <w:tcW w:w="0" w:type="auto"/>
            <w:gridSpan w:val="3"/>
            <w:shd w:val="clear" w:color="auto" w:fill="auto"/>
          </w:tcPr>
          <w:p w14:paraId="7E784B11" w14:textId="77777777" w:rsidR="00A82082" w:rsidRDefault="00A82082">
            <w:pPr>
              <w:rPr>
                <w:rFonts w:ascii="宋体"/>
                <w:vanish/>
              </w:rPr>
            </w:pPr>
          </w:p>
        </w:tc>
        <w:tc>
          <w:tcPr>
            <w:tcW w:w="0" w:type="auto"/>
            <w:gridSpan w:val="3"/>
            <w:shd w:val="clear" w:color="auto" w:fill="auto"/>
          </w:tcPr>
          <w:p w14:paraId="7E784B12" w14:textId="77777777" w:rsidR="00A82082" w:rsidRDefault="00A82082">
            <w:pPr>
              <w:rPr>
                <w:rFonts w:ascii="宋体"/>
                <w:vanish/>
              </w:rPr>
            </w:pPr>
          </w:p>
        </w:tc>
        <w:tc>
          <w:tcPr>
            <w:tcW w:w="0" w:type="auto"/>
            <w:gridSpan w:val="3"/>
            <w:shd w:val="clear" w:color="auto" w:fill="auto"/>
          </w:tcPr>
          <w:p w14:paraId="7E784B13" w14:textId="77777777" w:rsidR="00A82082" w:rsidRDefault="00A82082">
            <w:pPr>
              <w:rPr>
                <w:rFonts w:ascii="宋体"/>
                <w:vanish/>
              </w:rPr>
            </w:pPr>
          </w:p>
        </w:tc>
        <w:tc>
          <w:tcPr>
            <w:tcW w:w="0" w:type="auto"/>
            <w:gridSpan w:val="3"/>
            <w:shd w:val="clear" w:color="auto" w:fill="auto"/>
          </w:tcPr>
          <w:p w14:paraId="7E784B14" w14:textId="77777777" w:rsidR="00A82082" w:rsidRDefault="00A82082">
            <w:pPr>
              <w:rPr>
                <w:rFonts w:ascii="宋体"/>
                <w:vanish/>
              </w:rPr>
            </w:pPr>
          </w:p>
        </w:tc>
        <w:tc>
          <w:tcPr>
            <w:tcW w:w="0" w:type="auto"/>
            <w:gridSpan w:val="3"/>
            <w:shd w:val="clear" w:color="auto" w:fill="auto"/>
          </w:tcPr>
          <w:p w14:paraId="7E784B15" w14:textId="77777777" w:rsidR="00A82082" w:rsidRDefault="00A82082">
            <w:pPr>
              <w:rPr>
                <w:rFonts w:ascii="宋体"/>
                <w:vanish/>
              </w:rPr>
            </w:pPr>
          </w:p>
        </w:tc>
        <w:tc>
          <w:tcPr>
            <w:tcW w:w="0" w:type="auto"/>
            <w:gridSpan w:val="3"/>
            <w:shd w:val="clear" w:color="auto" w:fill="auto"/>
          </w:tcPr>
          <w:p w14:paraId="7E784B16" w14:textId="77777777" w:rsidR="00A82082" w:rsidRDefault="00A82082">
            <w:pPr>
              <w:rPr>
                <w:rFonts w:ascii="宋体"/>
                <w:vanish/>
              </w:rPr>
            </w:pPr>
          </w:p>
        </w:tc>
        <w:tc>
          <w:tcPr>
            <w:tcW w:w="0" w:type="auto"/>
            <w:gridSpan w:val="3"/>
            <w:shd w:val="clear" w:color="auto" w:fill="auto"/>
          </w:tcPr>
          <w:p w14:paraId="7E784B17" w14:textId="77777777" w:rsidR="00A82082" w:rsidRDefault="00A82082">
            <w:pPr>
              <w:rPr>
                <w:rFonts w:ascii="宋体"/>
                <w:vanish/>
              </w:rPr>
            </w:pPr>
          </w:p>
        </w:tc>
        <w:tc>
          <w:tcPr>
            <w:tcW w:w="0" w:type="auto"/>
            <w:gridSpan w:val="3"/>
            <w:shd w:val="clear" w:color="auto" w:fill="auto"/>
          </w:tcPr>
          <w:p w14:paraId="7E784B18" w14:textId="77777777" w:rsidR="00A82082" w:rsidRDefault="00A82082">
            <w:pPr>
              <w:rPr>
                <w:rFonts w:ascii="宋体"/>
                <w:vanish/>
              </w:rPr>
            </w:pPr>
          </w:p>
        </w:tc>
        <w:tc>
          <w:tcPr>
            <w:tcW w:w="0" w:type="auto"/>
            <w:gridSpan w:val="3"/>
            <w:shd w:val="clear" w:color="auto" w:fill="auto"/>
          </w:tcPr>
          <w:p w14:paraId="7E784B19" w14:textId="77777777" w:rsidR="00A82082" w:rsidRDefault="00A82082">
            <w:pPr>
              <w:rPr>
                <w:rFonts w:ascii="宋体"/>
                <w:vanish/>
              </w:rPr>
            </w:pPr>
          </w:p>
        </w:tc>
        <w:tc>
          <w:tcPr>
            <w:tcW w:w="0" w:type="auto"/>
            <w:gridSpan w:val="3"/>
            <w:shd w:val="clear" w:color="auto" w:fill="auto"/>
          </w:tcPr>
          <w:p w14:paraId="7E784B1A" w14:textId="77777777" w:rsidR="00A82082" w:rsidRDefault="00A82082">
            <w:pPr>
              <w:rPr>
                <w:rFonts w:ascii="宋体"/>
                <w:vanish/>
              </w:rPr>
            </w:pPr>
          </w:p>
        </w:tc>
        <w:tc>
          <w:tcPr>
            <w:tcW w:w="0" w:type="auto"/>
            <w:gridSpan w:val="3"/>
            <w:shd w:val="clear" w:color="auto" w:fill="auto"/>
          </w:tcPr>
          <w:p w14:paraId="7E784B1B" w14:textId="77777777" w:rsidR="00A82082" w:rsidRDefault="00A82082">
            <w:pPr>
              <w:rPr>
                <w:rFonts w:ascii="宋体"/>
                <w:vanish/>
              </w:rPr>
            </w:pPr>
          </w:p>
        </w:tc>
        <w:tc>
          <w:tcPr>
            <w:tcW w:w="0" w:type="auto"/>
            <w:gridSpan w:val="3"/>
            <w:shd w:val="clear" w:color="auto" w:fill="auto"/>
          </w:tcPr>
          <w:p w14:paraId="7E784B1C" w14:textId="77777777" w:rsidR="00A82082" w:rsidRDefault="00A82082">
            <w:pPr>
              <w:rPr>
                <w:rFonts w:ascii="宋体"/>
                <w:vanish/>
              </w:rPr>
            </w:pPr>
          </w:p>
        </w:tc>
        <w:tc>
          <w:tcPr>
            <w:tcW w:w="0" w:type="auto"/>
            <w:gridSpan w:val="3"/>
            <w:shd w:val="clear" w:color="auto" w:fill="auto"/>
          </w:tcPr>
          <w:p w14:paraId="7E784B1D" w14:textId="77777777" w:rsidR="00A82082" w:rsidRDefault="00A82082">
            <w:pPr>
              <w:rPr>
                <w:rFonts w:ascii="宋体"/>
                <w:vanish/>
              </w:rPr>
            </w:pPr>
          </w:p>
        </w:tc>
        <w:tc>
          <w:tcPr>
            <w:tcW w:w="0" w:type="auto"/>
            <w:shd w:val="clear" w:color="auto" w:fill="auto"/>
          </w:tcPr>
          <w:p w14:paraId="7E784B1E" w14:textId="77777777" w:rsidR="00A82082" w:rsidRDefault="00A82082">
            <w:pPr>
              <w:rPr>
                <w:rFonts w:ascii="宋体"/>
                <w:vanish/>
              </w:rPr>
            </w:pPr>
          </w:p>
        </w:tc>
        <w:tc>
          <w:tcPr>
            <w:tcW w:w="0" w:type="auto"/>
            <w:shd w:val="clear" w:color="auto" w:fill="auto"/>
          </w:tcPr>
          <w:p w14:paraId="7E784B1F" w14:textId="77777777" w:rsidR="00A82082" w:rsidRDefault="00A82082">
            <w:pPr>
              <w:rPr>
                <w:rFonts w:ascii="宋体"/>
                <w:vanish/>
              </w:rPr>
            </w:pPr>
          </w:p>
        </w:tc>
        <w:tc>
          <w:tcPr>
            <w:tcW w:w="0" w:type="auto"/>
            <w:shd w:val="clear" w:color="auto" w:fill="auto"/>
          </w:tcPr>
          <w:p w14:paraId="7E784B20" w14:textId="77777777" w:rsidR="00A82082" w:rsidRDefault="00A82082">
            <w:pPr>
              <w:rPr>
                <w:rFonts w:ascii="宋体"/>
                <w:vanish/>
              </w:rPr>
            </w:pPr>
          </w:p>
        </w:tc>
      </w:tr>
      <w:tr w:rsidR="00A82082" w14:paraId="7E784B35" w14:textId="77777777">
        <w:trPr>
          <w:jc w:val="center"/>
          <w:hidden/>
        </w:trPr>
        <w:tc>
          <w:tcPr>
            <w:tcW w:w="0" w:type="auto"/>
            <w:gridSpan w:val="3"/>
            <w:shd w:val="clear" w:color="auto" w:fill="auto"/>
          </w:tcPr>
          <w:p w14:paraId="7E784B22" w14:textId="77777777" w:rsidR="00A82082" w:rsidRDefault="00A82082">
            <w:pPr>
              <w:rPr>
                <w:rFonts w:ascii="宋体"/>
                <w:vanish/>
              </w:rPr>
            </w:pPr>
          </w:p>
        </w:tc>
        <w:tc>
          <w:tcPr>
            <w:tcW w:w="0" w:type="auto"/>
            <w:gridSpan w:val="3"/>
            <w:shd w:val="clear" w:color="auto" w:fill="auto"/>
          </w:tcPr>
          <w:p w14:paraId="7E784B23" w14:textId="77777777" w:rsidR="00A82082" w:rsidRDefault="00A82082">
            <w:pPr>
              <w:rPr>
                <w:rFonts w:ascii="宋体"/>
                <w:vanish/>
              </w:rPr>
            </w:pPr>
          </w:p>
        </w:tc>
        <w:tc>
          <w:tcPr>
            <w:tcW w:w="0" w:type="auto"/>
            <w:gridSpan w:val="3"/>
            <w:shd w:val="clear" w:color="auto" w:fill="auto"/>
          </w:tcPr>
          <w:p w14:paraId="7E784B24" w14:textId="77777777" w:rsidR="00A82082" w:rsidRDefault="00A82082">
            <w:pPr>
              <w:rPr>
                <w:rFonts w:ascii="宋体"/>
                <w:vanish/>
              </w:rPr>
            </w:pPr>
          </w:p>
        </w:tc>
        <w:tc>
          <w:tcPr>
            <w:tcW w:w="0" w:type="auto"/>
            <w:gridSpan w:val="3"/>
            <w:shd w:val="clear" w:color="auto" w:fill="auto"/>
          </w:tcPr>
          <w:p w14:paraId="7E784B25" w14:textId="77777777" w:rsidR="00A82082" w:rsidRDefault="00A82082">
            <w:pPr>
              <w:rPr>
                <w:rFonts w:ascii="宋体"/>
                <w:vanish/>
              </w:rPr>
            </w:pPr>
          </w:p>
        </w:tc>
        <w:tc>
          <w:tcPr>
            <w:tcW w:w="0" w:type="auto"/>
            <w:gridSpan w:val="3"/>
            <w:shd w:val="clear" w:color="auto" w:fill="auto"/>
          </w:tcPr>
          <w:p w14:paraId="7E784B26" w14:textId="77777777" w:rsidR="00A82082" w:rsidRDefault="00A82082">
            <w:pPr>
              <w:rPr>
                <w:rFonts w:ascii="宋体"/>
                <w:vanish/>
              </w:rPr>
            </w:pPr>
          </w:p>
        </w:tc>
        <w:tc>
          <w:tcPr>
            <w:tcW w:w="0" w:type="auto"/>
            <w:gridSpan w:val="3"/>
            <w:shd w:val="clear" w:color="auto" w:fill="auto"/>
          </w:tcPr>
          <w:p w14:paraId="7E784B27" w14:textId="77777777" w:rsidR="00A82082" w:rsidRDefault="00A82082">
            <w:pPr>
              <w:rPr>
                <w:rFonts w:ascii="宋体"/>
                <w:vanish/>
              </w:rPr>
            </w:pPr>
          </w:p>
        </w:tc>
        <w:tc>
          <w:tcPr>
            <w:tcW w:w="0" w:type="auto"/>
            <w:gridSpan w:val="3"/>
            <w:shd w:val="clear" w:color="auto" w:fill="auto"/>
          </w:tcPr>
          <w:p w14:paraId="7E784B28" w14:textId="77777777" w:rsidR="00A82082" w:rsidRDefault="00A82082">
            <w:pPr>
              <w:rPr>
                <w:rFonts w:ascii="宋体"/>
                <w:vanish/>
              </w:rPr>
            </w:pPr>
          </w:p>
        </w:tc>
        <w:tc>
          <w:tcPr>
            <w:tcW w:w="0" w:type="auto"/>
            <w:gridSpan w:val="3"/>
            <w:shd w:val="clear" w:color="auto" w:fill="auto"/>
          </w:tcPr>
          <w:p w14:paraId="7E784B29" w14:textId="77777777" w:rsidR="00A82082" w:rsidRDefault="00A82082">
            <w:pPr>
              <w:rPr>
                <w:rFonts w:ascii="宋体"/>
                <w:vanish/>
              </w:rPr>
            </w:pPr>
          </w:p>
        </w:tc>
        <w:tc>
          <w:tcPr>
            <w:tcW w:w="0" w:type="auto"/>
            <w:gridSpan w:val="3"/>
            <w:shd w:val="clear" w:color="auto" w:fill="auto"/>
          </w:tcPr>
          <w:p w14:paraId="7E784B2A" w14:textId="77777777" w:rsidR="00A82082" w:rsidRDefault="00A82082">
            <w:pPr>
              <w:rPr>
                <w:rFonts w:ascii="宋体"/>
                <w:vanish/>
              </w:rPr>
            </w:pPr>
          </w:p>
        </w:tc>
        <w:tc>
          <w:tcPr>
            <w:tcW w:w="0" w:type="auto"/>
            <w:gridSpan w:val="3"/>
            <w:shd w:val="clear" w:color="auto" w:fill="auto"/>
          </w:tcPr>
          <w:p w14:paraId="7E784B2B" w14:textId="77777777" w:rsidR="00A82082" w:rsidRDefault="00A82082">
            <w:pPr>
              <w:rPr>
                <w:rFonts w:ascii="宋体"/>
                <w:vanish/>
              </w:rPr>
            </w:pPr>
          </w:p>
        </w:tc>
        <w:tc>
          <w:tcPr>
            <w:tcW w:w="0" w:type="auto"/>
            <w:gridSpan w:val="3"/>
            <w:shd w:val="clear" w:color="auto" w:fill="auto"/>
          </w:tcPr>
          <w:p w14:paraId="7E784B2C" w14:textId="77777777" w:rsidR="00A82082" w:rsidRDefault="00A82082">
            <w:pPr>
              <w:rPr>
                <w:rFonts w:ascii="宋体"/>
                <w:vanish/>
              </w:rPr>
            </w:pPr>
          </w:p>
        </w:tc>
        <w:tc>
          <w:tcPr>
            <w:tcW w:w="0" w:type="auto"/>
            <w:gridSpan w:val="3"/>
            <w:shd w:val="clear" w:color="auto" w:fill="auto"/>
          </w:tcPr>
          <w:p w14:paraId="7E784B2D" w14:textId="77777777" w:rsidR="00A82082" w:rsidRDefault="00A82082">
            <w:pPr>
              <w:rPr>
                <w:rFonts w:ascii="宋体"/>
                <w:vanish/>
              </w:rPr>
            </w:pPr>
          </w:p>
        </w:tc>
        <w:tc>
          <w:tcPr>
            <w:tcW w:w="0" w:type="auto"/>
            <w:gridSpan w:val="3"/>
            <w:shd w:val="clear" w:color="auto" w:fill="auto"/>
          </w:tcPr>
          <w:p w14:paraId="7E784B2E" w14:textId="77777777" w:rsidR="00A82082" w:rsidRDefault="00A82082">
            <w:pPr>
              <w:rPr>
                <w:rFonts w:ascii="宋体"/>
                <w:vanish/>
              </w:rPr>
            </w:pPr>
          </w:p>
        </w:tc>
        <w:tc>
          <w:tcPr>
            <w:tcW w:w="0" w:type="auto"/>
            <w:gridSpan w:val="3"/>
            <w:shd w:val="clear" w:color="auto" w:fill="auto"/>
          </w:tcPr>
          <w:p w14:paraId="7E784B2F" w14:textId="77777777" w:rsidR="00A82082" w:rsidRDefault="00A82082">
            <w:pPr>
              <w:rPr>
                <w:rFonts w:ascii="宋体"/>
                <w:vanish/>
              </w:rPr>
            </w:pPr>
          </w:p>
        </w:tc>
        <w:tc>
          <w:tcPr>
            <w:tcW w:w="0" w:type="auto"/>
            <w:gridSpan w:val="3"/>
            <w:shd w:val="clear" w:color="auto" w:fill="auto"/>
          </w:tcPr>
          <w:p w14:paraId="7E784B30" w14:textId="77777777" w:rsidR="00A82082" w:rsidRDefault="00A82082">
            <w:pPr>
              <w:rPr>
                <w:rFonts w:ascii="宋体"/>
                <w:vanish/>
              </w:rPr>
            </w:pPr>
          </w:p>
        </w:tc>
        <w:tc>
          <w:tcPr>
            <w:tcW w:w="0" w:type="auto"/>
            <w:gridSpan w:val="3"/>
            <w:shd w:val="clear" w:color="auto" w:fill="auto"/>
          </w:tcPr>
          <w:p w14:paraId="7E784B31" w14:textId="77777777" w:rsidR="00A82082" w:rsidRDefault="00A82082">
            <w:pPr>
              <w:rPr>
                <w:rFonts w:ascii="宋体"/>
                <w:vanish/>
              </w:rPr>
            </w:pPr>
          </w:p>
        </w:tc>
        <w:tc>
          <w:tcPr>
            <w:tcW w:w="0" w:type="auto"/>
            <w:shd w:val="clear" w:color="auto" w:fill="auto"/>
          </w:tcPr>
          <w:p w14:paraId="7E784B32" w14:textId="77777777" w:rsidR="00A82082" w:rsidRDefault="00A82082">
            <w:pPr>
              <w:rPr>
                <w:rFonts w:ascii="宋体"/>
                <w:vanish/>
              </w:rPr>
            </w:pPr>
          </w:p>
        </w:tc>
        <w:tc>
          <w:tcPr>
            <w:tcW w:w="0" w:type="auto"/>
            <w:shd w:val="clear" w:color="auto" w:fill="auto"/>
          </w:tcPr>
          <w:p w14:paraId="7E784B33" w14:textId="77777777" w:rsidR="00A82082" w:rsidRDefault="00A82082">
            <w:pPr>
              <w:rPr>
                <w:rFonts w:ascii="宋体"/>
                <w:vanish/>
              </w:rPr>
            </w:pPr>
          </w:p>
        </w:tc>
        <w:tc>
          <w:tcPr>
            <w:tcW w:w="0" w:type="auto"/>
            <w:shd w:val="clear" w:color="auto" w:fill="auto"/>
          </w:tcPr>
          <w:p w14:paraId="7E784B34" w14:textId="77777777" w:rsidR="00A82082" w:rsidRDefault="00A82082">
            <w:pPr>
              <w:rPr>
                <w:rFonts w:ascii="宋体"/>
                <w:vanish/>
              </w:rPr>
            </w:pPr>
          </w:p>
        </w:tc>
      </w:tr>
      <w:tr w:rsidR="00A82082" w14:paraId="7E784B51" w14:textId="77777777">
        <w:trPr>
          <w:jc w:val="center"/>
        </w:trPr>
        <w:tc>
          <w:tcPr>
            <w:tcW w:w="0" w:type="auto"/>
            <w:gridSpan w:val="3"/>
            <w:shd w:val="clear" w:color="auto" w:fill="CCEEFF"/>
            <w:tcMar>
              <w:top w:w="40" w:type="dxa"/>
              <w:left w:w="20" w:type="dxa"/>
              <w:bottom w:w="40" w:type="dxa"/>
              <w:right w:w="20" w:type="dxa"/>
            </w:tcMar>
            <w:vAlign w:val="center"/>
          </w:tcPr>
          <w:p w14:paraId="7E784B36" w14:textId="77777777" w:rsidR="00A82082" w:rsidRDefault="00E946F9">
            <w:pPr>
              <w:textAlignment w:val="center"/>
            </w:pPr>
            <w:r>
              <w:rPr>
                <w:rFonts w:ascii="Times New Roman" w:eastAsia="宋体" w:hAnsi="Times New Roman"/>
                <w:color w:val="000000"/>
                <w:sz w:val="16"/>
                <w:szCs w:val="16"/>
              </w:rPr>
              <w:t>Dividends</w:t>
            </w:r>
          </w:p>
        </w:tc>
        <w:tc>
          <w:tcPr>
            <w:tcW w:w="0" w:type="auto"/>
            <w:gridSpan w:val="2"/>
            <w:shd w:val="clear" w:color="auto" w:fill="CCEEFF"/>
            <w:tcMar>
              <w:top w:w="40" w:type="dxa"/>
              <w:left w:w="20" w:type="dxa"/>
              <w:bottom w:w="40" w:type="dxa"/>
              <w:right w:w="0" w:type="dxa"/>
            </w:tcMar>
            <w:vAlign w:val="center"/>
          </w:tcPr>
          <w:p w14:paraId="7E784B3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3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3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3A"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3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3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3D"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3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3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40" w14:textId="77777777" w:rsidR="00A82082" w:rsidRDefault="00E946F9">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7E784B4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4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4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4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4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46" w14:textId="77777777" w:rsidR="00A82082" w:rsidRDefault="00E946F9">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7E784B4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4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49"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4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4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4C" w14:textId="77777777" w:rsidR="00A82082" w:rsidRDefault="00E946F9">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7E784B4D" w14:textId="77777777" w:rsidR="00A82082" w:rsidRDefault="00A82082">
            <w:pPr>
              <w:jc w:val="right"/>
              <w:rPr>
                <w:rFonts w:ascii="宋体"/>
              </w:rPr>
            </w:pPr>
          </w:p>
        </w:tc>
        <w:tc>
          <w:tcPr>
            <w:tcW w:w="0" w:type="auto"/>
            <w:shd w:val="clear" w:color="auto" w:fill="auto"/>
          </w:tcPr>
          <w:p w14:paraId="7E784B4E" w14:textId="77777777" w:rsidR="00A82082" w:rsidRDefault="00A82082">
            <w:pPr>
              <w:rPr>
                <w:rFonts w:ascii="宋体"/>
                <w:vanish/>
              </w:rPr>
            </w:pPr>
          </w:p>
        </w:tc>
        <w:tc>
          <w:tcPr>
            <w:tcW w:w="0" w:type="auto"/>
            <w:shd w:val="clear" w:color="auto" w:fill="auto"/>
          </w:tcPr>
          <w:p w14:paraId="7E784B4F" w14:textId="77777777" w:rsidR="00A82082" w:rsidRDefault="00A82082">
            <w:pPr>
              <w:rPr>
                <w:rFonts w:ascii="宋体"/>
                <w:vanish/>
              </w:rPr>
            </w:pPr>
          </w:p>
        </w:tc>
        <w:tc>
          <w:tcPr>
            <w:tcW w:w="0" w:type="auto"/>
            <w:shd w:val="clear" w:color="auto" w:fill="auto"/>
          </w:tcPr>
          <w:p w14:paraId="7E784B50" w14:textId="77777777" w:rsidR="00A82082" w:rsidRDefault="00A82082">
            <w:pPr>
              <w:rPr>
                <w:rFonts w:ascii="宋体"/>
                <w:vanish/>
              </w:rPr>
            </w:pPr>
          </w:p>
        </w:tc>
      </w:tr>
      <w:tr w:rsidR="00A82082" w14:paraId="7E784B6D" w14:textId="77777777">
        <w:trPr>
          <w:jc w:val="center"/>
        </w:trPr>
        <w:tc>
          <w:tcPr>
            <w:tcW w:w="0" w:type="auto"/>
            <w:gridSpan w:val="3"/>
            <w:shd w:val="clear" w:color="auto" w:fill="FFFFFF"/>
            <w:tcMar>
              <w:top w:w="40" w:type="dxa"/>
              <w:left w:w="20" w:type="dxa"/>
              <w:bottom w:w="40" w:type="dxa"/>
              <w:right w:w="20" w:type="dxa"/>
            </w:tcMar>
            <w:vAlign w:val="center"/>
          </w:tcPr>
          <w:p w14:paraId="7E784B52"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7E784B53" w14:textId="77777777" w:rsidR="00A82082" w:rsidRDefault="00E946F9">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7E784B5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5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56"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7E784B5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5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59" w14:textId="77777777" w:rsidR="00A82082" w:rsidRDefault="00E946F9">
            <w:pPr>
              <w:jc w:val="right"/>
              <w:textAlignment w:val="center"/>
            </w:pPr>
            <w:r>
              <w:rPr>
                <w:rFonts w:ascii="Times New Roman" w:eastAsia="宋体" w:hAnsi="Times New Roman"/>
                <w:color w:val="000000"/>
                <w:sz w:val="16"/>
                <w:szCs w:val="16"/>
              </w:rPr>
              <w:t>(39)</w:t>
            </w:r>
          </w:p>
        </w:tc>
        <w:tc>
          <w:tcPr>
            <w:tcW w:w="0" w:type="auto"/>
            <w:shd w:val="clear" w:color="auto" w:fill="FFFFFF"/>
            <w:tcMar>
              <w:top w:w="40" w:type="dxa"/>
              <w:left w:w="0" w:type="dxa"/>
              <w:bottom w:w="40" w:type="dxa"/>
              <w:right w:w="20" w:type="dxa"/>
            </w:tcMar>
            <w:vAlign w:val="center"/>
          </w:tcPr>
          <w:p w14:paraId="7E784B5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5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5C" w14:textId="77777777" w:rsidR="00A82082" w:rsidRDefault="00E946F9">
            <w:pPr>
              <w:jc w:val="right"/>
              <w:textAlignment w:val="center"/>
            </w:pPr>
            <w:r>
              <w:rPr>
                <w:rFonts w:ascii="Times New Roman" w:eastAsia="宋体" w:hAnsi="Times New Roman"/>
                <w:color w:val="000000"/>
                <w:sz w:val="16"/>
                <w:szCs w:val="16"/>
              </w:rPr>
              <w:t>(1,068)</w:t>
            </w:r>
          </w:p>
        </w:tc>
        <w:tc>
          <w:tcPr>
            <w:tcW w:w="0" w:type="auto"/>
            <w:shd w:val="clear" w:color="auto" w:fill="FFFFFF"/>
            <w:tcMar>
              <w:top w:w="40" w:type="dxa"/>
              <w:left w:w="0" w:type="dxa"/>
              <w:bottom w:w="40" w:type="dxa"/>
              <w:right w:w="20" w:type="dxa"/>
            </w:tcMar>
            <w:vAlign w:val="center"/>
          </w:tcPr>
          <w:p w14:paraId="7E784B5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5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5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B6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6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62" w14:textId="77777777" w:rsidR="00A82082" w:rsidRDefault="00E946F9">
            <w:pPr>
              <w:jc w:val="right"/>
              <w:textAlignment w:val="center"/>
            </w:pPr>
            <w:r>
              <w:rPr>
                <w:rFonts w:ascii="Times New Roman" w:eastAsia="宋体" w:hAnsi="Times New Roman"/>
                <w:color w:val="000000"/>
                <w:sz w:val="16"/>
                <w:szCs w:val="16"/>
              </w:rPr>
              <w:t>(1,108)</w:t>
            </w:r>
          </w:p>
        </w:tc>
        <w:tc>
          <w:tcPr>
            <w:tcW w:w="0" w:type="auto"/>
            <w:shd w:val="clear" w:color="auto" w:fill="FFFFFF"/>
            <w:tcMar>
              <w:top w:w="40" w:type="dxa"/>
              <w:left w:w="0" w:type="dxa"/>
              <w:bottom w:w="40" w:type="dxa"/>
              <w:right w:w="20" w:type="dxa"/>
            </w:tcMar>
            <w:vAlign w:val="center"/>
          </w:tcPr>
          <w:p w14:paraId="7E784B6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6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6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B6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6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68" w14:textId="77777777" w:rsidR="00A82082" w:rsidRDefault="00E946F9">
            <w:pPr>
              <w:jc w:val="right"/>
              <w:textAlignment w:val="center"/>
            </w:pPr>
            <w:r>
              <w:rPr>
                <w:rFonts w:ascii="Times New Roman" w:eastAsia="宋体" w:hAnsi="Times New Roman"/>
                <w:color w:val="000000"/>
                <w:sz w:val="16"/>
                <w:szCs w:val="16"/>
              </w:rPr>
              <w:t>(1,108)</w:t>
            </w:r>
          </w:p>
        </w:tc>
        <w:tc>
          <w:tcPr>
            <w:tcW w:w="0" w:type="auto"/>
            <w:shd w:val="clear" w:color="auto" w:fill="FFFFFF"/>
            <w:tcMar>
              <w:top w:w="40" w:type="dxa"/>
              <w:left w:w="0" w:type="dxa"/>
              <w:bottom w:w="40" w:type="dxa"/>
              <w:right w:w="20" w:type="dxa"/>
            </w:tcMar>
            <w:vAlign w:val="center"/>
          </w:tcPr>
          <w:p w14:paraId="7E784B69" w14:textId="77777777" w:rsidR="00A82082" w:rsidRDefault="00A82082">
            <w:pPr>
              <w:jc w:val="right"/>
              <w:rPr>
                <w:rFonts w:ascii="宋体"/>
              </w:rPr>
            </w:pPr>
          </w:p>
        </w:tc>
        <w:tc>
          <w:tcPr>
            <w:tcW w:w="0" w:type="auto"/>
            <w:shd w:val="clear" w:color="auto" w:fill="auto"/>
          </w:tcPr>
          <w:p w14:paraId="7E784B6A" w14:textId="77777777" w:rsidR="00A82082" w:rsidRDefault="00A82082">
            <w:pPr>
              <w:rPr>
                <w:rFonts w:ascii="宋体"/>
                <w:vanish/>
              </w:rPr>
            </w:pPr>
          </w:p>
        </w:tc>
        <w:tc>
          <w:tcPr>
            <w:tcW w:w="0" w:type="auto"/>
            <w:shd w:val="clear" w:color="auto" w:fill="auto"/>
          </w:tcPr>
          <w:p w14:paraId="7E784B6B" w14:textId="77777777" w:rsidR="00A82082" w:rsidRDefault="00A82082">
            <w:pPr>
              <w:rPr>
                <w:rFonts w:ascii="宋体"/>
                <w:vanish/>
              </w:rPr>
            </w:pPr>
          </w:p>
        </w:tc>
        <w:tc>
          <w:tcPr>
            <w:tcW w:w="0" w:type="auto"/>
            <w:shd w:val="clear" w:color="auto" w:fill="auto"/>
          </w:tcPr>
          <w:p w14:paraId="7E784B6C" w14:textId="77777777" w:rsidR="00A82082" w:rsidRDefault="00A82082">
            <w:pPr>
              <w:rPr>
                <w:rFonts w:ascii="宋体"/>
                <w:vanish/>
              </w:rPr>
            </w:pPr>
          </w:p>
        </w:tc>
      </w:tr>
      <w:tr w:rsidR="00A82082" w14:paraId="7E784B89" w14:textId="77777777">
        <w:trPr>
          <w:jc w:val="center"/>
        </w:trPr>
        <w:tc>
          <w:tcPr>
            <w:tcW w:w="0" w:type="auto"/>
            <w:gridSpan w:val="3"/>
            <w:shd w:val="clear" w:color="auto" w:fill="CCEEFF"/>
            <w:tcMar>
              <w:top w:w="40" w:type="dxa"/>
              <w:left w:w="20" w:type="dxa"/>
              <w:bottom w:w="40" w:type="dxa"/>
              <w:right w:w="20" w:type="dxa"/>
            </w:tcMar>
            <w:vAlign w:val="center"/>
          </w:tcPr>
          <w:p w14:paraId="7E784B6E" w14:textId="77777777" w:rsidR="00A82082" w:rsidRDefault="00E946F9">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7E784B6F"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7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72"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7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7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7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7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7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7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7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7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B7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8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81" w14:textId="77777777" w:rsidR="00A82082" w:rsidRDefault="00E946F9">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7E784B8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8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B84" w14:textId="77777777" w:rsidR="00A82082" w:rsidRDefault="00E946F9">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7E784B85" w14:textId="77777777" w:rsidR="00A82082" w:rsidRDefault="00A82082">
            <w:pPr>
              <w:jc w:val="right"/>
              <w:rPr>
                <w:rFonts w:ascii="宋体"/>
              </w:rPr>
            </w:pPr>
          </w:p>
        </w:tc>
        <w:tc>
          <w:tcPr>
            <w:tcW w:w="0" w:type="auto"/>
            <w:shd w:val="clear" w:color="auto" w:fill="auto"/>
          </w:tcPr>
          <w:p w14:paraId="7E784B86" w14:textId="77777777" w:rsidR="00A82082" w:rsidRDefault="00A82082">
            <w:pPr>
              <w:rPr>
                <w:rFonts w:ascii="宋体"/>
                <w:vanish/>
              </w:rPr>
            </w:pPr>
          </w:p>
        </w:tc>
        <w:tc>
          <w:tcPr>
            <w:tcW w:w="0" w:type="auto"/>
            <w:shd w:val="clear" w:color="auto" w:fill="auto"/>
          </w:tcPr>
          <w:p w14:paraId="7E784B87" w14:textId="77777777" w:rsidR="00A82082" w:rsidRDefault="00A82082">
            <w:pPr>
              <w:rPr>
                <w:rFonts w:ascii="宋体"/>
                <w:vanish/>
              </w:rPr>
            </w:pPr>
          </w:p>
        </w:tc>
        <w:tc>
          <w:tcPr>
            <w:tcW w:w="0" w:type="auto"/>
            <w:shd w:val="clear" w:color="auto" w:fill="auto"/>
          </w:tcPr>
          <w:p w14:paraId="7E784B88" w14:textId="77777777" w:rsidR="00A82082" w:rsidRDefault="00A82082">
            <w:pPr>
              <w:rPr>
                <w:rFonts w:ascii="宋体"/>
                <w:vanish/>
              </w:rPr>
            </w:pPr>
          </w:p>
        </w:tc>
      </w:tr>
      <w:tr w:rsidR="00A82082" w14:paraId="7E784BA5" w14:textId="77777777">
        <w:trPr>
          <w:jc w:val="center"/>
        </w:trPr>
        <w:tc>
          <w:tcPr>
            <w:tcW w:w="0" w:type="auto"/>
            <w:gridSpan w:val="3"/>
            <w:shd w:val="clear" w:color="auto" w:fill="FFFFFF"/>
            <w:tcMar>
              <w:top w:w="40" w:type="dxa"/>
              <w:left w:w="20" w:type="dxa"/>
              <w:bottom w:w="40" w:type="dxa"/>
              <w:right w:w="20" w:type="dxa"/>
            </w:tcMar>
            <w:vAlign w:val="center"/>
          </w:tcPr>
          <w:p w14:paraId="7E784B8A" w14:textId="77777777" w:rsidR="00A82082" w:rsidRDefault="00E946F9">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7E784B8B" w14:textId="77777777" w:rsidR="00A82082" w:rsidRDefault="00E946F9">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7E784B8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8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8E"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B8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91" w14:textId="77777777" w:rsidR="00A82082" w:rsidRDefault="00E946F9">
            <w:pPr>
              <w:jc w:val="right"/>
              <w:textAlignment w:val="center"/>
            </w:pPr>
            <w:r>
              <w:rPr>
                <w:rFonts w:ascii="Times New Roman" w:eastAsia="宋体" w:hAnsi="Times New Roman"/>
                <w:color w:val="000000"/>
                <w:sz w:val="16"/>
                <w:szCs w:val="16"/>
              </w:rPr>
              <w:t>250 </w:t>
            </w:r>
          </w:p>
        </w:tc>
        <w:tc>
          <w:tcPr>
            <w:tcW w:w="0" w:type="auto"/>
            <w:shd w:val="clear" w:color="auto" w:fill="FFFFFF"/>
            <w:tcMar>
              <w:top w:w="40" w:type="dxa"/>
              <w:left w:w="0" w:type="dxa"/>
              <w:bottom w:w="40" w:type="dxa"/>
              <w:right w:w="20" w:type="dxa"/>
            </w:tcMar>
            <w:vAlign w:val="center"/>
          </w:tcPr>
          <w:p w14:paraId="7E784B9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94"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7E784B9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97"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B9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9A" w14:textId="77777777" w:rsidR="00A82082" w:rsidRDefault="00E946F9">
            <w:pPr>
              <w:jc w:val="right"/>
              <w:textAlignment w:val="center"/>
            </w:pPr>
            <w:r>
              <w:rPr>
                <w:rFonts w:ascii="Times New Roman" w:eastAsia="宋体" w:hAnsi="Times New Roman"/>
                <w:color w:val="000000"/>
                <w:sz w:val="16"/>
                <w:szCs w:val="16"/>
              </w:rPr>
              <w:t>249 </w:t>
            </w:r>
          </w:p>
        </w:tc>
        <w:tc>
          <w:tcPr>
            <w:tcW w:w="0" w:type="auto"/>
            <w:shd w:val="clear" w:color="auto" w:fill="FFFFFF"/>
            <w:tcMar>
              <w:top w:w="40" w:type="dxa"/>
              <w:left w:w="0" w:type="dxa"/>
              <w:bottom w:w="40" w:type="dxa"/>
              <w:right w:w="20" w:type="dxa"/>
            </w:tcMar>
            <w:vAlign w:val="center"/>
          </w:tcPr>
          <w:p w14:paraId="7E784B9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9D" w14:textId="77777777" w:rsidR="00A82082" w:rsidRDefault="00E946F9">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7E784B9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B9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BA0" w14:textId="77777777" w:rsidR="00A82082" w:rsidRDefault="00E946F9">
            <w:pPr>
              <w:jc w:val="right"/>
              <w:textAlignment w:val="center"/>
            </w:pPr>
            <w:r>
              <w:rPr>
                <w:rFonts w:ascii="Times New Roman" w:eastAsia="宋体" w:hAnsi="Times New Roman"/>
                <w:color w:val="000000"/>
                <w:sz w:val="16"/>
                <w:szCs w:val="16"/>
              </w:rPr>
              <w:t>260 </w:t>
            </w:r>
          </w:p>
        </w:tc>
        <w:tc>
          <w:tcPr>
            <w:tcW w:w="0" w:type="auto"/>
            <w:shd w:val="clear" w:color="auto" w:fill="FFFFFF"/>
            <w:tcMar>
              <w:top w:w="40" w:type="dxa"/>
              <w:left w:w="0" w:type="dxa"/>
              <w:bottom w:w="40" w:type="dxa"/>
              <w:right w:w="20" w:type="dxa"/>
            </w:tcMar>
            <w:vAlign w:val="center"/>
          </w:tcPr>
          <w:p w14:paraId="7E784BA1" w14:textId="77777777" w:rsidR="00A82082" w:rsidRDefault="00A82082">
            <w:pPr>
              <w:jc w:val="right"/>
              <w:rPr>
                <w:rFonts w:ascii="宋体"/>
              </w:rPr>
            </w:pPr>
          </w:p>
        </w:tc>
        <w:tc>
          <w:tcPr>
            <w:tcW w:w="0" w:type="auto"/>
            <w:shd w:val="clear" w:color="auto" w:fill="auto"/>
          </w:tcPr>
          <w:p w14:paraId="7E784BA2" w14:textId="77777777" w:rsidR="00A82082" w:rsidRDefault="00A82082">
            <w:pPr>
              <w:rPr>
                <w:rFonts w:ascii="宋体"/>
                <w:vanish/>
              </w:rPr>
            </w:pPr>
          </w:p>
        </w:tc>
        <w:tc>
          <w:tcPr>
            <w:tcW w:w="0" w:type="auto"/>
            <w:shd w:val="clear" w:color="auto" w:fill="auto"/>
          </w:tcPr>
          <w:p w14:paraId="7E784BA3" w14:textId="77777777" w:rsidR="00A82082" w:rsidRDefault="00A82082">
            <w:pPr>
              <w:rPr>
                <w:rFonts w:ascii="宋体"/>
                <w:vanish/>
              </w:rPr>
            </w:pPr>
          </w:p>
        </w:tc>
        <w:tc>
          <w:tcPr>
            <w:tcW w:w="0" w:type="auto"/>
            <w:shd w:val="clear" w:color="auto" w:fill="auto"/>
          </w:tcPr>
          <w:p w14:paraId="7E784BA4" w14:textId="77777777" w:rsidR="00A82082" w:rsidRDefault="00A82082">
            <w:pPr>
              <w:rPr>
                <w:rFonts w:ascii="宋体"/>
                <w:vanish/>
              </w:rPr>
            </w:pPr>
          </w:p>
        </w:tc>
      </w:tr>
      <w:tr w:rsidR="00E946F9" w14:paraId="7E784BC8" w14:textId="77777777">
        <w:trPr>
          <w:jc w:val="center"/>
        </w:trPr>
        <w:tc>
          <w:tcPr>
            <w:tcW w:w="0" w:type="auto"/>
            <w:gridSpan w:val="3"/>
            <w:shd w:val="clear" w:color="auto" w:fill="CCEEFF"/>
            <w:tcMar>
              <w:top w:w="40" w:type="dxa"/>
              <w:left w:w="20" w:type="dxa"/>
              <w:bottom w:w="40" w:type="dxa"/>
              <w:right w:w="20" w:type="dxa"/>
            </w:tcMar>
            <w:vAlign w:val="center"/>
          </w:tcPr>
          <w:p w14:paraId="7E784BA6" w14:textId="77777777" w:rsidR="00A82082" w:rsidRDefault="00E946F9">
            <w:pPr>
              <w:textAlignment w:val="center"/>
            </w:pPr>
            <w:r>
              <w:rPr>
                <w:rFonts w:ascii="Times New Roman" w:eastAsia="宋体" w:hAnsi="Times New Roman"/>
                <w:b/>
                <w:bCs/>
                <w:color w:val="000000"/>
                <w:sz w:val="16"/>
                <w:szCs w:val="16"/>
              </w:rPr>
              <w:t>Balances as of October 31, 2019</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A7" w14:textId="77777777" w:rsidR="00A82082" w:rsidRDefault="00E946F9">
            <w:pPr>
              <w:jc w:val="right"/>
              <w:textAlignment w:val="center"/>
            </w:pPr>
            <w:r>
              <w:rPr>
                <w:rFonts w:ascii="Times New Roman" w:eastAsia="宋体" w:hAnsi="Times New Roman"/>
                <w:color w:val="000000"/>
                <w:sz w:val="16"/>
                <w:szCs w:val="16"/>
              </w:rPr>
              <w:t>2,839 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A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A9"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A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AB" w14:textId="77777777" w:rsidR="00A82082" w:rsidRDefault="00E946F9">
            <w:pPr>
              <w:jc w:val="right"/>
              <w:textAlignment w:val="center"/>
            </w:pPr>
            <w:r>
              <w:rPr>
                <w:rFonts w:ascii="Times New Roman" w:eastAsia="宋体" w:hAnsi="Times New Roman"/>
                <w:color w:val="000000"/>
                <w:sz w:val="16"/>
                <w:szCs w:val="16"/>
              </w:rPr>
              <w:t>284 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A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AD"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A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AF" w14:textId="77777777" w:rsidR="00A82082" w:rsidRDefault="00E946F9">
            <w:pPr>
              <w:jc w:val="right"/>
              <w:textAlignment w:val="center"/>
            </w:pPr>
            <w:r>
              <w:rPr>
                <w:rFonts w:ascii="Times New Roman" w:eastAsia="宋体" w:hAnsi="Times New Roman"/>
                <w:color w:val="000000"/>
                <w:sz w:val="16"/>
                <w:szCs w:val="16"/>
              </w:rPr>
              <w:t>3,091 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B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B1"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B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B3" w14:textId="77777777" w:rsidR="00A82082" w:rsidRDefault="00E946F9">
            <w:pPr>
              <w:jc w:val="right"/>
              <w:textAlignment w:val="center"/>
            </w:pPr>
            <w:r>
              <w:rPr>
                <w:rFonts w:ascii="Times New Roman" w:eastAsia="宋体" w:hAnsi="Times New Roman"/>
                <w:color w:val="000000"/>
                <w:sz w:val="16"/>
                <w:szCs w:val="16"/>
              </w:rPr>
              <w:t>80,656 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B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B5"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B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B7" w14:textId="77777777" w:rsidR="00A82082" w:rsidRDefault="00E946F9">
            <w:pPr>
              <w:jc w:val="right"/>
              <w:textAlignment w:val="center"/>
            </w:pPr>
            <w:r>
              <w:rPr>
                <w:rFonts w:ascii="Times New Roman" w:eastAsia="宋体" w:hAnsi="Times New Roman"/>
                <w:color w:val="000000"/>
                <w:sz w:val="16"/>
                <w:szCs w:val="16"/>
              </w:rPr>
              <w:t>(12,382)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B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B9"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B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BB" w14:textId="77777777" w:rsidR="00A82082" w:rsidRDefault="00E946F9">
            <w:pPr>
              <w:jc w:val="right"/>
              <w:textAlignment w:val="center"/>
            </w:pPr>
            <w:r>
              <w:rPr>
                <w:rFonts w:ascii="Times New Roman" w:eastAsia="宋体" w:hAnsi="Times New Roman"/>
                <w:color w:val="000000"/>
                <w:sz w:val="16"/>
                <w:szCs w:val="16"/>
              </w:rPr>
              <w:t>71,649 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B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BD"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B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BF" w14:textId="77777777" w:rsidR="00A82082" w:rsidRDefault="00E946F9">
            <w:pPr>
              <w:jc w:val="right"/>
              <w:textAlignment w:val="center"/>
            </w:pPr>
            <w:r>
              <w:rPr>
                <w:rFonts w:ascii="Times New Roman" w:eastAsia="宋体" w:hAnsi="Times New Roman"/>
                <w:color w:val="000000"/>
                <w:sz w:val="16"/>
                <w:szCs w:val="16"/>
              </w:rPr>
              <w:t>6,658 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C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BC1"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4BC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4BC3" w14:textId="77777777" w:rsidR="00A82082" w:rsidRDefault="00E946F9">
            <w:pPr>
              <w:jc w:val="right"/>
              <w:textAlignment w:val="center"/>
            </w:pPr>
            <w:r>
              <w:rPr>
                <w:rFonts w:ascii="Times New Roman" w:eastAsia="宋体" w:hAnsi="Times New Roman"/>
                <w:color w:val="000000"/>
                <w:sz w:val="16"/>
                <w:szCs w:val="16"/>
              </w:rPr>
              <w:t>78,307 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4BC4" w14:textId="77777777" w:rsidR="00A82082" w:rsidRDefault="00A82082">
            <w:pPr>
              <w:jc w:val="right"/>
              <w:rPr>
                <w:rFonts w:ascii="宋体"/>
              </w:rPr>
            </w:pPr>
          </w:p>
        </w:tc>
        <w:tc>
          <w:tcPr>
            <w:tcW w:w="0" w:type="auto"/>
            <w:shd w:val="clear" w:color="auto" w:fill="auto"/>
          </w:tcPr>
          <w:p w14:paraId="7E784BC5" w14:textId="77777777" w:rsidR="00A82082" w:rsidRDefault="00A82082">
            <w:pPr>
              <w:rPr>
                <w:rFonts w:ascii="宋体"/>
                <w:vanish/>
              </w:rPr>
            </w:pPr>
          </w:p>
        </w:tc>
        <w:tc>
          <w:tcPr>
            <w:tcW w:w="0" w:type="auto"/>
            <w:shd w:val="clear" w:color="auto" w:fill="auto"/>
          </w:tcPr>
          <w:p w14:paraId="7E784BC6" w14:textId="77777777" w:rsidR="00A82082" w:rsidRDefault="00A82082">
            <w:pPr>
              <w:rPr>
                <w:rFonts w:ascii="宋体"/>
                <w:vanish/>
              </w:rPr>
            </w:pPr>
          </w:p>
        </w:tc>
        <w:tc>
          <w:tcPr>
            <w:tcW w:w="0" w:type="auto"/>
            <w:shd w:val="clear" w:color="auto" w:fill="auto"/>
          </w:tcPr>
          <w:p w14:paraId="7E784BC7" w14:textId="77777777" w:rsidR="00A82082" w:rsidRDefault="00A82082">
            <w:pPr>
              <w:rPr>
                <w:rFonts w:ascii="宋体"/>
                <w:vanish/>
              </w:rPr>
            </w:pPr>
          </w:p>
        </w:tc>
      </w:tr>
      <w:tr w:rsidR="00A82082" w14:paraId="7E784BDC" w14:textId="77777777">
        <w:trPr>
          <w:jc w:val="center"/>
          <w:hidden/>
        </w:trPr>
        <w:tc>
          <w:tcPr>
            <w:tcW w:w="0" w:type="auto"/>
            <w:gridSpan w:val="3"/>
            <w:shd w:val="clear" w:color="auto" w:fill="auto"/>
          </w:tcPr>
          <w:p w14:paraId="7E784BC9" w14:textId="77777777" w:rsidR="00A82082" w:rsidRDefault="00A82082">
            <w:pPr>
              <w:rPr>
                <w:rFonts w:ascii="宋体"/>
                <w:vanish/>
              </w:rPr>
            </w:pPr>
          </w:p>
        </w:tc>
        <w:tc>
          <w:tcPr>
            <w:tcW w:w="0" w:type="auto"/>
            <w:gridSpan w:val="3"/>
            <w:shd w:val="clear" w:color="auto" w:fill="auto"/>
          </w:tcPr>
          <w:p w14:paraId="7E784BCA" w14:textId="77777777" w:rsidR="00A82082" w:rsidRDefault="00A82082">
            <w:pPr>
              <w:rPr>
                <w:rFonts w:ascii="宋体"/>
                <w:vanish/>
              </w:rPr>
            </w:pPr>
          </w:p>
        </w:tc>
        <w:tc>
          <w:tcPr>
            <w:tcW w:w="0" w:type="auto"/>
            <w:gridSpan w:val="3"/>
            <w:shd w:val="clear" w:color="auto" w:fill="auto"/>
          </w:tcPr>
          <w:p w14:paraId="7E784BCB" w14:textId="77777777" w:rsidR="00A82082" w:rsidRDefault="00A82082">
            <w:pPr>
              <w:rPr>
                <w:rFonts w:ascii="宋体"/>
                <w:vanish/>
              </w:rPr>
            </w:pPr>
          </w:p>
        </w:tc>
        <w:tc>
          <w:tcPr>
            <w:tcW w:w="0" w:type="auto"/>
            <w:gridSpan w:val="3"/>
            <w:shd w:val="clear" w:color="auto" w:fill="auto"/>
          </w:tcPr>
          <w:p w14:paraId="7E784BCC" w14:textId="77777777" w:rsidR="00A82082" w:rsidRDefault="00A82082">
            <w:pPr>
              <w:rPr>
                <w:rFonts w:ascii="宋体"/>
                <w:vanish/>
              </w:rPr>
            </w:pPr>
          </w:p>
        </w:tc>
        <w:tc>
          <w:tcPr>
            <w:tcW w:w="0" w:type="auto"/>
            <w:gridSpan w:val="3"/>
            <w:shd w:val="clear" w:color="auto" w:fill="auto"/>
          </w:tcPr>
          <w:p w14:paraId="7E784BCD" w14:textId="77777777" w:rsidR="00A82082" w:rsidRDefault="00A82082">
            <w:pPr>
              <w:rPr>
                <w:rFonts w:ascii="宋体"/>
                <w:vanish/>
              </w:rPr>
            </w:pPr>
          </w:p>
        </w:tc>
        <w:tc>
          <w:tcPr>
            <w:tcW w:w="0" w:type="auto"/>
            <w:gridSpan w:val="3"/>
            <w:shd w:val="clear" w:color="auto" w:fill="auto"/>
          </w:tcPr>
          <w:p w14:paraId="7E784BCE" w14:textId="77777777" w:rsidR="00A82082" w:rsidRDefault="00A82082">
            <w:pPr>
              <w:rPr>
                <w:rFonts w:ascii="宋体"/>
                <w:vanish/>
              </w:rPr>
            </w:pPr>
          </w:p>
        </w:tc>
        <w:tc>
          <w:tcPr>
            <w:tcW w:w="0" w:type="auto"/>
            <w:gridSpan w:val="3"/>
            <w:shd w:val="clear" w:color="auto" w:fill="auto"/>
          </w:tcPr>
          <w:p w14:paraId="7E784BCF" w14:textId="77777777" w:rsidR="00A82082" w:rsidRDefault="00A82082">
            <w:pPr>
              <w:rPr>
                <w:rFonts w:ascii="宋体"/>
                <w:vanish/>
              </w:rPr>
            </w:pPr>
          </w:p>
        </w:tc>
        <w:tc>
          <w:tcPr>
            <w:tcW w:w="0" w:type="auto"/>
            <w:gridSpan w:val="3"/>
            <w:shd w:val="clear" w:color="auto" w:fill="auto"/>
          </w:tcPr>
          <w:p w14:paraId="7E784BD0" w14:textId="77777777" w:rsidR="00A82082" w:rsidRDefault="00A82082">
            <w:pPr>
              <w:rPr>
                <w:rFonts w:ascii="宋体"/>
                <w:vanish/>
              </w:rPr>
            </w:pPr>
          </w:p>
        </w:tc>
        <w:tc>
          <w:tcPr>
            <w:tcW w:w="0" w:type="auto"/>
            <w:gridSpan w:val="3"/>
            <w:shd w:val="clear" w:color="auto" w:fill="auto"/>
          </w:tcPr>
          <w:p w14:paraId="7E784BD1" w14:textId="77777777" w:rsidR="00A82082" w:rsidRDefault="00A82082">
            <w:pPr>
              <w:rPr>
                <w:rFonts w:ascii="宋体"/>
                <w:vanish/>
              </w:rPr>
            </w:pPr>
          </w:p>
        </w:tc>
        <w:tc>
          <w:tcPr>
            <w:tcW w:w="0" w:type="auto"/>
            <w:gridSpan w:val="3"/>
            <w:shd w:val="clear" w:color="auto" w:fill="auto"/>
          </w:tcPr>
          <w:p w14:paraId="7E784BD2" w14:textId="77777777" w:rsidR="00A82082" w:rsidRDefault="00A82082">
            <w:pPr>
              <w:rPr>
                <w:rFonts w:ascii="宋体"/>
                <w:vanish/>
              </w:rPr>
            </w:pPr>
          </w:p>
        </w:tc>
        <w:tc>
          <w:tcPr>
            <w:tcW w:w="0" w:type="auto"/>
            <w:gridSpan w:val="3"/>
            <w:shd w:val="clear" w:color="auto" w:fill="auto"/>
          </w:tcPr>
          <w:p w14:paraId="7E784BD3" w14:textId="77777777" w:rsidR="00A82082" w:rsidRDefault="00A82082">
            <w:pPr>
              <w:rPr>
                <w:rFonts w:ascii="宋体"/>
                <w:vanish/>
              </w:rPr>
            </w:pPr>
          </w:p>
        </w:tc>
        <w:tc>
          <w:tcPr>
            <w:tcW w:w="0" w:type="auto"/>
            <w:gridSpan w:val="3"/>
            <w:shd w:val="clear" w:color="auto" w:fill="auto"/>
          </w:tcPr>
          <w:p w14:paraId="7E784BD4" w14:textId="77777777" w:rsidR="00A82082" w:rsidRDefault="00A82082">
            <w:pPr>
              <w:rPr>
                <w:rFonts w:ascii="宋体"/>
                <w:vanish/>
              </w:rPr>
            </w:pPr>
          </w:p>
        </w:tc>
        <w:tc>
          <w:tcPr>
            <w:tcW w:w="0" w:type="auto"/>
            <w:gridSpan w:val="3"/>
            <w:shd w:val="clear" w:color="auto" w:fill="auto"/>
          </w:tcPr>
          <w:p w14:paraId="7E784BD5" w14:textId="77777777" w:rsidR="00A82082" w:rsidRDefault="00A82082">
            <w:pPr>
              <w:rPr>
                <w:rFonts w:ascii="宋体"/>
                <w:vanish/>
              </w:rPr>
            </w:pPr>
          </w:p>
        </w:tc>
        <w:tc>
          <w:tcPr>
            <w:tcW w:w="0" w:type="auto"/>
            <w:gridSpan w:val="3"/>
            <w:shd w:val="clear" w:color="auto" w:fill="auto"/>
          </w:tcPr>
          <w:p w14:paraId="7E784BD6" w14:textId="77777777" w:rsidR="00A82082" w:rsidRDefault="00A82082">
            <w:pPr>
              <w:rPr>
                <w:rFonts w:ascii="宋体"/>
                <w:vanish/>
              </w:rPr>
            </w:pPr>
          </w:p>
        </w:tc>
        <w:tc>
          <w:tcPr>
            <w:tcW w:w="0" w:type="auto"/>
            <w:gridSpan w:val="3"/>
            <w:shd w:val="clear" w:color="auto" w:fill="auto"/>
          </w:tcPr>
          <w:p w14:paraId="7E784BD7" w14:textId="77777777" w:rsidR="00A82082" w:rsidRDefault="00A82082">
            <w:pPr>
              <w:rPr>
                <w:rFonts w:ascii="宋体"/>
                <w:vanish/>
              </w:rPr>
            </w:pPr>
          </w:p>
        </w:tc>
        <w:tc>
          <w:tcPr>
            <w:tcW w:w="0" w:type="auto"/>
            <w:gridSpan w:val="3"/>
            <w:shd w:val="clear" w:color="auto" w:fill="auto"/>
          </w:tcPr>
          <w:p w14:paraId="7E784BD8" w14:textId="77777777" w:rsidR="00A82082" w:rsidRDefault="00A82082">
            <w:pPr>
              <w:rPr>
                <w:rFonts w:ascii="宋体"/>
                <w:vanish/>
              </w:rPr>
            </w:pPr>
          </w:p>
        </w:tc>
        <w:tc>
          <w:tcPr>
            <w:tcW w:w="0" w:type="auto"/>
            <w:shd w:val="clear" w:color="auto" w:fill="auto"/>
          </w:tcPr>
          <w:p w14:paraId="7E784BD9" w14:textId="77777777" w:rsidR="00A82082" w:rsidRDefault="00A82082">
            <w:pPr>
              <w:rPr>
                <w:rFonts w:ascii="宋体"/>
                <w:vanish/>
              </w:rPr>
            </w:pPr>
          </w:p>
        </w:tc>
        <w:tc>
          <w:tcPr>
            <w:tcW w:w="0" w:type="auto"/>
            <w:shd w:val="clear" w:color="auto" w:fill="auto"/>
          </w:tcPr>
          <w:p w14:paraId="7E784BDA" w14:textId="77777777" w:rsidR="00A82082" w:rsidRDefault="00A82082">
            <w:pPr>
              <w:rPr>
                <w:rFonts w:ascii="宋体"/>
                <w:vanish/>
              </w:rPr>
            </w:pPr>
          </w:p>
        </w:tc>
        <w:tc>
          <w:tcPr>
            <w:tcW w:w="0" w:type="auto"/>
            <w:shd w:val="clear" w:color="auto" w:fill="auto"/>
          </w:tcPr>
          <w:p w14:paraId="7E784BDB" w14:textId="77777777" w:rsidR="00A82082" w:rsidRDefault="00A82082">
            <w:pPr>
              <w:rPr>
                <w:rFonts w:ascii="宋体"/>
                <w:vanish/>
              </w:rPr>
            </w:pPr>
          </w:p>
        </w:tc>
      </w:tr>
      <w:tr w:rsidR="00A82082" w14:paraId="7E784BF0" w14:textId="77777777">
        <w:trPr>
          <w:jc w:val="center"/>
          <w:hidden/>
        </w:trPr>
        <w:tc>
          <w:tcPr>
            <w:tcW w:w="0" w:type="auto"/>
            <w:gridSpan w:val="3"/>
            <w:shd w:val="clear" w:color="auto" w:fill="auto"/>
          </w:tcPr>
          <w:p w14:paraId="7E784BDD" w14:textId="77777777" w:rsidR="00A82082" w:rsidRDefault="00A82082">
            <w:pPr>
              <w:rPr>
                <w:rFonts w:ascii="宋体"/>
                <w:vanish/>
              </w:rPr>
            </w:pPr>
          </w:p>
        </w:tc>
        <w:tc>
          <w:tcPr>
            <w:tcW w:w="0" w:type="auto"/>
            <w:gridSpan w:val="3"/>
            <w:shd w:val="clear" w:color="auto" w:fill="auto"/>
          </w:tcPr>
          <w:p w14:paraId="7E784BDE" w14:textId="77777777" w:rsidR="00A82082" w:rsidRDefault="00A82082">
            <w:pPr>
              <w:rPr>
                <w:rFonts w:ascii="宋体"/>
                <w:vanish/>
              </w:rPr>
            </w:pPr>
          </w:p>
        </w:tc>
        <w:tc>
          <w:tcPr>
            <w:tcW w:w="0" w:type="auto"/>
            <w:gridSpan w:val="3"/>
            <w:shd w:val="clear" w:color="auto" w:fill="auto"/>
          </w:tcPr>
          <w:p w14:paraId="7E784BDF" w14:textId="77777777" w:rsidR="00A82082" w:rsidRDefault="00A82082">
            <w:pPr>
              <w:rPr>
                <w:rFonts w:ascii="宋体"/>
                <w:vanish/>
              </w:rPr>
            </w:pPr>
          </w:p>
        </w:tc>
        <w:tc>
          <w:tcPr>
            <w:tcW w:w="0" w:type="auto"/>
            <w:gridSpan w:val="3"/>
            <w:shd w:val="clear" w:color="auto" w:fill="auto"/>
          </w:tcPr>
          <w:p w14:paraId="7E784BE0" w14:textId="77777777" w:rsidR="00A82082" w:rsidRDefault="00A82082">
            <w:pPr>
              <w:rPr>
                <w:rFonts w:ascii="宋体"/>
                <w:vanish/>
              </w:rPr>
            </w:pPr>
          </w:p>
        </w:tc>
        <w:tc>
          <w:tcPr>
            <w:tcW w:w="0" w:type="auto"/>
            <w:gridSpan w:val="3"/>
            <w:shd w:val="clear" w:color="auto" w:fill="auto"/>
          </w:tcPr>
          <w:p w14:paraId="7E784BE1" w14:textId="77777777" w:rsidR="00A82082" w:rsidRDefault="00A82082">
            <w:pPr>
              <w:rPr>
                <w:rFonts w:ascii="宋体"/>
                <w:vanish/>
              </w:rPr>
            </w:pPr>
          </w:p>
        </w:tc>
        <w:tc>
          <w:tcPr>
            <w:tcW w:w="0" w:type="auto"/>
            <w:gridSpan w:val="3"/>
            <w:shd w:val="clear" w:color="auto" w:fill="auto"/>
          </w:tcPr>
          <w:p w14:paraId="7E784BE2" w14:textId="77777777" w:rsidR="00A82082" w:rsidRDefault="00A82082">
            <w:pPr>
              <w:rPr>
                <w:rFonts w:ascii="宋体"/>
                <w:vanish/>
              </w:rPr>
            </w:pPr>
          </w:p>
        </w:tc>
        <w:tc>
          <w:tcPr>
            <w:tcW w:w="0" w:type="auto"/>
            <w:gridSpan w:val="3"/>
            <w:shd w:val="clear" w:color="auto" w:fill="auto"/>
          </w:tcPr>
          <w:p w14:paraId="7E784BE3" w14:textId="77777777" w:rsidR="00A82082" w:rsidRDefault="00A82082">
            <w:pPr>
              <w:rPr>
                <w:rFonts w:ascii="宋体"/>
                <w:vanish/>
              </w:rPr>
            </w:pPr>
          </w:p>
        </w:tc>
        <w:tc>
          <w:tcPr>
            <w:tcW w:w="0" w:type="auto"/>
            <w:gridSpan w:val="3"/>
            <w:shd w:val="clear" w:color="auto" w:fill="auto"/>
          </w:tcPr>
          <w:p w14:paraId="7E784BE4" w14:textId="77777777" w:rsidR="00A82082" w:rsidRDefault="00A82082">
            <w:pPr>
              <w:rPr>
                <w:rFonts w:ascii="宋体"/>
                <w:vanish/>
              </w:rPr>
            </w:pPr>
          </w:p>
        </w:tc>
        <w:tc>
          <w:tcPr>
            <w:tcW w:w="0" w:type="auto"/>
            <w:gridSpan w:val="3"/>
            <w:shd w:val="clear" w:color="auto" w:fill="auto"/>
          </w:tcPr>
          <w:p w14:paraId="7E784BE5" w14:textId="77777777" w:rsidR="00A82082" w:rsidRDefault="00A82082">
            <w:pPr>
              <w:rPr>
                <w:rFonts w:ascii="宋体"/>
                <w:vanish/>
              </w:rPr>
            </w:pPr>
          </w:p>
        </w:tc>
        <w:tc>
          <w:tcPr>
            <w:tcW w:w="0" w:type="auto"/>
            <w:gridSpan w:val="3"/>
            <w:shd w:val="clear" w:color="auto" w:fill="auto"/>
          </w:tcPr>
          <w:p w14:paraId="7E784BE6" w14:textId="77777777" w:rsidR="00A82082" w:rsidRDefault="00A82082">
            <w:pPr>
              <w:rPr>
                <w:rFonts w:ascii="宋体"/>
                <w:vanish/>
              </w:rPr>
            </w:pPr>
          </w:p>
        </w:tc>
        <w:tc>
          <w:tcPr>
            <w:tcW w:w="0" w:type="auto"/>
            <w:gridSpan w:val="3"/>
            <w:shd w:val="clear" w:color="auto" w:fill="auto"/>
          </w:tcPr>
          <w:p w14:paraId="7E784BE7" w14:textId="77777777" w:rsidR="00A82082" w:rsidRDefault="00A82082">
            <w:pPr>
              <w:rPr>
                <w:rFonts w:ascii="宋体"/>
                <w:vanish/>
              </w:rPr>
            </w:pPr>
          </w:p>
        </w:tc>
        <w:tc>
          <w:tcPr>
            <w:tcW w:w="0" w:type="auto"/>
            <w:gridSpan w:val="3"/>
            <w:shd w:val="clear" w:color="auto" w:fill="auto"/>
          </w:tcPr>
          <w:p w14:paraId="7E784BE8" w14:textId="77777777" w:rsidR="00A82082" w:rsidRDefault="00A82082">
            <w:pPr>
              <w:rPr>
                <w:rFonts w:ascii="宋体"/>
                <w:vanish/>
              </w:rPr>
            </w:pPr>
          </w:p>
        </w:tc>
        <w:tc>
          <w:tcPr>
            <w:tcW w:w="0" w:type="auto"/>
            <w:gridSpan w:val="3"/>
            <w:shd w:val="clear" w:color="auto" w:fill="auto"/>
          </w:tcPr>
          <w:p w14:paraId="7E784BE9" w14:textId="77777777" w:rsidR="00A82082" w:rsidRDefault="00A82082">
            <w:pPr>
              <w:rPr>
                <w:rFonts w:ascii="宋体"/>
                <w:vanish/>
              </w:rPr>
            </w:pPr>
          </w:p>
        </w:tc>
        <w:tc>
          <w:tcPr>
            <w:tcW w:w="0" w:type="auto"/>
            <w:gridSpan w:val="3"/>
            <w:shd w:val="clear" w:color="auto" w:fill="auto"/>
          </w:tcPr>
          <w:p w14:paraId="7E784BEA" w14:textId="77777777" w:rsidR="00A82082" w:rsidRDefault="00A82082">
            <w:pPr>
              <w:rPr>
                <w:rFonts w:ascii="宋体"/>
                <w:vanish/>
              </w:rPr>
            </w:pPr>
          </w:p>
        </w:tc>
        <w:tc>
          <w:tcPr>
            <w:tcW w:w="0" w:type="auto"/>
            <w:gridSpan w:val="3"/>
            <w:shd w:val="clear" w:color="auto" w:fill="auto"/>
          </w:tcPr>
          <w:p w14:paraId="7E784BEB" w14:textId="77777777" w:rsidR="00A82082" w:rsidRDefault="00A82082">
            <w:pPr>
              <w:rPr>
                <w:rFonts w:ascii="宋体"/>
                <w:vanish/>
              </w:rPr>
            </w:pPr>
          </w:p>
        </w:tc>
        <w:tc>
          <w:tcPr>
            <w:tcW w:w="0" w:type="auto"/>
            <w:gridSpan w:val="3"/>
            <w:shd w:val="clear" w:color="auto" w:fill="auto"/>
          </w:tcPr>
          <w:p w14:paraId="7E784BEC" w14:textId="77777777" w:rsidR="00A82082" w:rsidRDefault="00A82082">
            <w:pPr>
              <w:rPr>
                <w:rFonts w:ascii="宋体"/>
                <w:vanish/>
              </w:rPr>
            </w:pPr>
          </w:p>
        </w:tc>
        <w:tc>
          <w:tcPr>
            <w:tcW w:w="0" w:type="auto"/>
            <w:shd w:val="clear" w:color="auto" w:fill="auto"/>
          </w:tcPr>
          <w:p w14:paraId="7E784BED" w14:textId="77777777" w:rsidR="00A82082" w:rsidRDefault="00A82082">
            <w:pPr>
              <w:rPr>
                <w:rFonts w:ascii="宋体"/>
                <w:vanish/>
              </w:rPr>
            </w:pPr>
          </w:p>
        </w:tc>
        <w:tc>
          <w:tcPr>
            <w:tcW w:w="0" w:type="auto"/>
            <w:shd w:val="clear" w:color="auto" w:fill="auto"/>
          </w:tcPr>
          <w:p w14:paraId="7E784BEE" w14:textId="77777777" w:rsidR="00A82082" w:rsidRDefault="00A82082">
            <w:pPr>
              <w:rPr>
                <w:rFonts w:ascii="宋体"/>
                <w:vanish/>
              </w:rPr>
            </w:pPr>
          </w:p>
        </w:tc>
        <w:tc>
          <w:tcPr>
            <w:tcW w:w="0" w:type="auto"/>
            <w:shd w:val="clear" w:color="auto" w:fill="auto"/>
          </w:tcPr>
          <w:p w14:paraId="7E784BEF" w14:textId="77777777" w:rsidR="00A82082" w:rsidRDefault="00A82082">
            <w:pPr>
              <w:rPr>
                <w:rFonts w:ascii="宋体"/>
                <w:vanish/>
              </w:rPr>
            </w:pPr>
          </w:p>
        </w:tc>
      </w:tr>
      <w:tr w:rsidR="00A82082" w14:paraId="7E784C04" w14:textId="77777777">
        <w:trPr>
          <w:jc w:val="center"/>
          <w:hidden/>
        </w:trPr>
        <w:tc>
          <w:tcPr>
            <w:tcW w:w="0" w:type="auto"/>
            <w:gridSpan w:val="3"/>
            <w:shd w:val="clear" w:color="auto" w:fill="auto"/>
          </w:tcPr>
          <w:p w14:paraId="7E784BF1" w14:textId="77777777" w:rsidR="00A82082" w:rsidRDefault="00A82082">
            <w:pPr>
              <w:rPr>
                <w:rFonts w:ascii="宋体"/>
                <w:vanish/>
              </w:rPr>
            </w:pPr>
          </w:p>
        </w:tc>
        <w:tc>
          <w:tcPr>
            <w:tcW w:w="0" w:type="auto"/>
            <w:gridSpan w:val="3"/>
            <w:shd w:val="clear" w:color="auto" w:fill="auto"/>
          </w:tcPr>
          <w:p w14:paraId="7E784BF2" w14:textId="77777777" w:rsidR="00A82082" w:rsidRDefault="00A82082">
            <w:pPr>
              <w:rPr>
                <w:rFonts w:ascii="宋体"/>
                <w:vanish/>
              </w:rPr>
            </w:pPr>
          </w:p>
        </w:tc>
        <w:tc>
          <w:tcPr>
            <w:tcW w:w="0" w:type="auto"/>
            <w:gridSpan w:val="3"/>
            <w:shd w:val="clear" w:color="auto" w:fill="auto"/>
          </w:tcPr>
          <w:p w14:paraId="7E784BF3" w14:textId="77777777" w:rsidR="00A82082" w:rsidRDefault="00A82082">
            <w:pPr>
              <w:rPr>
                <w:rFonts w:ascii="宋体"/>
                <w:vanish/>
              </w:rPr>
            </w:pPr>
          </w:p>
        </w:tc>
        <w:tc>
          <w:tcPr>
            <w:tcW w:w="0" w:type="auto"/>
            <w:gridSpan w:val="3"/>
            <w:shd w:val="clear" w:color="auto" w:fill="auto"/>
          </w:tcPr>
          <w:p w14:paraId="7E784BF4" w14:textId="77777777" w:rsidR="00A82082" w:rsidRDefault="00A82082">
            <w:pPr>
              <w:rPr>
                <w:rFonts w:ascii="宋体"/>
                <w:vanish/>
              </w:rPr>
            </w:pPr>
          </w:p>
        </w:tc>
        <w:tc>
          <w:tcPr>
            <w:tcW w:w="0" w:type="auto"/>
            <w:gridSpan w:val="3"/>
            <w:shd w:val="clear" w:color="auto" w:fill="auto"/>
          </w:tcPr>
          <w:p w14:paraId="7E784BF5" w14:textId="77777777" w:rsidR="00A82082" w:rsidRDefault="00A82082">
            <w:pPr>
              <w:rPr>
                <w:rFonts w:ascii="宋体"/>
                <w:vanish/>
              </w:rPr>
            </w:pPr>
          </w:p>
        </w:tc>
        <w:tc>
          <w:tcPr>
            <w:tcW w:w="0" w:type="auto"/>
            <w:gridSpan w:val="3"/>
            <w:shd w:val="clear" w:color="auto" w:fill="auto"/>
          </w:tcPr>
          <w:p w14:paraId="7E784BF6" w14:textId="77777777" w:rsidR="00A82082" w:rsidRDefault="00A82082">
            <w:pPr>
              <w:rPr>
                <w:rFonts w:ascii="宋体"/>
                <w:vanish/>
              </w:rPr>
            </w:pPr>
          </w:p>
        </w:tc>
        <w:tc>
          <w:tcPr>
            <w:tcW w:w="0" w:type="auto"/>
            <w:gridSpan w:val="3"/>
            <w:shd w:val="clear" w:color="auto" w:fill="auto"/>
          </w:tcPr>
          <w:p w14:paraId="7E784BF7" w14:textId="77777777" w:rsidR="00A82082" w:rsidRDefault="00A82082">
            <w:pPr>
              <w:rPr>
                <w:rFonts w:ascii="宋体"/>
                <w:vanish/>
              </w:rPr>
            </w:pPr>
          </w:p>
        </w:tc>
        <w:tc>
          <w:tcPr>
            <w:tcW w:w="0" w:type="auto"/>
            <w:gridSpan w:val="3"/>
            <w:shd w:val="clear" w:color="auto" w:fill="auto"/>
          </w:tcPr>
          <w:p w14:paraId="7E784BF8" w14:textId="77777777" w:rsidR="00A82082" w:rsidRDefault="00A82082">
            <w:pPr>
              <w:rPr>
                <w:rFonts w:ascii="宋体"/>
                <w:vanish/>
              </w:rPr>
            </w:pPr>
          </w:p>
        </w:tc>
        <w:tc>
          <w:tcPr>
            <w:tcW w:w="0" w:type="auto"/>
            <w:gridSpan w:val="3"/>
            <w:shd w:val="clear" w:color="auto" w:fill="auto"/>
          </w:tcPr>
          <w:p w14:paraId="7E784BF9" w14:textId="77777777" w:rsidR="00A82082" w:rsidRDefault="00A82082">
            <w:pPr>
              <w:rPr>
                <w:rFonts w:ascii="宋体"/>
                <w:vanish/>
              </w:rPr>
            </w:pPr>
          </w:p>
        </w:tc>
        <w:tc>
          <w:tcPr>
            <w:tcW w:w="0" w:type="auto"/>
            <w:gridSpan w:val="3"/>
            <w:shd w:val="clear" w:color="auto" w:fill="auto"/>
          </w:tcPr>
          <w:p w14:paraId="7E784BFA" w14:textId="77777777" w:rsidR="00A82082" w:rsidRDefault="00A82082">
            <w:pPr>
              <w:rPr>
                <w:rFonts w:ascii="宋体"/>
                <w:vanish/>
              </w:rPr>
            </w:pPr>
          </w:p>
        </w:tc>
        <w:tc>
          <w:tcPr>
            <w:tcW w:w="0" w:type="auto"/>
            <w:gridSpan w:val="3"/>
            <w:shd w:val="clear" w:color="auto" w:fill="auto"/>
          </w:tcPr>
          <w:p w14:paraId="7E784BFB" w14:textId="77777777" w:rsidR="00A82082" w:rsidRDefault="00A82082">
            <w:pPr>
              <w:rPr>
                <w:rFonts w:ascii="宋体"/>
                <w:vanish/>
              </w:rPr>
            </w:pPr>
          </w:p>
        </w:tc>
        <w:tc>
          <w:tcPr>
            <w:tcW w:w="0" w:type="auto"/>
            <w:gridSpan w:val="3"/>
            <w:shd w:val="clear" w:color="auto" w:fill="auto"/>
          </w:tcPr>
          <w:p w14:paraId="7E784BFC" w14:textId="77777777" w:rsidR="00A82082" w:rsidRDefault="00A82082">
            <w:pPr>
              <w:rPr>
                <w:rFonts w:ascii="宋体"/>
                <w:vanish/>
              </w:rPr>
            </w:pPr>
          </w:p>
        </w:tc>
        <w:tc>
          <w:tcPr>
            <w:tcW w:w="0" w:type="auto"/>
            <w:gridSpan w:val="3"/>
            <w:shd w:val="clear" w:color="auto" w:fill="auto"/>
          </w:tcPr>
          <w:p w14:paraId="7E784BFD" w14:textId="77777777" w:rsidR="00A82082" w:rsidRDefault="00A82082">
            <w:pPr>
              <w:rPr>
                <w:rFonts w:ascii="宋体"/>
                <w:vanish/>
              </w:rPr>
            </w:pPr>
          </w:p>
        </w:tc>
        <w:tc>
          <w:tcPr>
            <w:tcW w:w="0" w:type="auto"/>
            <w:gridSpan w:val="3"/>
            <w:shd w:val="clear" w:color="auto" w:fill="auto"/>
          </w:tcPr>
          <w:p w14:paraId="7E784BFE" w14:textId="77777777" w:rsidR="00A82082" w:rsidRDefault="00A82082">
            <w:pPr>
              <w:rPr>
                <w:rFonts w:ascii="宋体"/>
                <w:vanish/>
              </w:rPr>
            </w:pPr>
          </w:p>
        </w:tc>
        <w:tc>
          <w:tcPr>
            <w:tcW w:w="0" w:type="auto"/>
            <w:gridSpan w:val="3"/>
            <w:shd w:val="clear" w:color="auto" w:fill="auto"/>
          </w:tcPr>
          <w:p w14:paraId="7E784BFF" w14:textId="77777777" w:rsidR="00A82082" w:rsidRDefault="00A82082">
            <w:pPr>
              <w:rPr>
                <w:rFonts w:ascii="宋体"/>
                <w:vanish/>
              </w:rPr>
            </w:pPr>
          </w:p>
        </w:tc>
        <w:tc>
          <w:tcPr>
            <w:tcW w:w="0" w:type="auto"/>
            <w:gridSpan w:val="3"/>
            <w:shd w:val="clear" w:color="auto" w:fill="auto"/>
          </w:tcPr>
          <w:p w14:paraId="7E784C00" w14:textId="77777777" w:rsidR="00A82082" w:rsidRDefault="00A82082">
            <w:pPr>
              <w:rPr>
                <w:rFonts w:ascii="宋体"/>
                <w:vanish/>
              </w:rPr>
            </w:pPr>
          </w:p>
        </w:tc>
        <w:tc>
          <w:tcPr>
            <w:tcW w:w="0" w:type="auto"/>
            <w:shd w:val="clear" w:color="auto" w:fill="auto"/>
          </w:tcPr>
          <w:p w14:paraId="7E784C01" w14:textId="77777777" w:rsidR="00A82082" w:rsidRDefault="00A82082">
            <w:pPr>
              <w:rPr>
                <w:rFonts w:ascii="宋体"/>
                <w:vanish/>
              </w:rPr>
            </w:pPr>
          </w:p>
        </w:tc>
        <w:tc>
          <w:tcPr>
            <w:tcW w:w="0" w:type="auto"/>
            <w:shd w:val="clear" w:color="auto" w:fill="auto"/>
          </w:tcPr>
          <w:p w14:paraId="7E784C02" w14:textId="77777777" w:rsidR="00A82082" w:rsidRDefault="00A82082">
            <w:pPr>
              <w:rPr>
                <w:rFonts w:ascii="宋体"/>
                <w:vanish/>
              </w:rPr>
            </w:pPr>
          </w:p>
        </w:tc>
        <w:tc>
          <w:tcPr>
            <w:tcW w:w="0" w:type="auto"/>
            <w:shd w:val="clear" w:color="auto" w:fill="auto"/>
          </w:tcPr>
          <w:p w14:paraId="7E784C03" w14:textId="77777777" w:rsidR="00A82082" w:rsidRDefault="00A82082">
            <w:pPr>
              <w:rPr>
                <w:rFonts w:ascii="宋体"/>
                <w:vanish/>
              </w:rPr>
            </w:pPr>
          </w:p>
        </w:tc>
      </w:tr>
      <w:tr w:rsidR="00A82082" w14:paraId="7E784C18" w14:textId="77777777">
        <w:trPr>
          <w:jc w:val="center"/>
          <w:hidden/>
        </w:trPr>
        <w:tc>
          <w:tcPr>
            <w:tcW w:w="0" w:type="auto"/>
            <w:gridSpan w:val="3"/>
            <w:shd w:val="clear" w:color="auto" w:fill="auto"/>
          </w:tcPr>
          <w:p w14:paraId="7E784C05" w14:textId="77777777" w:rsidR="00A82082" w:rsidRDefault="00A82082">
            <w:pPr>
              <w:rPr>
                <w:rFonts w:ascii="宋体"/>
                <w:vanish/>
              </w:rPr>
            </w:pPr>
          </w:p>
        </w:tc>
        <w:tc>
          <w:tcPr>
            <w:tcW w:w="0" w:type="auto"/>
            <w:gridSpan w:val="3"/>
            <w:shd w:val="clear" w:color="auto" w:fill="auto"/>
          </w:tcPr>
          <w:p w14:paraId="7E784C06" w14:textId="77777777" w:rsidR="00A82082" w:rsidRDefault="00A82082">
            <w:pPr>
              <w:rPr>
                <w:rFonts w:ascii="宋体"/>
                <w:vanish/>
              </w:rPr>
            </w:pPr>
          </w:p>
        </w:tc>
        <w:tc>
          <w:tcPr>
            <w:tcW w:w="0" w:type="auto"/>
            <w:gridSpan w:val="3"/>
            <w:shd w:val="clear" w:color="auto" w:fill="auto"/>
          </w:tcPr>
          <w:p w14:paraId="7E784C07" w14:textId="77777777" w:rsidR="00A82082" w:rsidRDefault="00A82082">
            <w:pPr>
              <w:rPr>
                <w:rFonts w:ascii="宋体"/>
                <w:vanish/>
              </w:rPr>
            </w:pPr>
          </w:p>
        </w:tc>
        <w:tc>
          <w:tcPr>
            <w:tcW w:w="0" w:type="auto"/>
            <w:gridSpan w:val="3"/>
            <w:shd w:val="clear" w:color="auto" w:fill="auto"/>
          </w:tcPr>
          <w:p w14:paraId="7E784C08" w14:textId="77777777" w:rsidR="00A82082" w:rsidRDefault="00A82082">
            <w:pPr>
              <w:rPr>
                <w:rFonts w:ascii="宋体"/>
                <w:vanish/>
              </w:rPr>
            </w:pPr>
          </w:p>
        </w:tc>
        <w:tc>
          <w:tcPr>
            <w:tcW w:w="0" w:type="auto"/>
            <w:gridSpan w:val="3"/>
            <w:shd w:val="clear" w:color="auto" w:fill="auto"/>
          </w:tcPr>
          <w:p w14:paraId="7E784C09" w14:textId="77777777" w:rsidR="00A82082" w:rsidRDefault="00A82082">
            <w:pPr>
              <w:rPr>
                <w:rFonts w:ascii="宋体"/>
                <w:vanish/>
              </w:rPr>
            </w:pPr>
          </w:p>
        </w:tc>
        <w:tc>
          <w:tcPr>
            <w:tcW w:w="0" w:type="auto"/>
            <w:gridSpan w:val="3"/>
            <w:shd w:val="clear" w:color="auto" w:fill="auto"/>
          </w:tcPr>
          <w:p w14:paraId="7E784C0A" w14:textId="77777777" w:rsidR="00A82082" w:rsidRDefault="00A82082">
            <w:pPr>
              <w:rPr>
                <w:rFonts w:ascii="宋体"/>
                <w:vanish/>
              </w:rPr>
            </w:pPr>
          </w:p>
        </w:tc>
        <w:tc>
          <w:tcPr>
            <w:tcW w:w="0" w:type="auto"/>
            <w:gridSpan w:val="3"/>
            <w:shd w:val="clear" w:color="auto" w:fill="auto"/>
          </w:tcPr>
          <w:p w14:paraId="7E784C0B" w14:textId="77777777" w:rsidR="00A82082" w:rsidRDefault="00A82082">
            <w:pPr>
              <w:rPr>
                <w:rFonts w:ascii="宋体"/>
                <w:vanish/>
              </w:rPr>
            </w:pPr>
          </w:p>
        </w:tc>
        <w:tc>
          <w:tcPr>
            <w:tcW w:w="0" w:type="auto"/>
            <w:gridSpan w:val="3"/>
            <w:shd w:val="clear" w:color="auto" w:fill="auto"/>
          </w:tcPr>
          <w:p w14:paraId="7E784C0C" w14:textId="77777777" w:rsidR="00A82082" w:rsidRDefault="00A82082">
            <w:pPr>
              <w:rPr>
                <w:rFonts w:ascii="宋体"/>
                <w:vanish/>
              </w:rPr>
            </w:pPr>
          </w:p>
        </w:tc>
        <w:tc>
          <w:tcPr>
            <w:tcW w:w="0" w:type="auto"/>
            <w:gridSpan w:val="3"/>
            <w:shd w:val="clear" w:color="auto" w:fill="auto"/>
          </w:tcPr>
          <w:p w14:paraId="7E784C0D" w14:textId="77777777" w:rsidR="00A82082" w:rsidRDefault="00A82082">
            <w:pPr>
              <w:rPr>
                <w:rFonts w:ascii="宋体"/>
                <w:vanish/>
              </w:rPr>
            </w:pPr>
          </w:p>
        </w:tc>
        <w:tc>
          <w:tcPr>
            <w:tcW w:w="0" w:type="auto"/>
            <w:gridSpan w:val="3"/>
            <w:shd w:val="clear" w:color="auto" w:fill="auto"/>
          </w:tcPr>
          <w:p w14:paraId="7E784C0E" w14:textId="77777777" w:rsidR="00A82082" w:rsidRDefault="00A82082">
            <w:pPr>
              <w:rPr>
                <w:rFonts w:ascii="宋体"/>
                <w:vanish/>
              </w:rPr>
            </w:pPr>
          </w:p>
        </w:tc>
        <w:tc>
          <w:tcPr>
            <w:tcW w:w="0" w:type="auto"/>
            <w:gridSpan w:val="3"/>
            <w:shd w:val="clear" w:color="auto" w:fill="auto"/>
          </w:tcPr>
          <w:p w14:paraId="7E784C0F" w14:textId="77777777" w:rsidR="00A82082" w:rsidRDefault="00A82082">
            <w:pPr>
              <w:rPr>
                <w:rFonts w:ascii="宋体"/>
                <w:vanish/>
              </w:rPr>
            </w:pPr>
          </w:p>
        </w:tc>
        <w:tc>
          <w:tcPr>
            <w:tcW w:w="0" w:type="auto"/>
            <w:gridSpan w:val="3"/>
            <w:shd w:val="clear" w:color="auto" w:fill="auto"/>
          </w:tcPr>
          <w:p w14:paraId="7E784C10" w14:textId="77777777" w:rsidR="00A82082" w:rsidRDefault="00A82082">
            <w:pPr>
              <w:rPr>
                <w:rFonts w:ascii="宋体"/>
                <w:vanish/>
              </w:rPr>
            </w:pPr>
          </w:p>
        </w:tc>
        <w:tc>
          <w:tcPr>
            <w:tcW w:w="0" w:type="auto"/>
            <w:gridSpan w:val="3"/>
            <w:shd w:val="clear" w:color="auto" w:fill="auto"/>
          </w:tcPr>
          <w:p w14:paraId="7E784C11" w14:textId="77777777" w:rsidR="00A82082" w:rsidRDefault="00A82082">
            <w:pPr>
              <w:rPr>
                <w:rFonts w:ascii="宋体"/>
                <w:vanish/>
              </w:rPr>
            </w:pPr>
          </w:p>
        </w:tc>
        <w:tc>
          <w:tcPr>
            <w:tcW w:w="0" w:type="auto"/>
            <w:gridSpan w:val="3"/>
            <w:shd w:val="clear" w:color="auto" w:fill="auto"/>
          </w:tcPr>
          <w:p w14:paraId="7E784C12" w14:textId="77777777" w:rsidR="00A82082" w:rsidRDefault="00A82082">
            <w:pPr>
              <w:rPr>
                <w:rFonts w:ascii="宋体"/>
                <w:vanish/>
              </w:rPr>
            </w:pPr>
          </w:p>
        </w:tc>
        <w:tc>
          <w:tcPr>
            <w:tcW w:w="0" w:type="auto"/>
            <w:gridSpan w:val="3"/>
            <w:shd w:val="clear" w:color="auto" w:fill="auto"/>
          </w:tcPr>
          <w:p w14:paraId="7E784C13" w14:textId="77777777" w:rsidR="00A82082" w:rsidRDefault="00A82082">
            <w:pPr>
              <w:rPr>
                <w:rFonts w:ascii="宋体"/>
                <w:vanish/>
              </w:rPr>
            </w:pPr>
          </w:p>
        </w:tc>
        <w:tc>
          <w:tcPr>
            <w:tcW w:w="0" w:type="auto"/>
            <w:gridSpan w:val="3"/>
            <w:shd w:val="clear" w:color="auto" w:fill="auto"/>
          </w:tcPr>
          <w:p w14:paraId="7E784C14" w14:textId="77777777" w:rsidR="00A82082" w:rsidRDefault="00A82082">
            <w:pPr>
              <w:rPr>
                <w:rFonts w:ascii="宋体"/>
                <w:vanish/>
              </w:rPr>
            </w:pPr>
          </w:p>
        </w:tc>
        <w:tc>
          <w:tcPr>
            <w:tcW w:w="0" w:type="auto"/>
            <w:shd w:val="clear" w:color="auto" w:fill="auto"/>
          </w:tcPr>
          <w:p w14:paraId="7E784C15" w14:textId="77777777" w:rsidR="00A82082" w:rsidRDefault="00A82082">
            <w:pPr>
              <w:rPr>
                <w:rFonts w:ascii="宋体"/>
                <w:vanish/>
              </w:rPr>
            </w:pPr>
          </w:p>
        </w:tc>
        <w:tc>
          <w:tcPr>
            <w:tcW w:w="0" w:type="auto"/>
            <w:shd w:val="clear" w:color="auto" w:fill="auto"/>
          </w:tcPr>
          <w:p w14:paraId="7E784C16" w14:textId="77777777" w:rsidR="00A82082" w:rsidRDefault="00A82082">
            <w:pPr>
              <w:rPr>
                <w:rFonts w:ascii="宋体"/>
                <w:vanish/>
              </w:rPr>
            </w:pPr>
          </w:p>
        </w:tc>
        <w:tc>
          <w:tcPr>
            <w:tcW w:w="0" w:type="auto"/>
            <w:shd w:val="clear" w:color="auto" w:fill="auto"/>
          </w:tcPr>
          <w:p w14:paraId="7E784C17" w14:textId="77777777" w:rsidR="00A82082" w:rsidRDefault="00A82082">
            <w:pPr>
              <w:rPr>
                <w:rFonts w:ascii="宋体"/>
                <w:vanish/>
              </w:rPr>
            </w:pPr>
          </w:p>
        </w:tc>
      </w:tr>
      <w:tr w:rsidR="00A82082" w14:paraId="7E784C2C" w14:textId="77777777">
        <w:trPr>
          <w:jc w:val="center"/>
          <w:hidden/>
        </w:trPr>
        <w:tc>
          <w:tcPr>
            <w:tcW w:w="0" w:type="auto"/>
            <w:gridSpan w:val="3"/>
            <w:shd w:val="clear" w:color="auto" w:fill="auto"/>
          </w:tcPr>
          <w:p w14:paraId="7E784C19" w14:textId="77777777" w:rsidR="00A82082" w:rsidRDefault="00A82082">
            <w:pPr>
              <w:rPr>
                <w:rFonts w:ascii="宋体"/>
                <w:vanish/>
              </w:rPr>
            </w:pPr>
          </w:p>
        </w:tc>
        <w:tc>
          <w:tcPr>
            <w:tcW w:w="0" w:type="auto"/>
            <w:gridSpan w:val="3"/>
            <w:shd w:val="clear" w:color="auto" w:fill="auto"/>
          </w:tcPr>
          <w:p w14:paraId="7E784C1A" w14:textId="77777777" w:rsidR="00A82082" w:rsidRDefault="00A82082">
            <w:pPr>
              <w:rPr>
                <w:rFonts w:ascii="宋体"/>
                <w:vanish/>
              </w:rPr>
            </w:pPr>
          </w:p>
        </w:tc>
        <w:tc>
          <w:tcPr>
            <w:tcW w:w="0" w:type="auto"/>
            <w:gridSpan w:val="3"/>
            <w:shd w:val="clear" w:color="auto" w:fill="auto"/>
          </w:tcPr>
          <w:p w14:paraId="7E784C1B" w14:textId="77777777" w:rsidR="00A82082" w:rsidRDefault="00A82082">
            <w:pPr>
              <w:rPr>
                <w:rFonts w:ascii="宋体"/>
                <w:vanish/>
              </w:rPr>
            </w:pPr>
          </w:p>
        </w:tc>
        <w:tc>
          <w:tcPr>
            <w:tcW w:w="0" w:type="auto"/>
            <w:gridSpan w:val="3"/>
            <w:shd w:val="clear" w:color="auto" w:fill="auto"/>
          </w:tcPr>
          <w:p w14:paraId="7E784C1C" w14:textId="77777777" w:rsidR="00A82082" w:rsidRDefault="00A82082">
            <w:pPr>
              <w:rPr>
                <w:rFonts w:ascii="宋体"/>
                <w:vanish/>
              </w:rPr>
            </w:pPr>
          </w:p>
        </w:tc>
        <w:tc>
          <w:tcPr>
            <w:tcW w:w="0" w:type="auto"/>
            <w:gridSpan w:val="3"/>
            <w:shd w:val="clear" w:color="auto" w:fill="auto"/>
          </w:tcPr>
          <w:p w14:paraId="7E784C1D" w14:textId="77777777" w:rsidR="00A82082" w:rsidRDefault="00A82082">
            <w:pPr>
              <w:rPr>
                <w:rFonts w:ascii="宋体"/>
                <w:vanish/>
              </w:rPr>
            </w:pPr>
          </w:p>
        </w:tc>
        <w:tc>
          <w:tcPr>
            <w:tcW w:w="0" w:type="auto"/>
            <w:gridSpan w:val="3"/>
            <w:shd w:val="clear" w:color="auto" w:fill="auto"/>
          </w:tcPr>
          <w:p w14:paraId="7E784C1E" w14:textId="77777777" w:rsidR="00A82082" w:rsidRDefault="00A82082">
            <w:pPr>
              <w:rPr>
                <w:rFonts w:ascii="宋体"/>
                <w:vanish/>
              </w:rPr>
            </w:pPr>
          </w:p>
        </w:tc>
        <w:tc>
          <w:tcPr>
            <w:tcW w:w="0" w:type="auto"/>
            <w:gridSpan w:val="3"/>
            <w:shd w:val="clear" w:color="auto" w:fill="auto"/>
          </w:tcPr>
          <w:p w14:paraId="7E784C1F" w14:textId="77777777" w:rsidR="00A82082" w:rsidRDefault="00A82082">
            <w:pPr>
              <w:rPr>
                <w:rFonts w:ascii="宋体"/>
                <w:vanish/>
              </w:rPr>
            </w:pPr>
          </w:p>
        </w:tc>
        <w:tc>
          <w:tcPr>
            <w:tcW w:w="0" w:type="auto"/>
            <w:gridSpan w:val="3"/>
            <w:shd w:val="clear" w:color="auto" w:fill="auto"/>
          </w:tcPr>
          <w:p w14:paraId="7E784C20" w14:textId="77777777" w:rsidR="00A82082" w:rsidRDefault="00A82082">
            <w:pPr>
              <w:rPr>
                <w:rFonts w:ascii="宋体"/>
                <w:vanish/>
              </w:rPr>
            </w:pPr>
          </w:p>
        </w:tc>
        <w:tc>
          <w:tcPr>
            <w:tcW w:w="0" w:type="auto"/>
            <w:gridSpan w:val="3"/>
            <w:shd w:val="clear" w:color="auto" w:fill="auto"/>
          </w:tcPr>
          <w:p w14:paraId="7E784C21" w14:textId="77777777" w:rsidR="00A82082" w:rsidRDefault="00A82082">
            <w:pPr>
              <w:rPr>
                <w:rFonts w:ascii="宋体"/>
                <w:vanish/>
              </w:rPr>
            </w:pPr>
          </w:p>
        </w:tc>
        <w:tc>
          <w:tcPr>
            <w:tcW w:w="0" w:type="auto"/>
            <w:gridSpan w:val="3"/>
            <w:shd w:val="clear" w:color="auto" w:fill="auto"/>
          </w:tcPr>
          <w:p w14:paraId="7E784C22" w14:textId="77777777" w:rsidR="00A82082" w:rsidRDefault="00A82082">
            <w:pPr>
              <w:rPr>
                <w:rFonts w:ascii="宋体"/>
                <w:vanish/>
              </w:rPr>
            </w:pPr>
          </w:p>
        </w:tc>
        <w:tc>
          <w:tcPr>
            <w:tcW w:w="0" w:type="auto"/>
            <w:gridSpan w:val="3"/>
            <w:shd w:val="clear" w:color="auto" w:fill="auto"/>
          </w:tcPr>
          <w:p w14:paraId="7E784C23" w14:textId="77777777" w:rsidR="00A82082" w:rsidRDefault="00A82082">
            <w:pPr>
              <w:rPr>
                <w:rFonts w:ascii="宋体"/>
                <w:vanish/>
              </w:rPr>
            </w:pPr>
          </w:p>
        </w:tc>
        <w:tc>
          <w:tcPr>
            <w:tcW w:w="0" w:type="auto"/>
            <w:gridSpan w:val="3"/>
            <w:shd w:val="clear" w:color="auto" w:fill="auto"/>
          </w:tcPr>
          <w:p w14:paraId="7E784C24" w14:textId="77777777" w:rsidR="00A82082" w:rsidRDefault="00A82082">
            <w:pPr>
              <w:rPr>
                <w:rFonts w:ascii="宋体"/>
                <w:vanish/>
              </w:rPr>
            </w:pPr>
          </w:p>
        </w:tc>
        <w:tc>
          <w:tcPr>
            <w:tcW w:w="0" w:type="auto"/>
            <w:gridSpan w:val="3"/>
            <w:shd w:val="clear" w:color="auto" w:fill="auto"/>
          </w:tcPr>
          <w:p w14:paraId="7E784C25" w14:textId="77777777" w:rsidR="00A82082" w:rsidRDefault="00A82082">
            <w:pPr>
              <w:rPr>
                <w:rFonts w:ascii="宋体"/>
                <w:vanish/>
              </w:rPr>
            </w:pPr>
          </w:p>
        </w:tc>
        <w:tc>
          <w:tcPr>
            <w:tcW w:w="0" w:type="auto"/>
            <w:gridSpan w:val="3"/>
            <w:shd w:val="clear" w:color="auto" w:fill="auto"/>
          </w:tcPr>
          <w:p w14:paraId="7E784C26" w14:textId="77777777" w:rsidR="00A82082" w:rsidRDefault="00A82082">
            <w:pPr>
              <w:rPr>
                <w:rFonts w:ascii="宋体"/>
                <w:vanish/>
              </w:rPr>
            </w:pPr>
          </w:p>
        </w:tc>
        <w:tc>
          <w:tcPr>
            <w:tcW w:w="0" w:type="auto"/>
            <w:gridSpan w:val="3"/>
            <w:shd w:val="clear" w:color="auto" w:fill="auto"/>
          </w:tcPr>
          <w:p w14:paraId="7E784C27" w14:textId="77777777" w:rsidR="00A82082" w:rsidRDefault="00A82082">
            <w:pPr>
              <w:rPr>
                <w:rFonts w:ascii="宋体"/>
                <w:vanish/>
              </w:rPr>
            </w:pPr>
          </w:p>
        </w:tc>
        <w:tc>
          <w:tcPr>
            <w:tcW w:w="0" w:type="auto"/>
            <w:gridSpan w:val="3"/>
            <w:shd w:val="clear" w:color="auto" w:fill="auto"/>
          </w:tcPr>
          <w:p w14:paraId="7E784C28" w14:textId="77777777" w:rsidR="00A82082" w:rsidRDefault="00A82082">
            <w:pPr>
              <w:rPr>
                <w:rFonts w:ascii="宋体"/>
                <w:vanish/>
              </w:rPr>
            </w:pPr>
          </w:p>
        </w:tc>
        <w:tc>
          <w:tcPr>
            <w:tcW w:w="0" w:type="auto"/>
            <w:shd w:val="clear" w:color="auto" w:fill="auto"/>
          </w:tcPr>
          <w:p w14:paraId="7E784C29" w14:textId="77777777" w:rsidR="00A82082" w:rsidRDefault="00A82082">
            <w:pPr>
              <w:rPr>
                <w:rFonts w:ascii="宋体"/>
                <w:vanish/>
              </w:rPr>
            </w:pPr>
          </w:p>
        </w:tc>
        <w:tc>
          <w:tcPr>
            <w:tcW w:w="0" w:type="auto"/>
            <w:shd w:val="clear" w:color="auto" w:fill="auto"/>
          </w:tcPr>
          <w:p w14:paraId="7E784C2A" w14:textId="77777777" w:rsidR="00A82082" w:rsidRDefault="00A82082">
            <w:pPr>
              <w:rPr>
                <w:rFonts w:ascii="宋体"/>
                <w:vanish/>
              </w:rPr>
            </w:pPr>
          </w:p>
        </w:tc>
        <w:tc>
          <w:tcPr>
            <w:tcW w:w="0" w:type="auto"/>
            <w:shd w:val="clear" w:color="auto" w:fill="auto"/>
          </w:tcPr>
          <w:p w14:paraId="7E784C2B" w14:textId="77777777" w:rsidR="00A82082" w:rsidRDefault="00A82082">
            <w:pPr>
              <w:rPr>
                <w:rFonts w:ascii="宋体"/>
                <w:vanish/>
              </w:rPr>
            </w:pPr>
          </w:p>
        </w:tc>
      </w:tr>
      <w:tr w:rsidR="00A82082" w14:paraId="7E784C40" w14:textId="77777777">
        <w:trPr>
          <w:jc w:val="center"/>
          <w:hidden/>
        </w:trPr>
        <w:tc>
          <w:tcPr>
            <w:tcW w:w="0" w:type="auto"/>
            <w:gridSpan w:val="3"/>
            <w:shd w:val="clear" w:color="auto" w:fill="auto"/>
          </w:tcPr>
          <w:p w14:paraId="7E784C2D" w14:textId="77777777" w:rsidR="00A82082" w:rsidRDefault="00A82082">
            <w:pPr>
              <w:rPr>
                <w:rFonts w:ascii="宋体"/>
                <w:vanish/>
              </w:rPr>
            </w:pPr>
          </w:p>
        </w:tc>
        <w:tc>
          <w:tcPr>
            <w:tcW w:w="0" w:type="auto"/>
            <w:gridSpan w:val="3"/>
            <w:shd w:val="clear" w:color="auto" w:fill="auto"/>
          </w:tcPr>
          <w:p w14:paraId="7E784C2E" w14:textId="77777777" w:rsidR="00A82082" w:rsidRDefault="00A82082">
            <w:pPr>
              <w:rPr>
                <w:rFonts w:ascii="宋体"/>
                <w:vanish/>
              </w:rPr>
            </w:pPr>
          </w:p>
        </w:tc>
        <w:tc>
          <w:tcPr>
            <w:tcW w:w="0" w:type="auto"/>
            <w:gridSpan w:val="3"/>
            <w:shd w:val="clear" w:color="auto" w:fill="auto"/>
          </w:tcPr>
          <w:p w14:paraId="7E784C2F" w14:textId="77777777" w:rsidR="00A82082" w:rsidRDefault="00A82082">
            <w:pPr>
              <w:rPr>
                <w:rFonts w:ascii="宋体"/>
                <w:vanish/>
              </w:rPr>
            </w:pPr>
          </w:p>
        </w:tc>
        <w:tc>
          <w:tcPr>
            <w:tcW w:w="0" w:type="auto"/>
            <w:gridSpan w:val="3"/>
            <w:shd w:val="clear" w:color="auto" w:fill="auto"/>
          </w:tcPr>
          <w:p w14:paraId="7E784C30" w14:textId="77777777" w:rsidR="00A82082" w:rsidRDefault="00A82082">
            <w:pPr>
              <w:rPr>
                <w:rFonts w:ascii="宋体"/>
                <w:vanish/>
              </w:rPr>
            </w:pPr>
          </w:p>
        </w:tc>
        <w:tc>
          <w:tcPr>
            <w:tcW w:w="0" w:type="auto"/>
            <w:gridSpan w:val="3"/>
            <w:shd w:val="clear" w:color="auto" w:fill="auto"/>
          </w:tcPr>
          <w:p w14:paraId="7E784C31" w14:textId="77777777" w:rsidR="00A82082" w:rsidRDefault="00A82082">
            <w:pPr>
              <w:rPr>
                <w:rFonts w:ascii="宋体"/>
                <w:vanish/>
              </w:rPr>
            </w:pPr>
          </w:p>
        </w:tc>
        <w:tc>
          <w:tcPr>
            <w:tcW w:w="0" w:type="auto"/>
            <w:gridSpan w:val="3"/>
            <w:shd w:val="clear" w:color="auto" w:fill="auto"/>
          </w:tcPr>
          <w:p w14:paraId="7E784C32" w14:textId="77777777" w:rsidR="00A82082" w:rsidRDefault="00A82082">
            <w:pPr>
              <w:rPr>
                <w:rFonts w:ascii="宋体"/>
                <w:vanish/>
              </w:rPr>
            </w:pPr>
          </w:p>
        </w:tc>
        <w:tc>
          <w:tcPr>
            <w:tcW w:w="0" w:type="auto"/>
            <w:gridSpan w:val="3"/>
            <w:shd w:val="clear" w:color="auto" w:fill="auto"/>
          </w:tcPr>
          <w:p w14:paraId="7E784C33" w14:textId="77777777" w:rsidR="00A82082" w:rsidRDefault="00A82082">
            <w:pPr>
              <w:rPr>
                <w:rFonts w:ascii="宋体"/>
                <w:vanish/>
              </w:rPr>
            </w:pPr>
          </w:p>
        </w:tc>
        <w:tc>
          <w:tcPr>
            <w:tcW w:w="0" w:type="auto"/>
            <w:gridSpan w:val="3"/>
            <w:shd w:val="clear" w:color="auto" w:fill="auto"/>
          </w:tcPr>
          <w:p w14:paraId="7E784C34" w14:textId="77777777" w:rsidR="00A82082" w:rsidRDefault="00A82082">
            <w:pPr>
              <w:rPr>
                <w:rFonts w:ascii="宋体"/>
                <w:vanish/>
              </w:rPr>
            </w:pPr>
          </w:p>
        </w:tc>
        <w:tc>
          <w:tcPr>
            <w:tcW w:w="0" w:type="auto"/>
            <w:gridSpan w:val="3"/>
            <w:shd w:val="clear" w:color="auto" w:fill="auto"/>
          </w:tcPr>
          <w:p w14:paraId="7E784C35" w14:textId="77777777" w:rsidR="00A82082" w:rsidRDefault="00A82082">
            <w:pPr>
              <w:rPr>
                <w:rFonts w:ascii="宋体"/>
                <w:vanish/>
              </w:rPr>
            </w:pPr>
          </w:p>
        </w:tc>
        <w:tc>
          <w:tcPr>
            <w:tcW w:w="0" w:type="auto"/>
            <w:gridSpan w:val="3"/>
            <w:shd w:val="clear" w:color="auto" w:fill="auto"/>
          </w:tcPr>
          <w:p w14:paraId="7E784C36" w14:textId="77777777" w:rsidR="00A82082" w:rsidRDefault="00A82082">
            <w:pPr>
              <w:rPr>
                <w:rFonts w:ascii="宋体"/>
                <w:vanish/>
              </w:rPr>
            </w:pPr>
          </w:p>
        </w:tc>
        <w:tc>
          <w:tcPr>
            <w:tcW w:w="0" w:type="auto"/>
            <w:gridSpan w:val="3"/>
            <w:shd w:val="clear" w:color="auto" w:fill="auto"/>
          </w:tcPr>
          <w:p w14:paraId="7E784C37" w14:textId="77777777" w:rsidR="00A82082" w:rsidRDefault="00A82082">
            <w:pPr>
              <w:rPr>
                <w:rFonts w:ascii="宋体"/>
                <w:vanish/>
              </w:rPr>
            </w:pPr>
          </w:p>
        </w:tc>
        <w:tc>
          <w:tcPr>
            <w:tcW w:w="0" w:type="auto"/>
            <w:gridSpan w:val="3"/>
            <w:shd w:val="clear" w:color="auto" w:fill="auto"/>
          </w:tcPr>
          <w:p w14:paraId="7E784C38" w14:textId="77777777" w:rsidR="00A82082" w:rsidRDefault="00A82082">
            <w:pPr>
              <w:rPr>
                <w:rFonts w:ascii="宋体"/>
                <w:vanish/>
              </w:rPr>
            </w:pPr>
          </w:p>
        </w:tc>
        <w:tc>
          <w:tcPr>
            <w:tcW w:w="0" w:type="auto"/>
            <w:gridSpan w:val="3"/>
            <w:shd w:val="clear" w:color="auto" w:fill="auto"/>
          </w:tcPr>
          <w:p w14:paraId="7E784C39" w14:textId="77777777" w:rsidR="00A82082" w:rsidRDefault="00A82082">
            <w:pPr>
              <w:rPr>
                <w:rFonts w:ascii="宋体"/>
                <w:vanish/>
              </w:rPr>
            </w:pPr>
          </w:p>
        </w:tc>
        <w:tc>
          <w:tcPr>
            <w:tcW w:w="0" w:type="auto"/>
            <w:gridSpan w:val="3"/>
            <w:shd w:val="clear" w:color="auto" w:fill="auto"/>
          </w:tcPr>
          <w:p w14:paraId="7E784C3A" w14:textId="77777777" w:rsidR="00A82082" w:rsidRDefault="00A82082">
            <w:pPr>
              <w:rPr>
                <w:rFonts w:ascii="宋体"/>
                <w:vanish/>
              </w:rPr>
            </w:pPr>
          </w:p>
        </w:tc>
        <w:tc>
          <w:tcPr>
            <w:tcW w:w="0" w:type="auto"/>
            <w:gridSpan w:val="3"/>
            <w:shd w:val="clear" w:color="auto" w:fill="auto"/>
          </w:tcPr>
          <w:p w14:paraId="7E784C3B" w14:textId="77777777" w:rsidR="00A82082" w:rsidRDefault="00A82082">
            <w:pPr>
              <w:rPr>
                <w:rFonts w:ascii="宋体"/>
                <w:vanish/>
              </w:rPr>
            </w:pPr>
          </w:p>
        </w:tc>
        <w:tc>
          <w:tcPr>
            <w:tcW w:w="0" w:type="auto"/>
            <w:gridSpan w:val="3"/>
            <w:shd w:val="clear" w:color="auto" w:fill="auto"/>
          </w:tcPr>
          <w:p w14:paraId="7E784C3C" w14:textId="77777777" w:rsidR="00A82082" w:rsidRDefault="00A82082">
            <w:pPr>
              <w:rPr>
                <w:rFonts w:ascii="宋体"/>
                <w:vanish/>
              </w:rPr>
            </w:pPr>
          </w:p>
        </w:tc>
        <w:tc>
          <w:tcPr>
            <w:tcW w:w="0" w:type="auto"/>
            <w:shd w:val="clear" w:color="auto" w:fill="auto"/>
          </w:tcPr>
          <w:p w14:paraId="7E784C3D" w14:textId="77777777" w:rsidR="00A82082" w:rsidRDefault="00A82082">
            <w:pPr>
              <w:rPr>
                <w:rFonts w:ascii="宋体"/>
                <w:vanish/>
              </w:rPr>
            </w:pPr>
          </w:p>
        </w:tc>
        <w:tc>
          <w:tcPr>
            <w:tcW w:w="0" w:type="auto"/>
            <w:shd w:val="clear" w:color="auto" w:fill="auto"/>
          </w:tcPr>
          <w:p w14:paraId="7E784C3E" w14:textId="77777777" w:rsidR="00A82082" w:rsidRDefault="00A82082">
            <w:pPr>
              <w:rPr>
                <w:rFonts w:ascii="宋体"/>
                <w:vanish/>
              </w:rPr>
            </w:pPr>
          </w:p>
        </w:tc>
        <w:tc>
          <w:tcPr>
            <w:tcW w:w="0" w:type="auto"/>
            <w:shd w:val="clear" w:color="auto" w:fill="auto"/>
          </w:tcPr>
          <w:p w14:paraId="7E784C3F" w14:textId="77777777" w:rsidR="00A82082" w:rsidRDefault="00A82082">
            <w:pPr>
              <w:rPr>
                <w:rFonts w:ascii="宋体"/>
                <w:vanish/>
              </w:rPr>
            </w:pPr>
          </w:p>
        </w:tc>
      </w:tr>
      <w:tr w:rsidR="00A82082" w14:paraId="7E784C54" w14:textId="77777777">
        <w:trPr>
          <w:jc w:val="center"/>
          <w:hidden/>
        </w:trPr>
        <w:tc>
          <w:tcPr>
            <w:tcW w:w="0" w:type="auto"/>
            <w:gridSpan w:val="3"/>
            <w:shd w:val="clear" w:color="auto" w:fill="auto"/>
          </w:tcPr>
          <w:p w14:paraId="7E784C41" w14:textId="77777777" w:rsidR="00A82082" w:rsidRDefault="00A82082">
            <w:pPr>
              <w:rPr>
                <w:rFonts w:ascii="宋体"/>
                <w:vanish/>
              </w:rPr>
            </w:pPr>
          </w:p>
        </w:tc>
        <w:tc>
          <w:tcPr>
            <w:tcW w:w="0" w:type="auto"/>
            <w:gridSpan w:val="3"/>
            <w:shd w:val="clear" w:color="auto" w:fill="auto"/>
          </w:tcPr>
          <w:p w14:paraId="7E784C42" w14:textId="77777777" w:rsidR="00A82082" w:rsidRDefault="00A82082">
            <w:pPr>
              <w:rPr>
                <w:rFonts w:ascii="宋体"/>
                <w:vanish/>
              </w:rPr>
            </w:pPr>
          </w:p>
        </w:tc>
        <w:tc>
          <w:tcPr>
            <w:tcW w:w="0" w:type="auto"/>
            <w:gridSpan w:val="3"/>
            <w:shd w:val="clear" w:color="auto" w:fill="auto"/>
          </w:tcPr>
          <w:p w14:paraId="7E784C43" w14:textId="77777777" w:rsidR="00A82082" w:rsidRDefault="00A82082">
            <w:pPr>
              <w:rPr>
                <w:rFonts w:ascii="宋体"/>
                <w:vanish/>
              </w:rPr>
            </w:pPr>
          </w:p>
        </w:tc>
        <w:tc>
          <w:tcPr>
            <w:tcW w:w="0" w:type="auto"/>
            <w:gridSpan w:val="3"/>
            <w:shd w:val="clear" w:color="auto" w:fill="auto"/>
          </w:tcPr>
          <w:p w14:paraId="7E784C44" w14:textId="77777777" w:rsidR="00A82082" w:rsidRDefault="00A82082">
            <w:pPr>
              <w:rPr>
                <w:rFonts w:ascii="宋体"/>
                <w:vanish/>
              </w:rPr>
            </w:pPr>
          </w:p>
        </w:tc>
        <w:tc>
          <w:tcPr>
            <w:tcW w:w="0" w:type="auto"/>
            <w:gridSpan w:val="3"/>
            <w:shd w:val="clear" w:color="auto" w:fill="auto"/>
          </w:tcPr>
          <w:p w14:paraId="7E784C45" w14:textId="77777777" w:rsidR="00A82082" w:rsidRDefault="00A82082">
            <w:pPr>
              <w:rPr>
                <w:rFonts w:ascii="宋体"/>
                <w:vanish/>
              </w:rPr>
            </w:pPr>
          </w:p>
        </w:tc>
        <w:tc>
          <w:tcPr>
            <w:tcW w:w="0" w:type="auto"/>
            <w:gridSpan w:val="3"/>
            <w:shd w:val="clear" w:color="auto" w:fill="auto"/>
          </w:tcPr>
          <w:p w14:paraId="7E784C46" w14:textId="77777777" w:rsidR="00A82082" w:rsidRDefault="00A82082">
            <w:pPr>
              <w:rPr>
                <w:rFonts w:ascii="宋体"/>
                <w:vanish/>
              </w:rPr>
            </w:pPr>
          </w:p>
        </w:tc>
        <w:tc>
          <w:tcPr>
            <w:tcW w:w="0" w:type="auto"/>
            <w:gridSpan w:val="3"/>
            <w:shd w:val="clear" w:color="auto" w:fill="auto"/>
          </w:tcPr>
          <w:p w14:paraId="7E784C47" w14:textId="77777777" w:rsidR="00A82082" w:rsidRDefault="00A82082">
            <w:pPr>
              <w:rPr>
                <w:rFonts w:ascii="宋体"/>
                <w:vanish/>
              </w:rPr>
            </w:pPr>
          </w:p>
        </w:tc>
        <w:tc>
          <w:tcPr>
            <w:tcW w:w="0" w:type="auto"/>
            <w:gridSpan w:val="3"/>
            <w:shd w:val="clear" w:color="auto" w:fill="auto"/>
          </w:tcPr>
          <w:p w14:paraId="7E784C48" w14:textId="77777777" w:rsidR="00A82082" w:rsidRDefault="00A82082">
            <w:pPr>
              <w:rPr>
                <w:rFonts w:ascii="宋体"/>
                <w:vanish/>
              </w:rPr>
            </w:pPr>
          </w:p>
        </w:tc>
        <w:tc>
          <w:tcPr>
            <w:tcW w:w="0" w:type="auto"/>
            <w:gridSpan w:val="3"/>
            <w:shd w:val="clear" w:color="auto" w:fill="auto"/>
          </w:tcPr>
          <w:p w14:paraId="7E784C49" w14:textId="77777777" w:rsidR="00A82082" w:rsidRDefault="00A82082">
            <w:pPr>
              <w:rPr>
                <w:rFonts w:ascii="宋体"/>
                <w:vanish/>
              </w:rPr>
            </w:pPr>
          </w:p>
        </w:tc>
        <w:tc>
          <w:tcPr>
            <w:tcW w:w="0" w:type="auto"/>
            <w:gridSpan w:val="3"/>
            <w:shd w:val="clear" w:color="auto" w:fill="auto"/>
          </w:tcPr>
          <w:p w14:paraId="7E784C4A" w14:textId="77777777" w:rsidR="00A82082" w:rsidRDefault="00A82082">
            <w:pPr>
              <w:rPr>
                <w:rFonts w:ascii="宋体"/>
                <w:vanish/>
              </w:rPr>
            </w:pPr>
          </w:p>
        </w:tc>
        <w:tc>
          <w:tcPr>
            <w:tcW w:w="0" w:type="auto"/>
            <w:gridSpan w:val="3"/>
            <w:shd w:val="clear" w:color="auto" w:fill="auto"/>
          </w:tcPr>
          <w:p w14:paraId="7E784C4B" w14:textId="77777777" w:rsidR="00A82082" w:rsidRDefault="00A82082">
            <w:pPr>
              <w:rPr>
                <w:rFonts w:ascii="宋体"/>
                <w:vanish/>
              </w:rPr>
            </w:pPr>
          </w:p>
        </w:tc>
        <w:tc>
          <w:tcPr>
            <w:tcW w:w="0" w:type="auto"/>
            <w:gridSpan w:val="3"/>
            <w:shd w:val="clear" w:color="auto" w:fill="auto"/>
          </w:tcPr>
          <w:p w14:paraId="7E784C4C" w14:textId="77777777" w:rsidR="00A82082" w:rsidRDefault="00A82082">
            <w:pPr>
              <w:rPr>
                <w:rFonts w:ascii="宋体"/>
                <w:vanish/>
              </w:rPr>
            </w:pPr>
          </w:p>
        </w:tc>
        <w:tc>
          <w:tcPr>
            <w:tcW w:w="0" w:type="auto"/>
            <w:gridSpan w:val="3"/>
            <w:shd w:val="clear" w:color="auto" w:fill="auto"/>
          </w:tcPr>
          <w:p w14:paraId="7E784C4D" w14:textId="77777777" w:rsidR="00A82082" w:rsidRDefault="00A82082">
            <w:pPr>
              <w:rPr>
                <w:rFonts w:ascii="宋体"/>
                <w:vanish/>
              </w:rPr>
            </w:pPr>
          </w:p>
        </w:tc>
        <w:tc>
          <w:tcPr>
            <w:tcW w:w="0" w:type="auto"/>
            <w:gridSpan w:val="3"/>
            <w:shd w:val="clear" w:color="auto" w:fill="auto"/>
          </w:tcPr>
          <w:p w14:paraId="7E784C4E" w14:textId="77777777" w:rsidR="00A82082" w:rsidRDefault="00A82082">
            <w:pPr>
              <w:rPr>
                <w:rFonts w:ascii="宋体"/>
                <w:vanish/>
              </w:rPr>
            </w:pPr>
          </w:p>
        </w:tc>
        <w:tc>
          <w:tcPr>
            <w:tcW w:w="0" w:type="auto"/>
            <w:gridSpan w:val="3"/>
            <w:shd w:val="clear" w:color="auto" w:fill="auto"/>
          </w:tcPr>
          <w:p w14:paraId="7E784C4F" w14:textId="77777777" w:rsidR="00A82082" w:rsidRDefault="00A82082">
            <w:pPr>
              <w:rPr>
                <w:rFonts w:ascii="宋体"/>
                <w:vanish/>
              </w:rPr>
            </w:pPr>
          </w:p>
        </w:tc>
        <w:tc>
          <w:tcPr>
            <w:tcW w:w="0" w:type="auto"/>
            <w:gridSpan w:val="3"/>
            <w:shd w:val="clear" w:color="auto" w:fill="auto"/>
          </w:tcPr>
          <w:p w14:paraId="7E784C50" w14:textId="77777777" w:rsidR="00A82082" w:rsidRDefault="00A82082">
            <w:pPr>
              <w:rPr>
                <w:rFonts w:ascii="宋体"/>
                <w:vanish/>
              </w:rPr>
            </w:pPr>
          </w:p>
        </w:tc>
        <w:tc>
          <w:tcPr>
            <w:tcW w:w="0" w:type="auto"/>
            <w:shd w:val="clear" w:color="auto" w:fill="auto"/>
          </w:tcPr>
          <w:p w14:paraId="7E784C51" w14:textId="77777777" w:rsidR="00A82082" w:rsidRDefault="00A82082">
            <w:pPr>
              <w:rPr>
                <w:rFonts w:ascii="宋体"/>
                <w:vanish/>
              </w:rPr>
            </w:pPr>
          </w:p>
        </w:tc>
        <w:tc>
          <w:tcPr>
            <w:tcW w:w="0" w:type="auto"/>
            <w:shd w:val="clear" w:color="auto" w:fill="auto"/>
          </w:tcPr>
          <w:p w14:paraId="7E784C52" w14:textId="77777777" w:rsidR="00A82082" w:rsidRDefault="00A82082">
            <w:pPr>
              <w:rPr>
                <w:rFonts w:ascii="宋体"/>
                <w:vanish/>
              </w:rPr>
            </w:pPr>
          </w:p>
        </w:tc>
        <w:tc>
          <w:tcPr>
            <w:tcW w:w="0" w:type="auto"/>
            <w:shd w:val="clear" w:color="auto" w:fill="auto"/>
          </w:tcPr>
          <w:p w14:paraId="7E784C53" w14:textId="77777777" w:rsidR="00A82082" w:rsidRDefault="00A82082">
            <w:pPr>
              <w:rPr>
                <w:rFonts w:ascii="宋体"/>
                <w:vanish/>
              </w:rPr>
            </w:pPr>
          </w:p>
        </w:tc>
      </w:tr>
      <w:tr w:rsidR="00A82082" w14:paraId="7E784C68" w14:textId="77777777">
        <w:trPr>
          <w:jc w:val="center"/>
          <w:hidden/>
        </w:trPr>
        <w:tc>
          <w:tcPr>
            <w:tcW w:w="0" w:type="auto"/>
            <w:gridSpan w:val="3"/>
            <w:shd w:val="clear" w:color="auto" w:fill="auto"/>
          </w:tcPr>
          <w:p w14:paraId="7E784C55" w14:textId="77777777" w:rsidR="00A82082" w:rsidRDefault="00A82082">
            <w:pPr>
              <w:rPr>
                <w:rFonts w:ascii="宋体"/>
                <w:vanish/>
              </w:rPr>
            </w:pPr>
          </w:p>
        </w:tc>
        <w:tc>
          <w:tcPr>
            <w:tcW w:w="0" w:type="auto"/>
            <w:gridSpan w:val="3"/>
            <w:shd w:val="clear" w:color="auto" w:fill="auto"/>
          </w:tcPr>
          <w:p w14:paraId="7E784C56" w14:textId="77777777" w:rsidR="00A82082" w:rsidRDefault="00A82082">
            <w:pPr>
              <w:rPr>
                <w:rFonts w:ascii="宋体"/>
                <w:vanish/>
              </w:rPr>
            </w:pPr>
          </w:p>
        </w:tc>
        <w:tc>
          <w:tcPr>
            <w:tcW w:w="0" w:type="auto"/>
            <w:gridSpan w:val="3"/>
            <w:shd w:val="clear" w:color="auto" w:fill="auto"/>
          </w:tcPr>
          <w:p w14:paraId="7E784C57" w14:textId="77777777" w:rsidR="00A82082" w:rsidRDefault="00A82082">
            <w:pPr>
              <w:rPr>
                <w:rFonts w:ascii="宋体"/>
                <w:vanish/>
              </w:rPr>
            </w:pPr>
          </w:p>
        </w:tc>
        <w:tc>
          <w:tcPr>
            <w:tcW w:w="0" w:type="auto"/>
            <w:gridSpan w:val="3"/>
            <w:shd w:val="clear" w:color="auto" w:fill="auto"/>
          </w:tcPr>
          <w:p w14:paraId="7E784C58" w14:textId="77777777" w:rsidR="00A82082" w:rsidRDefault="00A82082">
            <w:pPr>
              <w:rPr>
                <w:rFonts w:ascii="宋体"/>
                <w:vanish/>
              </w:rPr>
            </w:pPr>
          </w:p>
        </w:tc>
        <w:tc>
          <w:tcPr>
            <w:tcW w:w="0" w:type="auto"/>
            <w:gridSpan w:val="3"/>
            <w:shd w:val="clear" w:color="auto" w:fill="auto"/>
          </w:tcPr>
          <w:p w14:paraId="7E784C59" w14:textId="77777777" w:rsidR="00A82082" w:rsidRDefault="00A82082">
            <w:pPr>
              <w:rPr>
                <w:rFonts w:ascii="宋体"/>
                <w:vanish/>
              </w:rPr>
            </w:pPr>
          </w:p>
        </w:tc>
        <w:tc>
          <w:tcPr>
            <w:tcW w:w="0" w:type="auto"/>
            <w:gridSpan w:val="3"/>
            <w:shd w:val="clear" w:color="auto" w:fill="auto"/>
          </w:tcPr>
          <w:p w14:paraId="7E784C5A" w14:textId="77777777" w:rsidR="00A82082" w:rsidRDefault="00A82082">
            <w:pPr>
              <w:rPr>
                <w:rFonts w:ascii="宋体"/>
                <w:vanish/>
              </w:rPr>
            </w:pPr>
          </w:p>
        </w:tc>
        <w:tc>
          <w:tcPr>
            <w:tcW w:w="0" w:type="auto"/>
            <w:gridSpan w:val="3"/>
            <w:shd w:val="clear" w:color="auto" w:fill="auto"/>
          </w:tcPr>
          <w:p w14:paraId="7E784C5B" w14:textId="77777777" w:rsidR="00A82082" w:rsidRDefault="00A82082">
            <w:pPr>
              <w:rPr>
                <w:rFonts w:ascii="宋体"/>
                <w:vanish/>
              </w:rPr>
            </w:pPr>
          </w:p>
        </w:tc>
        <w:tc>
          <w:tcPr>
            <w:tcW w:w="0" w:type="auto"/>
            <w:gridSpan w:val="3"/>
            <w:shd w:val="clear" w:color="auto" w:fill="auto"/>
          </w:tcPr>
          <w:p w14:paraId="7E784C5C" w14:textId="77777777" w:rsidR="00A82082" w:rsidRDefault="00A82082">
            <w:pPr>
              <w:rPr>
                <w:rFonts w:ascii="宋体"/>
                <w:vanish/>
              </w:rPr>
            </w:pPr>
          </w:p>
        </w:tc>
        <w:tc>
          <w:tcPr>
            <w:tcW w:w="0" w:type="auto"/>
            <w:gridSpan w:val="3"/>
            <w:shd w:val="clear" w:color="auto" w:fill="auto"/>
          </w:tcPr>
          <w:p w14:paraId="7E784C5D" w14:textId="77777777" w:rsidR="00A82082" w:rsidRDefault="00A82082">
            <w:pPr>
              <w:rPr>
                <w:rFonts w:ascii="宋体"/>
                <w:vanish/>
              </w:rPr>
            </w:pPr>
          </w:p>
        </w:tc>
        <w:tc>
          <w:tcPr>
            <w:tcW w:w="0" w:type="auto"/>
            <w:gridSpan w:val="3"/>
            <w:shd w:val="clear" w:color="auto" w:fill="auto"/>
          </w:tcPr>
          <w:p w14:paraId="7E784C5E" w14:textId="77777777" w:rsidR="00A82082" w:rsidRDefault="00A82082">
            <w:pPr>
              <w:rPr>
                <w:rFonts w:ascii="宋体"/>
                <w:vanish/>
              </w:rPr>
            </w:pPr>
          </w:p>
        </w:tc>
        <w:tc>
          <w:tcPr>
            <w:tcW w:w="0" w:type="auto"/>
            <w:gridSpan w:val="3"/>
            <w:shd w:val="clear" w:color="auto" w:fill="auto"/>
          </w:tcPr>
          <w:p w14:paraId="7E784C5F" w14:textId="77777777" w:rsidR="00A82082" w:rsidRDefault="00A82082">
            <w:pPr>
              <w:rPr>
                <w:rFonts w:ascii="宋体"/>
                <w:vanish/>
              </w:rPr>
            </w:pPr>
          </w:p>
        </w:tc>
        <w:tc>
          <w:tcPr>
            <w:tcW w:w="0" w:type="auto"/>
            <w:gridSpan w:val="3"/>
            <w:shd w:val="clear" w:color="auto" w:fill="auto"/>
          </w:tcPr>
          <w:p w14:paraId="7E784C60" w14:textId="77777777" w:rsidR="00A82082" w:rsidRDefault="00A82082">
            <w:pPr>
              <w:rPr>
                <w:rFonts w:ascii="宋体"/>
                <w:vanish/>
              </w:rPr>
            </w:pPr>
          </w:p>
        </w:tc>
        <w:tc>
          <w:tcPr>
            <w:tcW w:w="0" w:type="auto"/>
            <w:gridSpan w:val="3"/>
            <w:shd w:val="clear" w:color="auto" w:fill="auto"/>
          </w:tcPr>
          <w:p w14:paraId="7E784C61" w14:textId="77777777" w:rsidR="00A82082" w:rsidRDefault="00A82082">
            <w:pPr>
              <w:rPr>
                <w:rFonts w:ascii="宋体"/>
                <w:vanish/>
              </w:rPr>
            </w:pPr>
          </w:p>
        </w:tc>
        <w:tc>
          <w:tcPr>
            <w:tcW w:w="0" w:type="auto"/>
            <w:gridSpan w:val="3"/>
            <w:shd w:val="clear" w:color="auto" w:fill="auto"/>
          </w:tcPr>
          <w:p w14:paraId="7E784C62" w14:textId="77777777" w:rsidR="00A82082" w:rsidRDefault="00A82082">
            <w:pPr>
              <w:rPr>
                <w:rFonts w:ascii="宋体"/>
                <w:vanish/>
              </w:rPr>
            </w:pPr>
          </w:p>
        </w:tc>
        <w:tc>
          <w:tcPr>
            <w:tcW w:w="0" w:type="auto"/>
            <w:gridSpan w:val="3"/>
            <w:shd w:val="clear" w:color="auto" w:fill="auto"/>
          </w:tcPr>
          <w:p w14:paraId="7E784C63" w14:textId="77777777" w:rsidR="00A82082" w:rsidRDefault="00A82082">
            <w:pPr>
              <w:rPr>
                <w:rFonts w:ascii="宋体"/>
                <w:vanish/>
              </w:rPr>
            </w:pPr>
          </w:p>
        </w:tc>
        <w:tc>
          <w:tcPr>
            <w:tcW w:w="0" w:type="auto"/>
            <w:gridSpan w:val="3"/>
            <w:shd w:val="clear" w:color="auto" w:fill="auto"/>
          </w:tcPr>
          <w:p w14:paraId="7E784C64" w14:textId="77777777" w:rsidR="00A82082" w:rsidRDefault="00A82082">
            <w:pPr>
              <w:rPr>
                <w:rFonts w:ascii="宋体"/>
                <w:vanish/>
              </w:rPr>
            </w:pPr>
          </w:p>
        </w:tc>
        <w:tc>
          <w:tcPr>
            <w:tcW w:w="0" w:type="auto"/>
            <w:shd w:val="clear" w:color="auto" w:fill="auto"/>
          </w:tcPr>
          <w:p w14:paraId="7E784C65" w14:textId="77777777" w:rsidR="00A82082" w:rsidRDefault="00A82082">
            <w:pPr>
              <w:rPr>
                <w:rFonts w:ascii="宋体"/>
                <w:vanish/>
              </w:rPr>
            </w:pPr>
          </w:p>
        </w:tc>
        <w:tc>
          <w:tcPr>
            <w:tcW w:w="0" w:type="auto"/>
            <w:shd w:val="clear" w:color="auto" w:fill="auto"/>
          </w:tcPr>
          <w:p w14:paraId="7E784C66" w14:textId="77777777" w:rsidR="00A82082" w:rsidRDefault="00A82082">
            <w:pPr>
              <w:rPr>
                <w:rFonts w:ascii="宋体"/>
                <w:vanish/>
              </w:rPr>
            </w:pPr>
          </w:p>
        </w:tc>
        <w:tc>
          <w:tcPr>
            <w:tcW w:w="0" w:type="auto"/>
            <w:shd w:val="clear" w:color="auto" w:fill="auto"/>
          </w:tcPr>
          <w:p w14:paraId="7E784C67" w14:textId="77777777" w:rsidR="00A82082" w:rsidRDefault="00A82082">
            <w:pPr>
              <w:rPr>
                <w:rFonts w:ascii="宋体"/>
                <w:vanish/>
              </w:rPr>
            </w:pPr>
          </w:p>
        </w:tc>
      </w:tr>
      <w:tr w:rsidR="00A82082" w14:paraId="7E784C7C" w14:textId="77777777">
        <w:trPr>
          <w:jc w:val="center"/>
          <w:hidden/>
        </w:trPr>
        <w:tc>
          <w:tcPr>
            <w:tcW w:w="0" w:type="auto"/>
            <w:gridSpan w:val="3"/>
            <w:shd w:val="clear" w:color="auto" w:fill="auto"/>
          </w:tcPr>
          <w:p w14:paraId="7E784C69" w14:textId="77777777" w:rsidR="00A82082" w:rsidRDefault="00A82082">
            <w:pPr>
              <w:rPr>
                <w:rFonts w:ascii="宋体"/>
                <w:vanish/>
              </w:rPr>
            </w:pPr>
          </w:p>
        </w:tc>
        <w:tc>
          <w:tcPr>
            <w:tcW w:w="0" w:type="auto"/>
            <w:gridSpan w:val="3"/>
            <w:shd w:val="clear" w:color="auto" w:fill="auto"/>
          </w:tcPr>
          <w:p w14:paraId="7E784C6A" w14:textId="77777777" w:rsidR="00A82082" w:rsidRDefault="00A82082">
            <w:pPr>
              <w:rPr>
                <w:rFonts w:ascii="宋体"/>
                <w:vanish/>
              </w:rPr>
            </w:pPr>
          </w:p>
        </w:tc>
        <w:tc>
          <w:tcPr>
            <w:tcW w:w="0" w:type="auto"/>
            <w:gridSpan w:val="3"/>
            <w:shd w:val="clear" w:color="auto" w:fill="auto"/>
          </w:tcPr>
          <w:p w14:paraId="7E784C6B" w14:textId="77777777" w:rsidR="00A82082" w:rsidRDefault="00A82082">
            <w:pPr>
              <w:rPr>
                <w:rFonts w:ascii="宋体"/>
                <w:vanish/>
              </w:rPr>
            </w:pPr>
          </w:p>
        </w:tc>
        <w:tc>
          <w:tcPr>
            <w:tcW w:w="0" w:type="auto"/>
            <w:gridSpan w:val="3"/>
            <w:shd w:val="clear" w:color="auto" w:fill="auto"/>
          </w:tcPr>
          <w:p w14:paraId="7E784C6C" w14:textId="77777777" w:rsidR="00A82082" w:rsidRDefault="00A82082">
            <w:pPr>
              <w:rPr>
                <w:rFonts w:ascii="宋体"/>
                <w:vanish/>
              </w:rPr>
            </w:pPr>
          </w:p>
        </w:tc>
        <w:tc>
          <w:tcPr>
            <w:tcW w:w="0" w:type="auto"/>
            <w:gridSpan w:val="3"/>
            <w:shd w:val="clear" w:color="auto" w:fill="auto"/>
          </w:tcPr>
          <w:p w14:paraId="7E784C6D" w14:textId="77777777" w:rsidR="00A82082" w:rsidRDefault="00A82082">
            <w:pPr>
              <w:rPr>
                <w:rFonts w:ascii="宋体"/>
                <w:vanish/>
              </w:rPr>
            </w:pPr>
          </w:p>
        </w:tc>
        <w:tc>
          <w:tcPr>
            <w:tcW w:w="0" w:type="auto"/>
            <w:gridSpan w:val="3"/>
            <w:shd w:val="clear" w:color="auto" w:fill="auto"/>
          </w:tcPr>
          <w:p w14:paraId="7E784C6E" w14:textId="77777777" w:rsidR="00A82082" w:rsidRDefault="00A82082">
            <w:pPr>
              <w:rPr>
                <w:rFonts w:ascii="宋体"/>
                <w:vanish/>
              </w:rPr>
            </w:pPr>
          </w:p>
        </w:tc>
        <w:tc>
          <w:tcPr>
            <w:tcW w:w="0" w:type="auto"/>
            <w:gridSpan w:val="3"/>
            <w:shd w:val="clear" w:color="auto" w:fill="auto"/>
          </w:tcPr>
          <w:p w14:paraId="7E784C6F" w14:textId="77777777" w:rsidR="00A82082" w:rsidRDefault="00A82082">
            <w:pPr>
              <w:rPr>
                <w:rFonts w:ascii="宋体"/>
                <w:vanish/>
              </w:rPr>
            </w:pPr>
          </w:p>
        </w:tc>
        <w:tc>
          <w:tcPr>
            <w:tcW w:w="0" w:type="auto"/>
            <w:gridSpan w:val="3"/>
            <w:shd w:val="clear" w:color="auto" w:fill="auto"/>
          </w:tcPr>
          <w:p w14:paraId="7E784C70" w14:textId="77777777" w:rsidR="00A82082" w:rsidRDefault="00A82082">
            <w:pPr>
              <w:rPr>
                <w:rFonts w:ascii="宋体"/>
                <w:vanish/>
              </w:rPr>
            </w:pPr>
          </w:p>
        </w:tc>
        <w:tc>
          <w:tcPr>
            <w:tcW w:w="0" w:type="auto"/>
            <w:gridSpan w:val="3"/>
            <w:shd w:val="clear" w:color="auto" w:fill="auto"/>
          </w:tcPr>
          <w:p w14:paraId="7E784C71" w14:textId="77777777" w:rsidR="00A82082" w:rsidRDefault="00A82082">
            <w:pPr>
              <w:rPr>
                <w:rFonts w:ascii="宋体"/>
                <w:vanish/>
              </w:rPr>
            </w:pPr>
          </w:p>
        </w:tc>
        <w:tc>
          <w:tcPr>
            <w:tcW w:w="0" w:type="auto"/>
            <w:gridSpan w:val="3"/>
            <w:shd w:val="clear" w:color="auto" w:fill="auto"/>
          </w:tcPr>
          <w:p w14:paraId="7E784C72" w14:textId="77777777" w:rsidR="00A82082" w:rsidRDefault="00A82082">
            <w:pPr>
              <w:rPr>
                <w:rFonts w:ascii="宋体"/>
                <w:vanish/>
              </w:rPr>
            </w:pPr>
          </w:p>
        </w:tc>
        <w:tc>
          <w:tcPr>
            <w:tcW w:w="0" w:type="auto"/>
            <w:gridSpan w:val="3"/>
            <w:shd w:val="clear" w:color="auto" w:fill="auto"/>
          </w:tcPr>
          <w:p w14:paraId="7E784C73" w14:textId="77777777" w:rsidR="00A82082" w:rsidRDefault="00A82082">
            <w:pPr>
              <w:rPr>
                <w:rFonts w:ascii="宋体"/>
                <w:vanish/>
              </w:rPr>
            </w:pPr>
          </w:p>
        </w:tc>
        <w:tc>
          <w:tcPr>
            <w:tcW w:w="0" w:type="auto"/>
            <w:gridSpan w:val="3"/>
            <w:shd w:val="clear" w:color="auto" w:fill="auto"/>
          </w:tcPr>
          <w:p w14:paraId="7E784C74" w14:textId="77777777" w:rsidR="00A82082" w:rsidRDefault="00A82082">
            <w:pPr>
              <w:rPr>
                <w:rFonts w:ascii="宋体"/>
                <w:vanish/>
              </w:rPr>
            </w:pPr>
          </w:p>
        </w:tc>
        <w:tc>
          <w:tcPr>
            <w:tcW w:w="0" w:type="auto"/>
            <w:gridSpan w:val="3"/>
            <w:shd w:val="clear" w:color="auto" w:fill="auto"/>
          </w:tcPr>
          <w:p w14:paraId="7E784C75" w14:textId="77777777" w:rsidR="00A82082" w:rsidRDefault="00A82082">
            <w:pPr>
              <w:rPr>
                <w:rFonts w:ascii="宋体"/>
                <w:vanish/>
              </w:rPr>
            </w:pPr>
          </w:p>
        </w:tc>
        <w:tc>
          <w:tcPr>
            <w:tcW w:w="0" w:type="auto"/>
            <w:gridSpan w:val="3"/>
            <w:shd w:val="clear" w:color="auto" w:fill="auto"/>
          </w:tcPr>
          <w:p w14:paraId="7E784C76" w14:textId="77777777" w:rsidR="00A82082" w:rsidRDefault="00A82082">
            <w:pPr>
              <w:rPr>
                <w:rFonts w:ascii="宋体"/>
                <w:vanish/>
              </w:rPr>
            </w:pPr>
          </w:p>
        </w:tc>
        <w:tc>
          <w:tcPr>
            <w:tcW w:w="0" w:type="auto"/>
            <w:gridSpan w:val="3"/>
            <w:shd w:val="clear" w:color="auto" w:fill="auto"/>
          </w:tcPr>
          <w:p w14:paraId="7E784C77" w14:textId="77777777" w:rsidR="00A82082" w:rsidRDefault="00A82082">
            <w:pPr>
              <w:rPr>
                <w:rFonts w:ascii="宋体"/>
                <w:vanish/>
              </w:rPr>
            </w:pPr>
          </w:p>
        </w:tc>
        <w:tc>
          <w:tcPr>
            <w:tcW w:w="0" w:type="auto"/>
            <w:gridSpan w:val="3"/>
            <w:shd w:val="clear" w:color="auto" w:fill="auto"/>
          </w:tcPr>
          <w:p w14:paraId="7E784C78" w14:textId="77777777" w:rsidR="00A82082" w:rsidRDefault="00A82082">
            <w:pPr>
              <w:rPr>
                <w:rFonts w:ascii="宋体"/>
                <w:vanish/>
              </w:rPr>
            </w:pPr>
          </w:p>
        </w:tc>
        <w:tc>
          <w:tcPr>
            <w:tcW w:w="0" w:type="auto"/>
            <w:shd w:val="clear" w:color="auto" w:fill="auto"/>
          </w:tcPr>
          <w:p w14:paraId="7E784C79" w14:textId="77777777" w:rsidR="00A82082" w:rsidRDefault="00A82082">
            <w:pPr>
              <w:rPr>
                <w:rFonts w:ascii="宋体"/>
                <w:vanish/>
              </w:rPr>
            </w:pPr>
          </w:p>
        </w:tc>
        <w:tc>
          <w:tcPr>
            <w:tcW w:w="0" w:type="auto"/>
            <w:shd w:val="clear" w:color="auto" w:fill="auto"/>
          </w:tcPr>
          <w:p w14:paraId="7E784C7A" w14:textId="77777777" w:rsidR="00A82082" w:rsidRDefault="00A82082">
            <w:pPr>
              <w:rPr>
                <w:rFonts w:ascii="宋体"/>
                <w:vanish/>
              </w:rPr>
            </w:pPr>
          </w:p>
        </w:tc>
        <w:tc>
          <w:tcPr>
            <w:tcW w:w="0" w:type="auto"/>
            <w:shd w:val="clear" w:color="auto" w:fill="auto"/>
          </w:tcPr>
          <w:p w14:paraId="7E784C7B" w14:textId="77777777" w:rsidR="00A82082" w:rsidRDefault="00A82082">
            <w:pPr>
              <w:rPr>
                <w:rFonts w:ascii="宋体"/>
                <w:vanish/>
              </w:rPr>
            </w:pPr>
          </w:p>
        </w:tc>
      </w:tr>
      <w:tr w:rsidR="00A82082" w14:paraId="7E784C90" w14:textId="77777777">
        <w:trPr>
          <w:jc w:val="center"/>
          <w:hidden/>
        </w:trPr>
        <w:tc>
          <w:tcPr>
            <w:tcW w:w="0" w:type="auto"/>
            <w:gridSpan w:val="3"/>
            <w:shd w:val="clear" w:color="auto" w:fill="auto"/>
          </w:tcPr>
          <w:p w14:paraId="7E784C7D" w14:textId="77777777" w:rsidR="00A82082" w:rsidRDefault="00A82082">
            <w:pPr>
              <w:rPr>
                <w:rFonts w:ascii="宋体"/>
                <w:vanish/>
              </w:rPr>
            </w:pPr>
          </w:p>
        </w:tc>
        <w:tc>
          <w:tcPr>
            <w:tcW w:w="0" w:type="auto"/>
            <w:gridSpan w:val="3"/>
            <w:shd w:val="clear" w:color="auto" w:fill="auto"/>
          </w:tcPr>
          <w:p w14:paraId="7E784C7E" w14:textId="77777777" w:rsidR="00A82082" w:rsidRDefault="00A82082">
            <w:pPr>
              <w:rPr>
                <w:rFonts w:ascii="宋体"/>
                <w:vanish/>
              </w:rPr>
            </w:pPr>
          </w:p>
        </w:tc>
        <w:tc>
          <w:tcPr>
            <w:tcW w:w="0" w:type="auto"/>
            <w:gridSpan w:val="3"/>
            <w:shd w:val="clear" w:color="auto" w:fill="auto"/>
          </w:tcPr>
          <w:p w14:paraId="7E784C7F" w14:textId="77777777" w:rsidR="00A82082" w:rsidRDefault="00A82082">
            <w:pPr>
              <w:rPr>
                <w:rFonts w:ascii="宋体"/>
                <w:vanish/>
              </w:rPr>
            </w:pPr>
          </w:p>
        </w:tc>
        <w:tc>
          <w:tcPr>
            <w:tcW w:w="0" w:type="auto"/>
            <w:gridSpan w:val="3"/>
            <w:shd w:val="clear" w:color="auto" w:fill="auto"/>
          </w:tcPr>
          <w:p w14:paraId="7E784C80" w14:textId="77777777" w:rsidR="00A82082" w:rsidRDefault="00A82082">
            <w:pPr>
              <w:rPr>
                <w:rFonts w:ascii="宋体"/>
                <w:vanish/>
              </w:rPr>
            </w:pPr>
          </w:p>
        </w:tc>
        <w:tc>
          <w:tcPr>
            <w:tcW w:w="0" w:type="auto"/>
            <w:gridSpan w:val="3"/>
            <w:shd w:val="clear" w:color="auto" w:fill="auto"/>
          </w:tcPr>
          <w:p w14:paraId="7E784C81" w14:textId="77777777" w:rsidR="00A82082" w:rsidRDefault="00A82082">
            <w:pPr>
              <w:rPr>
                <w:rFonts w:ascii="宋体"/>
                <w:vanish/>
              </w:rPr>
            </w:pPr>
          </w:p>
        </w:tc>
        <w:tc>
          <w:tcPr>
            <w:tcW w:w="0" w:type="auto"/>
            <w:gridSpan w:val="3"/>
            <w:shd w:val="clear" w:color="auto" w:fill="auto"/>
          </w:tcPr>
          <w:p w14:paraId="7E784C82" w14:textId="77777777" w:rsidR="00A82082" w:rsidRDefault="00A82082">
            <w:pPr>
              <w:rPr>
                <w:rFonts w:ascii="宋体"/>
                <w:vanish/>
              </w:rPr>
            </w:pPr>
          </w:p>
        </w:tc>
        <w:tc>
          <w:tcPr>
            <w:tcW w:w="0" w:type="auto"/>
            <w:gridSpan w:val="3"/>
            <w:shd w:val="clear" w:color="auto" w:fill="auto"/>
          </w:tcPr>
          <w:p w14:paraId="7E784C83" w14:textId="77777777" w:rsidR="00A82082" w:rsidRDefault="00A82082">
            <w:pPr>
              <w:rPr>
                <w:rFonts w:ascii="宋体"/>
                <w:vanish/>
              </w:rPr>
            </w:pPr>
          </w:p>
        </w:tc>
        <w:tc>
          <w:tcPr>
            <w:tcW w:w="0" w:type="auto"/>
            <w:gridSpan w:val="3"/>
            <w:shd w:val="clear" w:color="auto" w:fill="auto"/>
          </w:tcPr>
          <w:p w14:paraId="7E784C84" w14:textId="77777777" w:rsidR="00A82082" w:rsidRDefault="00A82082">
            <w:pPr>
              <w:rPr>
                <w:rFonts w:ascii="宋体"/>
                <w:vanish/>
              </w:rPr>
            </w:pPr>
          </w:p>
        </w:tc>
        <w:tc>
          <w:tcPr>
            <w:tcW w:w="0" w:type="auto"/>
            <w:gridSpan w:val="3"/>
            <w:shd w:val="clear" w:color="auto" w:fill="auto"/>
          </w:tcPr>
          <w:p w14:paraId="7E784C85" w14:textId="77777777" w:rsidR="00A82082" w:rsidRDefault="00A82082">
            <w:pPr>
              <w:rPr>
                <w:rFonts w:ascii="宋体"/>
                <w:vanish/>
              </w:rPr>
            </w:pPr>
          </w:p>
        </w:tc>
        <w:tc>
          <w:tcPr>
            <w:tcW w:w="0" w:type="auto"/>
            <w:gridSpan w:val="3"/>
            <w:shd w:val="clear" w:color="auto" w:fill="auto"/>
          </w:tcPr>
          <w:p w14:paraId="7E784C86" w14:textId="77777777" w:rsidR="00A82082" w:rsidRDefault="00A82082">
            <w:pPr>
              <w:rPr>
                <w:rFonts w:ascii="宋体"/>
                <w:vanish/>
              </w:rPr>
            </w:pPr>
          </w:p>
        </w:tc>
        <w:tc>
          <w:tcPr>
            <w:tcW w:w="0" w:type="auto"/>
            <w:gridSpan w:val="3"/>
            <w:shd w:val="clear" w:color="auto" w:fill="auto"/>
          </w:tcPr>
          <w:p w14:paraId="7E784C87" w14:textId="77777777" w:rsidR="00A82082" w:rsidRDefault="00A82082">
            <w:pPr>
              <w:rPr>
                <w:rFonts w:ascii="宋体"/>
                <w:vanish/>
              </w:rPr>
            </w:pPr>
          </w:p>
        </w:tc>
        <w:tc>
          <w:tcPr>
            <w:tcW w:w="0" w:type="auto"/>
            <w:gridSpan w:val="3"/>
            <w:shd w:val="clear" w:color="auto" w:fill="auto"/>
          </w:tcPr>
          <w:p w14:paraId="7E784C88" w14:textId="77777777" w:rsidR="00A82082" w:rsidRDefault="00A82082">
            <w:pPr>
              <w:rPr>
                <w:rFonts w:ascii="宋体"/>
                <w:vanish/>
              </w:rPr>
            </w:pPr>
          </w:p>
        </w:tc>
        <w:tc>
          <w:tcPr>
            <w:tcW w:w="0" w:type="auto"/>
            <w:gridSpan w:val="3"/>
            <w:shd w:val="clear" w:color="auto" w:fill="auto"/>
          </w:tcPr>
          <w:p w14:paraId="7E784C89" w14:textId="77777777" w:rsidR="00A82082" w:rsidRDefault="00A82082">
            <w:pPr>
              <w:rPr>
                <w:rFonts w:ascii="宋体"/>
                <w:vanish/>
              </w:rPr>
            </w:pPr>
          </w:p>
        </w:tc>
        <w:tc>
          <w:tcPr>
            <w:tcW w:w="0" w:type="auto"/>
            <w:gridSpan w:val="3"/>
            <w:shd w:val="clear" w:color="auto" w:fill="auto"/>
          </w:tcPr>
          <w:p w14:paraId="7E784C8A" w14:textId="77777777" w:rsidR="00A82082" w:rsidRDefault="00A82082">
            <w:pPr>
              <w:rPr>
                <w:rFonts w:ascii="宋体"/>
                <w:vanish/>
              </w:rPr>
            </w:pPr>
          </w:p>
        </w:tc>
        <w:tc>
          <w:tcPr>
            <w:tcW w:w="0" w:type="auto"/>
            <w:gridSpan w:val="3"/>
            <w:shd w:val="clear" w:color="auto" w:fill="auto"/>
          </w:tcPr>
          <w:p w14:paraId="7E784C8B" w14:textId="77777777" w:rsidR="00A82082" w:rsidRDefault="00A82082">
            <w:pPr>
              <w:rPr>
                <w:rFonts w:ascii="宋体"/>
                <w:vanish/>
              </w:rPr>
            </w:pPr>
          </w:p>
        </w:tc>
        <w:tc>
          <w:tcPr>
            <w:tcW w:w="0" w:type="auto"/>
            <w:gridSpan w:val="3"/>
            <w:shd w:val="clear" w:color="auto" w:fill="auto"/>
          </w:tcPr>
          <w:p w14:paraId="7E784C8C" w14:textId="77777777" w:rsidR="00A82082" w:rsidRDefault="00A82082">
            <w:pPr>
              <w:rPr>
                <w:rFonts w:ascii="宋体"/>
                <w:vanish/>
              </w:rPr>
            </w:pPr>
          </w:p>
        </w:tc>
        <w:tc>
          <w:tcPr>
            <w:tcW w:w="0" w:type="auto"/>
            <w:shd w:val="clear" w:color="auto" w:fill="auto"/>
          </w:tcPr>
          <w:p w14:paraId="7E784C8D" w14:textId="77777777" w:rsidR="00A82082" w:rsidRDefault="00A82082">
            <w:pPr>
              <w:rPr>
                <w:rFonts w:ascii="宋体"/>
                <w:vanish/>
              </w:rPr>
            </w:pPr>
          </w:p>
        </w:tc>
        <w:tc>
          <w:tcPr>
            <w:tcW w:w="0" w:type="auto"/>
            <w:shd w:val="clear" w:color="auto" w:fill="auto"/>
          </w:tcPr>
          <w:p w14:paraId="7E784C8E" w14:textId="77777777" w:rsidR="00A82082" w:rsidRDefault="00A82082">
            <w:pPr>
              <w:rPr>
                <w:rFonts w:ascii="宋体"/>
                <w:vanish/>
              </w:rPr>
            </w:pPr>
          </w:p>
        </w:tc>
        <w:tc>
          <w:tcPr>
            <w:tcW w:w="0" w:type="auto"/>
            <w:shd w:val="clear" w:color="auto" w:fill="auto"/>
          </w:tcPr>
          <w:p w14:paraId="7E784C8F" w14:textId="77777777" w:rsidR="00A82082" w:rsidRDefault="00A82082">
            <w:pPr>
              <w:rPr>
                <w:rFonts w:ascii="宋体"/>
                <w:vanish/>
              </w:rPr>
            </w:pPr>
          </w:p>
        </w:tc>
      </w:tr>
    </w:tbl>
    <w:p w14:paraId="7E784C91"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4C92" w14:textId="77777777" w:rsidR="00A82082" w:rsidRDefault="00A82082">
      <w:pPr>
        <w:jc w:val="center"/>
      </w:pPr>
    </w:p>
    <w:p w14:paraId="7E784C93" w14:textId="77777777" w:rsidR="00A82082" w:rsidRDefault="00A82082"/>
    <w:p w14:paraId="7E784C94" w14:textId="77777777" w:rsidR="00A82082" w:rsidRDefault="00E946F9">
      <w:pPr>
        <w:jc w:val="center"/>
      </w:pPr>
      <w:r>
        <w:rPr>
          <w:rFonts w:ascii="Times New Roman" w:eastAsia="宋体" w:hAnsi="Times New Roman"/>
          <w:color w:val="000000"/>
          <w:sz w:val="20"/>
          <w:szCs w:val="20"/>
        </w:rPr>
        <w:t>7</w:t>
      </w:r>
    </w:p>
    <w:p w14:paraId="7E784C95" w14:textId="77777777" w:rsidR="00A82082" w:rsidRDefault="00E946F9">
      <w:r>
        <w:pict w14:anchorId="7E78614F">
          <v:rect id="_x0000_i1031" style="width:415.3pt;height:1.5pt" o:hralign="center" o:hrstd="t" o:hr="t" fillcolor="#a0a0a0" stroked="f"/>
        </w:pict>
      </w:r>
    </w:p>
    <w:p w14:paraId="7E784C96" w14:textId="77777777" w:rsidR="00A82082" w:rsidRDefault="00E946F9">
      <w:hyperlink r:id="rId51" w:anchor="i5c815528a95c4409b9043de534639b9a_7" w:history="1">
        <w:r>
          <w:rPr>
            <w:rStyle w:val="a5"/>
            <w:rFonts w:ascii="Times New Roman" w:eastAsia="宋体" w:hAnsi="Times New Roman"/>
            <w:sz w:val="20"/>
            <w:szCs w:val="20"/>
          </w:rPr>
          <w:t>Table of C</w:t>
        </w:r>
      </w:hyperlink>
      <w:hyperlink r:id="rId52" w:anchor="i5c815528a95c4409b9043de534639b9a_7" w:history="1">
        <w:r>
          <w:rPr>
            <w:rStyle w:val="a5"/>
            <w:rFonts w:ascii="Times New Roman" w:eastAsia="宋体" w:hAnsi="Times New Roman"/>
            <w:sz w:val="20"/>
            <w:szCs w:val="20"/>
          </w:rPr>
          <w:t>ontents</w:t>
        </w:r>
      </w:hyperlink>
    </w:p>
    <w:p w14:paraId="7E784C97" w14:textId="77777777" w:rsidR="00A82082" w:rsidRDefault="00E946F9">
      <w:pPr>
        <w:jc w:val="center"/>
      </w:pPr>
      <w:r>
        <w:rPr>
          <w:rFonts w:ascii="Times New Roman" w:eastAsia="宋体" w:hAnsi="Times New Roman"/>
          <w:b/>
          <w:bCs/>
          <w:color w:val="000000"/>
          <w:sz w:val="20"/>
          <w:szCs w:val="20"/>
        </w:rPr>
        <w:t>Walmart Inc.</w:t>
      </w:r>
    </w:p>
    <w:p w14:paraId="7E784C98" w14:textId="77777777" w:rsidR="00A82082" w:rsidRDefault="00E946F9">
      <w:pPr>
        <w:spacing w:before="60"/>
        <w:jc w:val="center"/>
      </w:pPr>
      <w:r>
        <w:rPr>
          <w:rFonts w:ascii="Times New Roman" w:eastAsia="宋体" w:hAnsi="Times New Roman"/>
          <w:b/>
          <w:bCs/>
          <w:color w:val="000000"/>
          <w:sz w:val="20"/>
          <w:szCs w:val="20"/>
        </w:rPr>
        <w:t>Condensed Consolidated Statements of Cash Flows</w:t>
      </w:r>
    </w:p>
    <w:p w14:paraId="7E784C99" w14:textId="77777777" w:rsidR="00A82082" w:rsidRDefault="00E946F9">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39"/>
        <w:gridCol w:w="36"/>
        <w:gridCol w:w="36"/>
        <w:gridCol w:w="36"/>
        <w:gridCol w:w="100"/>
        <w:gridCol w:w="756"/>
        <w:gridCol w:w="36"/>
        <w:gridCol w:w="36"/>
        <w:gridCol w:w="36"/>
        <w:gridCol w:w="36"/>
        <w:gridCol w:w="100"/>
        <w:gridCol w:w="782"/>
        <w:gridCol w:w="36"/>
        <w:gridCol w:w="36"/>
        <w:gridCol w:w="36"/>
      </w:tblGrid>
      <w:tr w:rsidR="00A82082" w14:paraId="7E784CAB" w14:textId="77777777">
        <w:tc>
          <w:tcPr>
            <w:tcW w:w="50" w:type="pct"/>
            <w:shd w:val="clear" w:color="auto" w:fill="auto"/>
          </w:tcPr>
          <w:p w14:paraId="7E784C9A" w14:textId="77777777" w:rsidR="00A82082" w:rsidRDefault="00A82082">
            <w:pPr>
              <w:rPr>
                <w:rFonts w:ascii="宋体"/>
              </w:rPr>
            </w:pPr>
          </w:p>
        </w:tc>
        <w:tc>
          <w:tcPr>
            <w:tcW w:w="3746" w:type="pct"/>
            <w:shd w:val="clear" w:color="auto" w:fill="auto"/>
          </w:tcPr>
          <w:p w14:paraId="7E784C9B" w14:textId="77777777" w:rsidR="00A82082" w:rsidRDefault="00A82082">
            <w:pPr>
              <w:rPr>
                <w:rFonts w:ascii="宋体"/>
              </w:rPr>
            </w:pPr>
          </w:p>
        </w:tc>
        <w:tc>
          <w:tcPr>
            <w:tcW w:w="5" w:type="pct"/>
            <w:shd w:val="clear" w:color="auto" w:fill="auto"/>
          </w:tcPr>
          <w:p w14:paraId="7E784C9C" w14:textId="77777777" w:rsidR="00A82082" w:rsidRDefault="00A82082">
            <w:pPr>
              <w:rPr>
                <w:rFonts w:ascii="宋体"/>
              </w:rPr>
            </w:pPr>
          </w:p>
        </w:tc>
        <w:tc>
          <w:tcPr>
            <w:tcW w:w="5" w:type="pct"/>
            <w:shd w:val="clear" w:color="auto" w:fill="auto"/>
          </w:tcPr>
          <w:p w14:paraId="7E784C9D" w14:textId="77777777" w:rsidR="00A82082" w:rsidRDefault="00A82082">
            <w:pPr>
              <w:rPr>
                <w:rFonts w:ascii="宋体"/>
              </w:rPr>
            </w:pPr>
          </w:p>
        </w:tc>
        <w:tc>
          <w:tcPr>
            <w:tcW w:w="26" w:type="pct"/>
            <w:shd w:val="clear" w:color="auto" w:fill="auto"/>
          </w:tcPr>
          <w:p w14:paraId="7E784C9E" w14:textId="77777777" w:rsidR="00A82082" w:rsidRDefault="00A82082">
            <w:pPr>
              <w:rPr>
                <w:rFonts w:ascii="宋体"/>
              </w:rPr>
            </w:pPr>
          </w:p>
        </w:tc>
        <w:tc>
          <w:tcPr>
            <w:tcW w:w="5" w:type="pct"/>
            <w:shd w:val="clear" w:color="auto" w:fill="auto"/>
          </w:tcPr>
          <w:p w14:paraId="7E784C9F" w14:textId="77777777" w:rsidR="00A82082" w:rsidRDefault="00A82082">
            <w:pPr>
              <w:rPr>
                <w:rFonts w:ascii="宋体"/>
              </w:rPr>
            </w:pPr>
          </w:p>
        </w:tc>
        <w:tc>
          <w:tcPr>
            <w:tcW w:w="50" w:type="pct"/>
            <w:shd w:val="clear" w:color="auto" w:fill="auto"/>
          </w:tcPr>
          <w:p w14:paraId="7E784CA0" w14:textId="77777777" w:rsidR="00A82082" w:rsidRDefault="00A82082">
            <w:pPr>
              <w:rPr>
                <w:rFonts w:ascii="宋体"/>
              </w:rPr>
            </w:pPr>
          </w:p>
        </w:tc>
        <w:tc>
          <w:tcPr>
            <w:tcW w:w="500" w:type="pct"/>
            <w:shd w:val="clear" w:color="auto" w:fill="auto"/>
          </w:tcPr>
          <w:p w14:paraId="7E784CA1" w14:textId="77777777" w:rsidR="00A82082" w:rsidRDefault="00A82082">
            <w:pPr>
              <w:rPr>
                <w:rFonts w:ascii="宋体"/>
              </w:rPr>
            </w:pPr>
          </w:p>
        </w:tc>
        <w:tc>
          <w:tcPr>
            <w:tcW w:w="5" w:type="pct"/>
            <w:shd w:val="clear" w:color="auto" w:fill="auto"/>
          </w:tcPr>
          <w:p w14:paraId="7E784CA2" w14:textId="77777777" w:rsidR="00A82082" w:rsidRDefault="00A82082">
            <w:pPr>
              <w:rPr>
                <w:rFonts w:ascii="宋体"/>
              </w:rPr>
            </w:pPr>
          </w:p>
        </w:tc>
        <w:tc>
          <w:tcPr>
            <w:tcW w:w="5" w:type="pct"/>
            <w:shd w:val="clear" w:color="auto" w:fill="auto"/>
          </w:tcPr>
          <w:p w14:paraId="7E784CA3" w14:textId="77777777" w:rsidR="00A82082" w:rsidRDefault="00A82082">
            <w:pPr>
              <w:rPr>
                <w:rFonts w:ascii="宋体"/>
              </w:rPr>
            </w:pPr>
          </w:p>
        </w:tc>
        <w:tc>
          <w:tcPr>
            <w:tcW w:w="41" w:type="pct"/>
            <w:shd w:val="clear" w:color="auto" w:fill="auto"/>
          </w:tcPr>
          <w:p w14:paraId="7E784CA4" w14:textId="77777777" w:rsidR="00A82082" w:rsidRDefault="00A82082">
            <w:pPr>
              <w:rPr>
                <w:rFonts w:ascii="宋体"/>
              </w:rPr>
            </w:pPr>
          </w:p>
        </w:tc>
        <w:tc>
          <w:tcPr>
            <w:tcW w:w="5" w:type="pct"/>
            <w:shd w:val="clear" w:color="auto" w:fill="auto"/>
          </w:tcPr>
          <w:p w14:paraId="7E784CA5" w14:textId="77777777" w:rsidR="00A82082" w:rsidRDefault="00A82082">
            <w:pPr>
              <w:rPr>
                <w:rFonts w:ascii="宋体"/>
              </w:rPr>
            </w:pPr>
          </w:p>
        </w:tc>
        <w:tc>
          <w:tcPr>
            <w:tcW w:w="50" w:type="pct"/>
            <w:shd w:val="clear" w:color="auto" w:fill="auto"/>
          </w:tcPr>
          <w:p w14:paraId="7E784CA6" w14:textId="77777777" w:rsidR="00A82082" w:rsidRDefault="00A82082">
            <w:pPr>
              <w:rPr>
                <w:rFonts w:ascii="宋体"/>
              </w:rPr>
            </w:pPr>
          </w:p>
        </w:tc>
        <w:tc>
          <w:tcPr>
            <w:tcW w:w="500" w:type="pct"/>
            <w:shd w:val="clear" w:color="auto" w:fill="auto"/>
          </w:tcPr>
          <w:p w14:paraId="7E784CA7" w14:textId="77777777" w:rsidR="00A82082" w:rsidRDefault="00A82082">
            <w:pPr>
              <w:rPr>
                <w:rFonts w:ascii="宋体"/>
              </w:rPr>
            </w:pPr>
          </w:p>
        </w:tc>
        <w:tc>
          <w:tcPr>
            <w:tcW w:w="5" w:type="pct"/>
            <w:shd w:val="clear" w:color="auto" w:fill="auto"/>
          </w:tcPr>
          <w:p w14:paraId="7E784CA8" w14:textId="77777777" w:rsidR="00A82082" w:rsidRDefault="00A82082">
            <w:pPr>
              <w:rPr>
                <w:rFonts w:ascii="宋体"/>
              </w:rPr>
            </w:pPr>
          </w:p>
        </w:tc>
        <w:tc>
          <w:tcPr>
            <w:tcW w:w="0" w:type="auto"/>
            <w:shd w:val="clear" w:color="auto" w:fill="auto"/>
          </w:tcPr>
          <w:p w14:paraId="7E784CA9" w14:textId="77777777" w:rsidR="00A82082" w:rsidRDefault="00A82082">
            <w:pPr>
              <w:rPr>
                <w:rFonts w:ascii="宋体"/>
                <w:vanish/>
              </w:rPr>
            </w:pPr>
          </w:p>
        </w:tc>
        <w:tc>
          <w:tcPr>
            <w:tcW w:w="0" w:type="auto"/>
            <w:shd w:val="clear" w:color="auto" w:fill="auto"/>
          </w:tcPr>
          <w:p w14:paraId="7E784CAA" w14:textId="77777777" w:rsidR="00A82082" w:rsidRDefault="00A82082">
            <w:pPr>
              <w:rPr>
                <w:rFonts w:ascii="宋体"/>
                <w:vanish/>
              </w:rPr>
            </w:pPr>
          </w:p>
        </w:tc>
      </w:tr>
      <w:tr w:rsidR="00A82082" w14:paraId="7E784CB1" w14:textId="77777777">
        <w:tc>
          <w:tcPr>
            <w:tcW w:w="0" w:type="auto"/>
            <w:gridSpan w:val="3"/>
            <w:shd w:val="clear" w:color="auto" w:fill="auto"/>
            <w:tcMar>
              <w:top w:w="0" w:type="dxa"/>
              <w:left w:w="20" w:type="dxa"/>
              <w:bottom w:w="0" w:type="dxa"/>
              <w:right w:w="20" w:type="dxa"/>
            </w:tcMar>
          </w:tcPr>
          <w:p w14:paraId="7E784CA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CAD"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4CAE"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4CAF" w14:textId="77777777" w:rsidR="00A82082" w:rsidRDefault="00A82082">
            <w:pPr>
              <w:rPr>
                <w:rFonts w:ascii="宋体"/>
                <w:vanish/>
              </w:rPr>
            </w:pPr>
          </w:p>
        </w:tc>
        <w:tc>
          <w:tcPr>
            <w:tcW w:w="0" w:type="auto"/>
            <w:shd w:val="clear" w:color="auto" w:fill="auto"/>
          </w:tcPr>
          <w:p w14:paraId="7E784CB0" w14:textId="77777777" w:rsidR="00A82082" w:rsidRDefault="00A82082">
            <w:pPr>
              <w:rPr>
                <w:rFonts w:ascii="宋体"/>
                <w:vanish/>
              </w:rPr>
            </w:pPr>
          </w:p>
        </w:tc>
      </w:tr>
      <w:tr w:rsidR="00A82082" w14:paraId="7E784CB9" w14:textId="77777777">
        <w:tc>
          <w:tcPr>
            <w:tcW w:w="0" w:type="auto"/>
            <w:gridSpan w:val="3"/>
            <w:shd w:val="clear" w:color="auto" w:fill="auto"/>
            <w:tcMar>
              <w:top w:w="40" w:type="dxa"/>
              <w:left w:w="20" w:type="dxa"/>
              <w:bottom w:w="40" w:type="dxa"/>
              <w:right w:w="20" w:type="dxa"/>
            </w:tcMar>
            <w:vAlign w:val="bottom"/>
          </w:tcPr>
          <w:p w14:paraId="7E784CB2"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4CB3"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CB4"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4CB5"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CB6"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shd w:val="clear" w:color="auto" w:fill="auto"/>
          </w:tcPr>
          <w:p w14:paraId="7E784CB7" w14:textId="77777777" w:rsidR="00A82082" w:rsidRDefault="00A82082">
            <w:pPr>
              <w:rPr>
                <w:rFonts w:ascii="宋体"/>
                <w:vanish/>
              </w:rPr>
            </w:pPr>
          </w:p>
        </w:tc>
        <w:tc>
          <w:tcPr>
            <w:tcW w:w="0" w:type="auto"/>
            <w:shd w:val="clear" w:color="auto" w:fill="auto"/>
          </w:tcPr>
          <w:p w14:paraId="7E784CB8" w14:textId="77777777" w:rsidR="00A82082" w:rsidRDefault="00A82082">
            <w:pPr>
              <w:rPr>
                <w:rFonts w:ascii="宋体"/>
                <w:vanish/>
              </w:rPr>
            </w:pPr>
          </w:p>
        </w:tc>
      </w:tr>
      <w:tr w:rsidR="00A82082" w14:paraId="7E784CC1" w14:textId="77777777">
        <w:tc>
          <w:tcPr>
            <w:tcW w:w="0" w:type="auto"/>
            <w:gridSpan w:val="3"/>
            <w:shd w:val="clear" w:color="auto" w:fill="auto"/>
            <w:tcMar>
              <w:top w:w="40" w:type="dxa"/>
              <w:left w:w="20" w:type="dxa"/>
              <w:bottom w:w="40" w:type="dxa"/>
              <w:right w:w="20" w:type="dxa"/>
            </w:tcMar>
            <w:vAlign w:val="center"/>
          </w:tcPr>
          <w:p w14:paraId="7E784CBA" w14:textId="77777777" w:rsidR="00A82082" w:rsidRDefault="00E946F9">
            <w:pPr>
              <w:textAlignment w:val="center"/>
            </w:pPr>
            <w:r>
              <w:rPr>
                <w:rFonts w:ascii="Times New Roman" w:eastAsia="宋体" w:hAnsi="Times New Roman"/>
                <w:b/>
                <w:bCs/>
                <w:color w:val="000000"/>
                <w:sz w:val="16"/>
                <w:szCs w:val="16"/>
              </w:rPr>
              <w:t xml:space="preserve">Cash flows from </w:t>
            </w:r>
            <w:r>
              <w:rPr>
                <w:rFonts w:ascii="Times New Roman" w:eastAsia="宋体" w:hAnsi="Times New Roman"/>
                <w:b/>
                <w:bCs/>
                <w:color w:val="000000"/>
                <w:sz w:val="16"/>
                <w:szCs w:val="16"/>
              </w:rPr>
              <w:t>operating activities:</w:t>
            </w:r>
          </w:p>
        </w:tc>
        <w:tc>
          <w:tcPr>
            <w:tcW w:w="0" w:type="auto"/>
            <w:gridSpan w:val="3"/>
            <w:shd w:val="clear" w:color="auto" w:fill="auto"/>
            <w:tcMar>
              <w:top w:w="0" w:type="dxa"/>
              <w:left w:w="20" w:type="dxa"/>
              <w:bottom w:w="0" w:type="dxa"/>
              <w:right w:w="20" w:type="dxa"/>
            </w:tcMar>
          </w:tcPr>
          <w:p w14:paraId="7E784CBB"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CBC"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CBD"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CBE" w14:textId="77777777" w:rsidR="00A82082" w:rsidRDefault="00A82082">
            <w:pPr>
              <w:rPr>
                <w:rFonts w:ascii="宋体"/>
              </w:rPr>
            </w:pPr>
          </w:p>
        </w:tc>
        <w:tc>
          <w:tcPr>
            <w:tcW w:w="0" w:type="auto"/>
            <w:shd w:val="clear" w:color="auto" w:fill="auto"/>
          </w:tcPr>
          <w:p w14:paraId="7E784CBF" w14:textId="77777777" w:rsidR="00A82082" w:rsidRDefault="00A82082">
            <w:pPr>
              <w:rPr>
                <w:rFonts w:ascii="宋体"/>
                <w:vanish/>
              </w:rPr>
            </w:pPr>
          </w:p>
        </w:tc>
        <w:tc>
          <w:tcPr>
            <w:tcW w:w="0" w:type="auto"/>
            <w:shd w:val="clear" w:color="auto" w:fill="auto"/>
          </w:tcPr>
          <w:p w14:paraId="7E784CC0" w14:textId="77777777" w:rsidR="00A82082" w:rsidRDefault="00A82082">
            <w:pPr>
              <w:rPr>
                <w:rFonts w:ascii="宋体"/>
                <w:vanish/>
              </w:rPr>
            </w:pPr>
          </w:p>
        </w:tc>
      </w:tr>
      <w:tr w:rsidR="00A82082" w14:paraId="7E784CCD" w14:textId="77777777">
        <w:tc>
          <w:tcPr>
            <w:tcW w:w="0" w:type="auto"/>
            <w:gridSpan w:val="3"/>
            <w:shd w:val="clear" w:color="auto" w:fill="CCEEFF"/>
            <w:tcMar>
              <w:top w:w="40" w:type="dxa"/>
              <w:left w:w="380" w:type="dxa"/>
              <w:bottom w:w="40" w:type="dxa"/>
              <w:right w:w="20" w:type="dxa"/>
            </w:tcMar>
            <w:vAlign w:val="center"/>
          </w:tcPr>
          <w:p w14:paraId="7E784CC2"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7E784CC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CC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CC5" w14:textId="77777777" w:rsidR="00A82082" w:rsidRDefault="00E946F9">
            <w:pPr>
              <w:jc w:val="right"/>
              <w:textAlignment w:val="center"/>
            </w:pPr>
            <w:r>
              <w:rPr>
                <w:rFonts w:ascii="Times New Roman" w:eastAsia="宋体" w:hAnsi="Times New Roman"/>
                <w:color w:val="000000"/>
                <w:sz w:val="16"/>
                <w:szCs w:val="16"/>
              </w:rPr>
              <w:t>15,714 </w:t>
            </w:r>
          </w:p>
        </w:tc>
        <w:tc>
          <w:tcPr>
            <w:tcW w:w="0" w:type="auto"/>
            <w:shd w:val="clear" w:color="auto" w:fill="CCEEFF"/>
            <w:tcMar>
              <w:top w:w="40" w:type="dxa"/>
              <w:left w:w="0" w:type="dxa"/>
              <w:bottom w:w="40" w:type="dxa"/>
              <w:right w:w="20" w:type="dxa"/>
            </w:tcMar>
            <w:vAlign w:val="center"/>
          </w:tcPr>
          <w:p w14:paraId="7E784C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CC7"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CC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CC9" w14:textId="77777777" w:rsidR="00A82082" w:rsidRDefault="00E946F9">
            <w:pPr>
              <w:jc w:val="right"/>
              <w:textAlignment w:val="center"/>
            </w:pPr>
            <w:r>
              <w:rPr>
                <w:rFonts w:ascii="Times New Roman" w:eastAsia="宋体" w:hAnsi="Times New Roman"/>
                <w:color w:val="000000"/>
                <w:sz w:val="16"/>
                <w:szCs w:val="16"/>
              </w:rPr>
              <w:t>10,907 </w:t>
            </w:r>
          </w:p>
        </w:tc>
        <w:tc>
          <w:tcPr>
            <w:tcW w:w="0" w:type="auto"/>
            <w:shd w:val="clear" w:color="auto" w:fill="CCEEFF"/>
            <w:tcMar>
              <w:top w:w="40" w:type="dxa"/>
              <w:left w:w="0" w:type="dxa"/>
              <w:bottom w:w="40" w:type="dxa"/>
              <w:right w:w="20" w:type="dxa"/>
            </w:tcMar>
            <w:vAlign w:val="center"/>
          </w:tcPr>
          <w:p w14:paraId="7E784CCA" w14:textId="77777777" w:rsidR="00A82082" w:rsidRDefault="00A82082">
            <w:pPr>
              <w:jc w:val="right"/>
              <w:rPr>
                <w:rFonts w:ascii="宋体"/>
              </w:rPr>
            </w:pPr>
          </w:p>
        </w:tc>
        <w:tc>
          <w:tcPr>
            <w:tcW w:w="0" w:type="auto"/>
            <w:shd w:val="clear" w:color="auto" w:fill="auto"/>
          </w:tcPr>
          <w:p w14:paraId="7E784CCB" w14:textId="77777777" w:rsidR="00A82082" w:rsidRDefault="00A82082">
            <w:pPr>
              <w:rPr>
                <w:rFonts w:ascii="宋体"/>
                <w:vanish/>
              </w:rPr>
            </w:pPr>
          </w:p>
        </w:tc>
        <w:tc>
          <w:tcPr>
            <w:tcW w:w="0" w:type="auto"/>
            <w:shd w:val="clear" w:color="auto" w:fill="auto"/>
          </w:tcPr>
          <w:p w14:paraId="7E784CCC" w14:textId="77777777" w:rsidR="00A82082" w:rsidRDefault="00A82082">
            <w:pPr>
              <w:rPr>
                <w:rFonts w:ascii="宋体"/>
                <w:vanish/>
              </w:rPr>
            </w:pPr>
          </w:p>
        </w:tc>
      </w:tr>
      <w:tr w:rsidR="00A82082" w14:paraId="7E784CD5" w14:textId="77777777">
        <w:trPr>
          <w:hidden/>
        </w:trPr>
        <w:tc>
          <w:tcPr>
            <w:tcW w:w="0" w:type="auto"/>
            <w:gridSpan w:val="3"/>
            <w:shd w:val="clear" w:color="auto" w:fill="auto"/>
          </w:tcPr>
          <w:p w14:paraId="7E784CCE" w14:textId="77777777" w:rsidR="00A82082" w:rsidRDefault="00A82082">
            <w:pPr>
              <w:rPr>
                <w:rFonts w:ascii="宋体"/>
                <w:vanish/>
              </w:rPr>
            </w:pPr>
          </w:p>
        </w:tc>
        <w:tc>
          <w:tcPr>
            <w:tcW w:w="0" w:type="auto"/>
            <w:gridSpan w:val="3"/>
            <w:shd w:val="clear" w:color="auto" w:fill="auto"/>
          </w:tcPr>
          <w:p w14:paraId="7E784CCF" w14:textId="77777777" w:rsidR="00A82082" w:rsidRDefault="00A82082">
            <w:pPr>
              <w:rPr>
                <w:rFonts w:ascii="宋体"/>
                <w:vanish/>
              </w:rPr>
            </w:pPr>
          </w:p>
        </w:tc>
        <w:tc>
          <w:tcPr>
            <w:tcW w:w="0" w:type="auto"/>
            <w:gridSpan w:val="3"/>
            <w:shd w:val="clear" w:color="auto" w:fill="auto"/>
          </w:tcPr>
          <w:p w14:paraId="7E784CD0" w14:textId="77777777" w:rsidR="00A82082" w:rsidRDefault="00A82082">
            <w:pPr>
              <w:rPr>
                <w:rFonts w:ascii="宋体"/>
                <w:vanish/>
              </w:rPr>
            </w:pPr>
          </w:p>
        </w:tc>
        <w:tc>
          <w:tcPr>
            <w:tcW w:w="0" w:type="auto"/>
            <w:gridSpan w:val="3"/>
            <w:shd w:val="clear" w:color="auto" w:fill="auto"/>
          </w:tcPr>
          <w:p w14:paraId="7E784CD1" w14:textId="77777777" w:rsidR="00A82082" w:rsidRDefault="00A82082">
            <w:pPr>
              <w:rPr>
                <w:rFonts w:ascii="宋体"/>
                <w:vanish/>
              </w:rPr>
            </w:pPr>
          </w:p>
        </w:tc>
        <w:tc>
          <w:tcPr>
            <w:tcW w:w="0" w:type="auto"/>
            <w:gridSpan w:val="3"/>
            <w:shd w:val="clear" w:color="auto" w:fill="auto"/>
          </w:tcPr>
          <w:p w14:paraId="7E784CD2" w14:textId="77777777" w:rsidR="00A82082" w:rsidRDefault="00A82082">
            <w:pPr>
              <w:rPr>
                <w:rFonts w:ascii="宋体"/>
                <w:vanish/>
              </w:rPr>
            </w:pPr>
          </w:p>
        </w:tc>
        <w:tc>
          <w:tcPr>
            <w:tcW w:w="0" w:type="auto"/>
            <w:shd w:val="clear" w:color="auto" w:fill="auto"/>
          </w:tcPr>
          <w:p w14:paraId="7E784CD3" w14:textId="77777777" w:rsidR="00A82082" w:rsidRDefault="00A82082">
            <w:pPr>
              <w:rPr>
                <w:rFonts w:ascii="宋体"/>
                <w:vanish/>
              </w:rPr>
            </w:pPr>
          </w:p>
        </w:tc>
        <w:tc>
          <w:tcPr>
            <w:tcW w:w="0" w:type="auto"/>
            <w:shd w:val="clear" w:color="auto" w:fill="auto"/>
          </w:tcPr>
          <w:p w14:paraId="7E784CD4" w14:textId="77777777" w:rsidR="00A82082" w:rsidRDefault="00A82082">
            <w:pPr>
              <w:rPr>
                <w:rFonts w:ascii="宋体"/>
                <w:vanish/>
              </w:rPr>
            </w:pPr>
          </w:p>
        </w:tc>
      </w:tr>
      <w:tr w:rsidR="00A82082" w14:paraId="7E784CDD" w14:textId="77777777">
        <w:trPr>
          <w:hidden/>
        </w:trPr>
        <w:tc>
          <w:tcPr>
            <w:tcW w:w="0" w:type="auto"/>
            <w:gridSpan w:val="3"/>
            <w:shd w:val="clear" w:color="auto" w:fill="auto"/>
          </w:tcPr>
          <w:p w14:paraId="7E784CD6" w14:textId="77777777" w:rsidR="00A82082" w:rsidRDefault="00A82082">
            <w:pPr>
              <w:rPr>
                <w:rFonts w:ascii="宋体"/>
                <w:vanish/>
              </w:rPr>
            </w:pPr>
          </w:p>
        </w:tc>
        <w:tc>
          <w:tcPr>
            <w:tcW w:w="0" w:type="auto"/>
            <w:gridSpan w:val="3"/>
            <w:shd w:val="clear" w:color="auto" w:fill="auto"/>
          </w:tcPr>
          <w:p w14:paraId="7E784CD7" w14:textId="77777777" w:rsidR="00A82082" w:rsidRDefault="00A82082">
            <w:pPr>
              <w:rPr>
                <w:rFonts w:ascii="宋体"/>
                <w:vanish/>
              </w:rPr>
            </w:pPr>
          </w:p>
        </w:tc>
        <w:tc>
          <w:tcPr>
            <w:tcW w:w="0" w:type="auto"/>
            <w:gridSpan w:val="3"/>
            <w:shd w:val="clear" w:color="auto" w:fill="auto"/>
          </w:tcPr>
          <w:p w14:paraId="7E784CD8" w14:textId="77777777" w:rsidR="00A82082" w:rsidRDefault="00A82082">
            <w:pPr>
              <w:rPr>
                <w:rFonts w:ascii="宋体"/>
                <w:vanish/>
              </w:rPr>
            </w:pPr>
          </w:p>
        </w:tc>
        <w:tc>
          <w:tcPr>
            <w:tcW w:w="0" w:type="auto"/>
            <w:gridSpan w:val="3"/>
            <w:shd w:val="clear" w:color="auto" w:fill="auto"/>
          </w:tcPr>
          <w:p w14:paraId="7E784CD9" w14:textId="77777777" w:rsidR="00A82082" w:rsidRDefault="00A82082">
            <w:pPr>
              <w:rPr>
                <w:rFonts w:ascii="宋体"/>
                <w:vanish/>
              </w:rPr>
            </w:pPr>
          </w:p>
        </w:tc>
        <w:tc>
          <w:tcPr>
            <w:tcW w:w="0" w:type="auto"/>
            <w:gridSpan w:val="3"/>
            <w:shd w:val="clear" w:color="auto" w:fill="auto"/>
          </w:tcPr>
          <w:p w14:paraId="7E784CDA" w14:textId="77777777" w:rsidR="00A82082" w:rsidRDefault="00A82082">
            <w:pPr>
              <w:rPr>
                <w:rFonts w:ascii="宋体"/>
                <w:vanish/>
              </w:rPr>
            </w:pPr>
          </w:p>
        </w:tc>
        <w:tc>
          <w:tcPr>
            <w:tcW w:w="0" w:type="auto"/>
            <w:shd w:val="clear" w:color="auto" w:fill="auto"/>
          </w:tcPr>
          <w:p w14:paraId="7E784CDB" w14:textId="77777777" w:rsidR="00A82082" w:rsidRDefault="00A82082">
            <w:pPr>
              <w:rPr>
                <w:rFonts w:ascii="宋体"/>
                <w:vanish/>
              </w:rPr>
            </w:pPr>
          </w:p>
        </w:tc>
        <w:tc>
          <w:tcPr>
            <w:tcW w:w="0" w:type="auto"/>
            <w:shd w:val="clear" w:color="auto" w:fill="auto"/>
          </w:tcPr>
          <w:p w14:paraId="7E784CDC" w14:textId="77777777" w:rsidR="00A82082" w:rsidRDefault="00A82082">
            <w:pPr>
              <w:rPr>
                <w:rFonts w:ascii="宋体"/>
                <w:vanish/>
              </w:rPr>
            </w:pPr>
          </w:p>
        </w:tc>
      </w:tr>
      <w:tr w:rsidR="00A82082" w14:paraId="7E784CE5" w14:textId="77777777">
        <w:tc>
          <w:tcPr>
            <w:tcW w:w="0" w:type="auto"/>
            <w:gridSpan w:val="3"/>
            <w:shd w:val="clear" w:color="auto" w:fill="FFFFFF"/>
            <w:tcMar>
              <w:top w:w="40" w:type="dxa"/>
              <w:left w:w="380" w:type="dxa"/>
              <w:bottom w:w="40" w:type="dxa"/>
              <w:right w:w="20" w:type="dxa"/>
            </w:tcMar>
            <w:vAlign w:val="center"/>
          </w:tcPr>
          <w:p w14:paraId="7E784CDE" w14:textId="77777777" w:rsidR="00A82082" w:rsidRDefault="00E946F9">
            <w:pPr>
              <w:textAlignment w:val="center"/>
            </w:pPr>
            <w:r>
              <w:rPr>
                <w:rFonts w:ascii="Times New Roman" w:eastAsia="宋体" w:hAnsi="Times New Roman"/>
                <w:color w:val="000000"/>
                <w:sz w:val="16"/>
                <w:szCs w:val="16"/>
              </w:rPr>
              <w:t>Adjustments to reconcile consolidated net income to net cash provided by operating activities:</w:t>
            </w:r>
          </w:p>
        </w:tc>
        <w:tc>
          <w:tcPr>
            <w:tcW w:w="0" w:type="auto"/>
            <w:gridSpan w:val="3"/>
            <w:shd w:val="clear" w:color="auto" w:fill="FFFFFF"/>
            <w:tcMar>
              <w:top w:w="0" w:type="dxa"/>
              <w:left w:w="20" w:type="dxa"/>
              <w:bottom w:w="0" w:type="dxa"/>
              <w:right w:w="20" w:type="dxa"/>
            </w:tcMar>
          </w:tcPr>
          <w:p w14:paraId="7E784CD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CE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CE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CE2" w14:textId="77777777" w:rsidR="00A82082" w:rsidRDefault="00A82082">
            <w:pPr>
              <w:rPr>
                <w:rFonts w:ascii="宋体"/>
              </w:rPr>
            </w:pPr>
          </w:p>
        </w:tc>
        <w:tc>
          <w:tcPr>
            <w:tcW w:w="0" w:type="auto"/>
            <w:shd w:val="clear" w:color="auto" w:fill="auto"/>
          </w:tcPr>
          <w:p w14:paraId="7E784CE3" w14:textId="77777777" w:rsidR="00A82082" w:rsidRDefault="00A82082">
            <w:pPr>
              <w:rPr>
                <w:rFonts w:ascii="宋体"/>
                <w:vanish/>
              </w:rPr>
            </w:pPr>
          </w:p>
        </w:tc>
        <w:tc>
          <w:tcPr>
            <w:tcW w:w="0" w:type="auto"/>
            <w:shd w:val="clear" w:color="auto" w:fill="auto"/>
          </w:tcPr>
          <w:p w14:paraId="7E784CE4" w14:textId="77777777" w:rsidR="00A82082" w:rsidRDefault="00A82082">
            <w:pPr>
              <w:rPr>
                <w:rFonts w:ascii="宋体"/>
                <w:vanish/>
              </w:rPr>
            </w:pPr>
          </w:p>
        </w:tc>
      </w:tr>
      <w:tr w:rsidR="00A82082" w14:paraId="7E784CEF" w14:textId="77777777">
        <w:tc>
          <w:tcPr>
            <w:tcW w:w="0" w:type="auto"/>
            <w:gridSpan w:val="3"/>
            <w:shd w:val="clear" w:color="auto" w:fill="CCEEFF"/>
            <w:tcMar>
              <w:top w:w="40" w:type="dxa"/>
              <w:left w:w="740" w:type="dxa"/>
              <w:bottom w:w="40" w:type="dxa"/>
              <w:right w:w="20" w:type="dxa"/>
            </w:tcMar>
            <w:vAlign w:val="center"/>
          </w:tcPr>
          <w:p w14:paraId="7E784CE6" w14:textId="77777777" w:rsidR="00A82082" w:rsidRDefault="00E946F9">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tcPr>
          <w:p w14:paraId="7E784CE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CE8" w14:textId="77777777" w:rsidR="00A82082" w:rsidRDefault="00E946F9">
            <w:pPr>
              <w:jc w:val="right"/>
              <w:textAlignment w:val="center"/>
            </w:pPr>
            <w:r>
              <w:rPr>
                <w:rFonts w:ascii="Times New Roman" w:eastAsia="宋体" w:hAnsi="Times New Roman"/>
                <w:color w:val="000000"/>
                <w:sz w:val="16"/>
                <w:szCs w:val="16"/>
              </w:rPr>
              <w:t>8,333 </w:t>
            </w:r>
          </w:p>
        </w:tc>
        <w:tc>
          <w:tcPr>
            <w:tcW w:w="0" w:type="auto"/>
            <w:shd w:val="clear" w:color="auto" w:fill="CCEEFF"/>
            <w:tcMar>
              <w:top w:w="40" w:type="dxa"/>
              <w:left w:w="0" w:type="dxa"/>
              <w:bottom w:w="40" w:type="dxa"/>
              <w:right w:w="20" w:type="dxa"/>
            </w:tcMar>
            <w:vAlign w:val="center"/>
          </w:tcPr>
          <w:p w14:paraId="7E784CE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CE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CEB" w14:textId="77777777" w:rsidR="00A82082" w:rsidRDefault="00E946F9">
            <w:pPr>
              <w:jc w:val="right"/>
              <w:textAlignment w:val="center"/>
            </w:pPr>
            <w:r>
              <w:rPr>
                <w:rFonts w:ascii="Times New Roman" w:eastAsia="宋体" w:hAnsi="Times New Roman"/>
                <w:color w:val="000000"/>
                <w:sz w:val="16"/>
                <w:szCs w:val="16"/>
              </w:rPr>
              <w:t>8,159 </w:t>
            </w:r>
          </w:p>
        </w:tc>
        <w:tc>
          <w:tcPr>
            <w:tcW w:w="0" w:type="auto"/>
            <w:shd w:val="clear" w:color="auto" w:fill="CCEEFF"/>
            <w:tcMar>
              <w:top w:w="40" w:type="dxa"/>
              <w:left w:w="0" w:type="dxa"/>
              <w:bottom w:w="40" w:type="dxa"/>
              <w:right w:w="20" w:type="dxa"/>
            </w:tcMar>
            <w:vAlign w:val="center"/>
          </w:tcPr>
          <w:p w14:paraId="7E784CEC" w14:textId="77777777" w:rsidR="00A82082" w:rsidRDefault="00A82082">
            <w:pPr>
              <w:jc w:val="right"/>
              <w:rPr>
                <w:rFonts w:ascii="宋体"/>
              </w:rPr>
            </w:pPr>
          </w:p>
        </w:tc>
        <w:tc>
          <w:tcPr>
            <w:tcW w:w="0" w:type="auto"/>
            <w:shd w:val="clear" w:color="auto" w:fill="auto"/>
          </w:tcPr>
          <w:p w14:paraId="7E784CED" w14:textId="77777777" w:rsidR="00A82082" w:rsidRDefault="00A82082">
            <w:pPr>
              <w:rPr>
                <w:rFonts w:ascii="宋体"/>
                <w:vanish/>
              </w:rPr>
            </w:pPr>
          </w:p>
        </w:tc>
        <w:tc>
          <w:tcPr>
            <w:tcW w:w="0" w:type="auto"/>
            <w:shd w:val="clear" w:color="auto" w:fill="auto"/>
          </w:tcPr>
          <w:p w14:paraId="7E784CEE" w14:textId="77777777" w:rsidR="00A82082" w:rsidRDefault="00A82082">
            <w:pPr>
              <w:rPr>
                <w:rFonts w:ascii="宋体"/>
                <w:vanish/>
              </w:rPr>
            </w:pPr>
          </w:p>
        </w:tc>
      </w:tr>
      <w:tr w:rsidR="00A82082" w14:paraId="7E784CF9" w14:textId="77777777">
        <w:tc>
          <w:tcPr>
            <w:tcW w:w="0" w:type="auto"/>
            <w:gridSpan w:val="3"/>
            <w:shd w:val="clear" w:color="auto" w:fill="FFFFFF"/>
            <w:tcMar>
              <w:top w:w="40" w:type="dxa"/>
              <w:left w:w="740" w:type="dxa"/>
              <w:bottom w:w="40" w:type="dxa"/>
              <w:right w:w="20" w:type="dxa"/>
            </w:tcMar>
            <w:vAlign w:val="center"/>
          </w:tcPr>
          <w:p w14:paraId="7E784CF0" w14:textId="77777777" w:rsidR="00A82082" w:rsidRDefault="00E946F9">
            <w:pPr>
              <w:textAlignment w:val="center"/>
            </w:pPr>
            <w:r>
              <w:rPr>
                <w:rFonts w:ascii="Times New Roman" w:eastAsia="宋体" w:hAnsi="Times New Roman"/>
                <w:color w:val="000000"/>
                <w:sz w:val="16"/>
                <w:szCs w:val="16"/>
              </w:rPr>
              <w:t>Unrealized (gains) and losses</w:t>
            </w:r>
          </w:p>
        </w:tc>
        <w:tc>
          <w:tcPr>
            <w:tcW w:w="0" w:type="auto"/>
            <w:gridSpan w:val="3"/>
            <w:shd w:val="clear" w:color="auto" w:fill="FFFFFF"/>
            <w:tcMar>
              <w:top w:w="0" w:type="dxa"/>
              <w:left w:w="20" w:type="dxa"/>
              <w:bottom w:w="0" w:type="dxa"/>
              <w:right w:w="20" w:type="dxa"/>
            </w:tcMar>
          </w:tcPr>
          <w:p w14:paraId="7E784CF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CF2" w14:textId="77777777" w:rsidR="00A82082" w:rsidRDefault="00E946F9">
            <w:pPr>
              <w:jc w:val="right"/>
              <w:textAlignment w:val="center"/>
            </w:pPr>
            <w:r>
              <w:rPr>
                <w:rFonts w:ascii="Times New Roman" w:eastAsia="宋体" w:hAnsi="Times New Roman"/>
                <w:color w:val="000000"/>
                <w:sz w:val="16"/>
                <w:szCs w:val="16"/>
              </w:rPr>
              <w:t>(6,883)</w:t>
            </w:r>
          </w:p>
        </w:tc>
        <w:tc>
          <w:tcPr>
            <w:tcW w:w="0" w:type="auto"/>
            <w:shd w:val="clear" w:color="auto" w:fill="FFFFFF"/>
            <w:tcMar>
              <w:top w:w="40" w:type="dxa"/>
              <w:left w:w="0" w:type="dxa"/>
              <w:bottom w:w="40" w:type="dxa"/>
              <w:right w:w="20" w:type="dxa"/>
            </w:tcMar>
            <w:vAlign w:val="center"/>
          </w:tcPr>
          <w:p w14:paraId="7E784CF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CF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CF5" w14:textId="77777777" w:rsidR="00A82082" w:rsidRDefault="00E946F9">
            <w:pPr>
              <w:jc w:val="right"/>
              <w:textAlignment w:val="center"/>
            </w:pPr>
            <w:r>
              <w:rPr>
                <w:rFonts w:ascii="Times New Roman" w:eastAsia="宋体" w:hAnsi="Times New Roman"/>
                <w:color w:val="000000"/>
                <w:sz w:val="16"/>
                <w:szCs w:val="16"/>
              </w:rPr>
              <w:t>(911)</w:t>
            </w:r>
          </w:p>
        </w:tc>
        <w:tc>
          <w:tcPr>
            <w:tcW w:w="0" w:type="auto"/>
            <w:shd w:val="clear" w:color="auto" w:fill="FFFFFF"/>
            <w:tcMar>
              <w:top w:w="40" w:type="dxa"/>
              <w:left w:w="0" w:type="dxa"/>
              <w:bottom w:w="40" w:type="dxa"/>
              <w:right w:w="20" w:type="dxa"/>
            </w:tcMar>
            <w:vAlign w:val="center"/>
          </w:tcPr>
          <w:p w14:paraId="7E784CF6" w14:textId="77777777" w:rsidR="00A82082" w:rsidRDefault="00A82082">
            <w:pPr>
              <w:jc w:val="right"/>
              <w:rPr>
                <w:rFonts w:ascii="宋体"/>
              </w:rPr>
            </w:pPr>
          </w:p>
        </w:tc>
        <w:tc>
          <w:tcPr>
            <w:tcW w:w="0" w:type="auto"/>
            <w:shd w:val="clear" w:color="auto" w:fill="auto"/>
          </w:tcPr>
          <w:p w14:paraId="7E784CF7" w14:textId="77777777" w:rsidR="00A82082" w:rsidRDefault="00A82082">
            <w:pPr>
              <w:rPr>
                <w:rFonts w:ascii="宋体"/>
                <w:vanish/>
              </w:rPr>
            </w:pPr>
          </w:p>
        </w:tc>
        <w:tc>
          <w:tcPr>
            <w:tcW w:w="0" w:type="auto"/>
            <w:shd w:val="clear" w:color="auto" w:fill="auto"/>
          </w:tcPr>
          <w:p w14:paraId="7E784CF8" w14:textId="77777777" w:rsidR="00A82082" w:rsidRDefault="00A82082">
            <w:pPr>
              <w:rPr>
                <w:rFonts w:ascii="宋体"/>
                <w:vanish/>
              </w:rPr>
            </w:pPr>
          </w:p>
        </w:tc>
      </w:tr>
      <w:tr w:rsidR="00A82082" w14:paraId="7E784D03" w14:textId="77777777">
        <w:tc>
          <w:tcPr>
            <w:tcW w:w="0" w:type="auto"/>
            <w:gridSpan w:val="3"/>
            <w:shd w:val="clear" w:color="auto" w:fill="CCEEFF"/>
            <w:tcMar>
              <w:top w:w="40" w:type="dxa"/>
              <w:left w:w="740" w:type="dxa"/>
              <w:bottom w:w="40" w:type="dxa"/>
              <w:right w:w="20" w:type="dxa"/>
            </w:tcMar>
            <w:vAlign w:val="center"/>
          </w:tcPr>
          <w:p w14:paraId="7E784CFA" w14:textId="77777777" w:rsidR="00A82082" w:rsidRDefault="00E946F9">
            <w:pPr>
              <w:textAlignment w:val="center"/>
            </w:pPr>
            <w:r>
              <w:rPr>
                <w:rFonts w:ascii="Times New Roman" w:eastAsia="宋体" w:hAnsi="Times New Roman"/>
                <w:color w:val="000000"/>
                <w:sz w:val="16"/>
                <w:szCs w:val="16"/>
              </w:rPr>
              <w:t>Losses and (gains) on disposal of business operations</w:t>
            </w:r>
          </w:p>
        </w:tc>
        <w:tc>
          <w:tcPr>
            <w:tcW w:w="0" w:type="auto"/>
            <w:gridSpan w:val="3"/>
            <w:shd w:val="clear" w:color="auto" w:fill="CCEEFF"/>
            <w:tcMar>
              <w:top w:w="0" w:type="dxa"/>
              <w:left w:w="20" w:type="dxa"/>
              <w:bottom w:w="0" w:type="dxa"/>
              <w:right w:w="20" w:type="dxa"/>
            </w:tcMar>
          </w:tcPr>
          <w:p w14:paraId="7E784CF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CFC" w14:textId="77777777" w:rsidR="00A82082" w:rsidRDefault="00E946F9">
            <w:pPr>
              <w:jc w:val="right"/>
              <w:textAlignment w:val="center"/>
            </w:pPr>
            <w:r>
              <w:rPr>
                <w:rFonts w:ascii="Times New Roman" w:eastAsia="宋体" w:hAnsi="Times New Roman"/>
                <w:color w:val="000000"/>
                <w:sz w:val="16"/>
                <w:szCs w:val="16"/>
              </w:rPr>
              <w:t>1,028 </w:t>
            </w:r>
          </w:p>
        </w:tc>
        <w:tc>
          <w:tcPr>
            <w:tcW w:w="0" w:type="auto"/>
            <w:shd w:val="clear" w:color="auto" w:fill="CCEEFF"/>
            <w:tcMar>
              <w:top w:w="40" w:type="dxa"/>
              <w:left w:w="0" w:type="dxa"/>
              <w:bottom w:w="40" w:type="dxa"/>
              <w:right w:w="20" w:type="dxa"/>
            </w:tcMar>
            <w:vAlign w:val="center"/>
          </w:tcPr>
          <w:p w14:paraId="7E784CF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CF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CFF"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7E784D00" w14:textId="77777777" w:rsidR="00A82082" w:rsidRDefault="00A82082">
            <w:pPr>
              <w:jc w:val="right"/>
              <w:rPr>
                <w:rFonts w:ascii="宋体"/>
              </w:rPr>
            </w:pPr>
          </w:p>
        </w:tc>
        <w:tc>
          <w:tcPr>
            <w:tcW w:w="0" w:type="auto"/>
            <w:shd w:val="clear" w:color="auto" w:fill="auto"/>
          </w:tcPr>
          <w:p w14:paraId="7E784D01" w14:textId="77777777" w:rsidR="00A82082" w:rsidRDefault="00A82082">
            <w:pPr>
              <w:rPr>
                <w:rFonts w:ascii="宋体"/>
                <w:vanish/>
              </w:rPr>
            </w:pPr>
          </w:p>
        </w:tc>
        <w:tc>
          <w:tcPr>
            <w:tcW w:w="0" w:type="auto"/>
            <w:shd w:val="clear" w:color="auto" w:fill="auto"/>
          </w:tcPr>
          <w:p w14:paraId="7E784D02" w14:textId="77777777" w:rsidR="00A82082" w:rsidRDefault="00A82082">
            <w:pPr>
              <w:rPr>
                <w:rFonts w:ascii="宋体"/>
                <w:vanish/>
              </w:rPr>
            </w:pPr>
          </w:p>
        </w:tc>
      </w:tr>
      <w:tr w:rsidR="00A82082" w14:paraId="7E784D0D" w14:textId="77777777">
        <w:tc>
          <w:tcPr>
            <w:tcW w:w="0" w:type="auto"/>
            <w:gridSpan w:val="3"/>
            <w:shd w:val="clear" w:color="auto" w:fill="FFFFFF"/>
            <w:tcMar>
              <w:top w:w="40" w:type="dxa"/>
              <w:left w:w="740" w:type="dxa"/>
              <w:bottom w:w="40" w:type="dxa"/>
              <w:right w:w="20" w:type="dxa"/>
            </w:tcMar>
            <w:vAlign w:val="center"/>
          </w:tcPr>
          <w:p w14:paraId="7E784D04" w14:textId="77777777" w:rsidR="00A82082" w:rsidRDefault="00E946F9">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tcPr>
          <w:p w14:paraId="7E784D0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06" w14:textId="77777777" w:rsidR="00A82082" w:rsidRDefault="00E946F9">
            <w:pPr>
              <w:jc w:val="right"/>
              <w:textAlignment w:val="center"/>
            </w:pPr>
            <w:r>
              <w:rPr>
                <w:rFonts w:ascii="Times New Roman" w:eastAsia="宋体" w:hAnsi="Times New Roman"/>
                <w:color w:val="000000"/>
                <w:sz w:val="16"/>
                <w:szCs w:val="16"/>
              </w:rPr>
              <w:t>1,246 </w:t>
            </w:r>
          </w:p>
        </w:tc>
        <w:tc>
          <w:tcPr>
            <w:tcW w:w="0" w:type="auto"/>
            <w:shd w:val="clear" w:color="auto" w:fill="FFFFFF"/>
            <w:tcMar>
              <w:top w:w="40" w:type="dxa"/>
              <w:left w:w="0" w:type="dxa"/>
              <w:bottom w:w="40" w:type="dxa"/>
              <w:right w:w="20" w:type="dxa"/>
            </w:tcMar>
            <w:vAlign w:val="center"/>
          </w:tcPr>
          <w:p w14:paraId="7E784D0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0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09" w14:textId="77777777" w:rsidR="00A82082" w:rsidRDefault="00E946F9">
            <w:pPr>
              <w:jc w:val="right"/>
              <w:textAlignment w:val="center"/>
            </w:pPr>
            <w:r>
              <w:rPr>
                <w:rFonts w:ascii="Times New Roman" w:eastAsia="宋体" w:hAnsi="Times New Roman"/>
                <w:color w:val="000000"/>
                <w:sz w:val="16"/>
                <w:szCs w:val="16"/>
              </w:rPr>
              <w:t>574 </w:t>
            </w:r>
          </w:p>
        </w:tc>
        <w:tc>
          <w:tcPr>
            <w:tcW w:w="0" w:type="auto"/>
            <w:shd w:val="clear" w:color="auto" w:fill="FFFFFF"/>
            <w:tcMar>
              <w:top w:w="40" w:type="dxa"/>
              <w:left w:w="0" w:type="dxa"/>
              <w:bottom w:w="40" w:type="dxa"/>
              <w:right w:w="20" w:type="dxa"/>
            </w:tcMar>
            <w:vAlign w:val="center"/>
          </w:tcPr>
          <w:p w14:paraId="7E784D0A" w14:textId="77777777" w:rsidR="00A82082" w:rsidRDefault="00A82082">
            <w:pPr>
              <w:jc w:val="right"/>
              <w:rPr>
                <w:rFonts w:ascii="宋体"/>
              </w:rPr>
            </w:pPr>
          </w:p>
        </w:tc>
        <w:tc>
          <w:tcPr>
            <w:tcW w:w="0" w:type="auto"/>
            <w:shd w:val="clear" w:color="auto" w:fill="auto"/>
          </w:tcPr>
          <w:p w14:paraId="7E784D0B" w14:textId="77777777" w:rsidR="00A82082" w:rsidRDefault="00A82082">
            <w:pPr>
              <w:rPr>
                <w:rFonts w:ascii="宋体"/>
                <w:vanish/>
              </w:rPr>
            </w:pPr>
          </w:p>
        </w:tc>
        <w:tc>
          <w:tcPr>
            <w:tcW w:w="0" w:type="auto"/>
            <w:shd w:val="clear" w:color="auto" w:fill="auto"/>
          </w:tcPr>
          <w:p w14:paraId="7E784D0C" w14:textId="77777777" w:rsidR="00A82082" w:rsidRDefault="00A82082">
            <w:pPr>
              <w:rPr>
                <w:rFonts w:ascii="宋体"/>
                <w:vanish/>
              </w:rPr>
            </w:pPr>
          </w:p>
        </w:tc>
      </w:tr>
      <w:tr w:rsidR="00A82082" w14:paraId="7E784D15" w14:textId="77777777">
        <w:trPr>
          <w:hidden/>
        </w:trPr>
        <w:tc>
          <w:tcPr>
            <w:tcW w:w="0" w:type="auto"/>
            <w:gridSpan w:val="3"/>
            <w:shd w:val="clear" w:color="auto" w:fill="auto"/>
          </w:tcPr>
          <w:p w14:paraId="7E784D0E" w14:textId="77777777" w:rsidR="00A82082" w:rsidRDefault="00A82082">
            <w:pPr>
              <w:rPr>
                <w:rFonts w:ascii="宋体"/>
                <w:vanish/>
              </w:rPr>
            </w:pPr>
          </w:p>
        </w:tc>
        <w:tc>
          <w:tcPr>
            <w:tcW w:w="0" w:type="auto"/>
            <w:gridSpan w:val="3"/>
            <w:shd w:val="clear" w:color="auto" w:fill="auto"/>
          </w:tcPr>
          <w:p w14:paraId="7E784D0F" w14:textId="77777777" w:rsidR="00A82082" w:rsidRDefault="00A82082">
            <w:pPr>
              <w:rPr>
                <w:rFonts w:ascii="宋体"/>
                <w:vanish/>
              </w:rPr>
            </w:pPr>
          </w:p>
        </w:tc>
        <w:tc>
          <w:tcPr>
            <w:tcW w:w="0" w:type="auto"/>
            <w:gridSpan w:val="3"/>
            <w:shd w:val="clear" w:color="auto" w:fill="auto"/>
          </w:tcPr>
          <w:p w14:paraId="7E784D10" w14:textId="77777777" w:rsidR="00A82082" w:rsidRDefault="00A82082">
            <w:pPr>
              <w:rPr>
                <w:rFonts w:ascii="宋体"/>
                <w:vanish/>
              </w:rPr>
            </w:pPr>
          </w:p>
        </w:tc>
        <w:tc>
          <w:tcPr>
            <w:tcW w:w="0" w:type="auto"/>
            <w:gridSpan w:val="3"/>
            <w:shd w:val="clear" w:color="auto" w:fill="auto"/>
          </w:tcPr>
          <w:p w14:paraId="7E784D11" w14:textId="77777777" w:rsidR="00A82082" w:rsidRDefault="00A82082">
            <w:pPr>
              <w:rPr>
                <w:rFonts w:ascii="宋体"/>
                <w:vanish/>
              </w:rPr>
            </w:pPr>
          </w:p>
        </w:tc>
        <w:tc>
          <w:tcPr>
            <w:tcW w:w="0" w:type="auto"/>
            <w:gridSpan w:val="3"/>
            <w:shd w:val="clear" w:color="auto" w:fill="auto"/>
          </w:tcPr>
          <w:p w14:paraId="7E784D12" w14:textId="77777777" w:rsidR="00A82082" w:rsidRDefault="00A82082">
            <w:pPr>
              <w:rPr>
                <w:rFonts w:ascii="宋体"/>
                <w:vanish/>
              </w:rPr>
            </w:pPr>
          </w:p>
        </w:tc>
        <w:tc>
          <w:tcPr>
            <w:tcW w:w="0" w:type="auto"/>
            <w:shd w:val="clear" w:color="auto" w:fill="auto"/>
          </w:tcPr>
          <w:p w14:paraId="7E784D13" w14:textId="77777777" w:rsidR="00A82082" w:rsidRDefault="00A82082">
            <w:pPr>
              <w:rPr>
                <w:rFonts w:ascii="宋体"/>
                <w:vanish/>
              </w:rPr>
            </w:pPr>
          </w:p>
        </w:tc>
        <w:tc>
          <w:tcPr>
            <w:tcW w:w="0" w:type="auto"/>
            <w:shd w:val="clear" w:color="auto" w:fill="auto"/>
          </w:tcPr>
          <w:p w14:paraId="7E784D14" w14:textId="77777777" w:rsidR="00A82082" w:rsidRDefault="00A82082">
            <w:pPr>
              <w:rPr>
                <w:rFonts w:ascii="宋体"/>
                <w:vanish/>
              </w:rPr>
            </w:pPr>
          </w:p>
        </w:tc>
      </w:tr>
      <w:tr w:rsidR="00A82082" w14:paraId="7E784D1F" w14:textId="77777777">
        <w:tc>
          <w:tcPr>
            <w:tcW w:w="0" w:type="auto"/>
            <w:gridSpan w:val="3"/>
            <w:shd w:val="clear" w:color="auto" w:fill="CCEEFF"/>
            <w:tcMar>
              <w:top w:w="40" w:type="dxa"/>
              <w:left w:w="740" w:type="dxa"/>
              <w:bottom w:w="40" w:type="dxa"/>
              <w:right w:w="20" w:type="dxa"/>
            </w:tcMar>
            <w:vAlign w:val="center"/>
          </w:tcPr>
          <w:p w14:paraId="7E784D16" w14:textId="77777777" w:rsidR="00A82082" w:rsidRDefault="00E946F9">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tcPr>
          <w:p w14:paraId="7E784D1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18" w14:textId="77777777" w:rsidR="00A82082" w:rsidRDefault="00E946F9">
            <w:pPr>
              <w:jc w:val="right"/>
              <w:textAlignment w:val="center"/>
            </w:pPr>
            <w:r>
              <w:rPr>
                <w:rFonts w:ascii="Times New Roman" w:eastAsia="宋体" w:hAnsi="Times New Roman"/>
                <w:color w:val="000000"/>
                <w:sz w:val="16"/>
                <w:szCs w:val="16"/>
              </w:rPr>
              <w:t>930 </w:t>
            </w:r>
          </w:p>
        </w:tc>
        <w:tc>
          <w:tcPr>
            <w:tcW w:w="0" w:type="auto"/>
            <w:shd w:val="clear" w:color="auto" w:fill="CCEEFF"/>
            <w:tcMar>
              <w:top w:w="40" w:type="dxa"/>
              <w:left w:w="0" w:type="dxa"/>
              <w:bottom w:w="40" w:type="dxa"/>
              <w:right w:w="20" w:type="dxa"/>
            </w:tcMar>
            <w:vAlign w:val="center"/>
          </w:tcPr>
          <w:p w14:paraId="7E784D1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1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1B" w14:textId="77777777" w:rsidR="00A82082" w:rsidRDefault="00E946F9">
            <w:pPr>
              <w:jc w:val="right"/>
              <w:textAlignment w:val="center"/>
            </w:pPr>
            <w:r>
              <w:rPr>
                <w:rFonts w:ascii="Times New Roman" w:eastAsia="宋体" w:hAnsi="Times New Roman"/>
                <w:color w:val="000000"/>
                <w:sz w:val="16"/>
                <w:szCs w:val="16"/>
              </w:rPr>
              <w:t>938 </w:t>
            </w:r>
          </w:p>
        </w:tc>
        <w:tc>
          <w:tcPr>
            <w:tcW w:w="0" w:type="auto"/>
            <w:shd w:val="clear" w:color="auto" w:fill="CCEEFF"/>
            <w:tcMar>
              <w:top w:w="40" w:type="dxa"/>
              <w:left w:w="0" w:type="dxa"/>
              <w:bottom w:w="40" w:type="dxa"/>
              <w:right w:w="20" w:type="dxa"/>
            </w:tcMar>
            <w:vAlign w:val="center"/>
          </w:tcPr>
          <w:p w14:paraId="7E784D1C" w14:textId="77777777" w:rsidR="00A82082" w:rsidRDefault="00A82082">
            <w:pPr>
              <w:jc w:val="right"/>
              <w:rPr>
                <w:rFonts w:ascii="宋体"/>
              </w:rPr>
            </w:pPr>
          </w:p>
        </w:tc>
        <w:tc>
          <w:tcPr>
            <w:tcW w:w="0" w:type="auto"/>
            <w:shd w:val="clear" w:color="auto" w:fill="auto"/>
          </w:tcPr>
          <w:p w14:paraId="7E784D1D" w14:textId="77777777" w:rsidR="00A82082" w:rsidRDefault="00A82082">
            <w:pPr>
              <w:rPr>
                <w:rFonts w:ascii="宋体"/>
                <w:vanish/>
              </w:rPr>
            </w:pPr>
          </w:p>
        </w:tc>
        <w:tc>
          <w:tcPr>
            <w:tcW w:w="0" w:type="auto"/>
            <w:shd w:val="clear" w:color="auto" w:fill="auto"/>
          </w:tcPr>
          <w:p w14:paraId="7E784D1E" w14:textId="77777777" w:rsidR="00A82082" w:rsidRDefault="00A82082">
            <w:pPr>
              <w:rPr>
                <w:rFonts w:ascii="宋体"/>
                <w:vanish/>
              </w:rPr>
            </w:pPr>
          </w:p>
        </w:tc>
      </w:tr>
      <w:tr w:rsidR="00A82082" w14:paraId="7E784D27" w14:textId="77777777">
        <w:tc>
          <w:tcPr>
            <w:tcW w:w="0" w:type="auto"/>
            <w:gridSpan w:val="3"/>
            <w:shd w:val="clear" w:color="auto" w:fill="FFFFFF"/>
            <w:tcMar>
              <w:top w:w="40" w:type="dxa"/>
              <w:left w:w="740" w:type="dxa"/>
              <w:bottom w:w="40" w:type="dxa"/>
              <w:right w:w="20" w:type="dxa"/>
            </w:tcMar>
            <w:vAlign w:val="center"/>
          </w:tcPr>
          <w:p w14:paraId="7E784D20" w14:textId="77777777" w:rsidR="00A82082" w:rsidRDefault="00E946F9">
            <w:pPr>
              <w:textAlignment w:val="center"/>
            </w:pPr>
            <w:r>
              <w:rPr>
                <w:rFonts w:ascii="Times New Roman" w:eastAsia="宋体" w:hAnsi="Times New Roman"/>
                <w:color w:val="000000"/>
                <w:sz w:val="16"/>
                <w:szCs w:val="16"/>
              </w:rPr>
              <w:t xml:space="preserve">Changes in certain assets and </w:t>
            </w:r>
            <w:r>
              <w:rPr>
                <w:rFonts w:ascii="Times New Roman" w:eastAsia="宋体" w:hAnsi="Times New Roman"/>
                <w:color w:val="000000"/>
                <w:sz w:val="16"/>
                <w:szCs w:val="16"/>
              </w:rPr>
              <w:t>liabilities, net of effects of acquisitions and dispositions:</w:t>
            </w:r>
          </w:p>
        </w:tc>
        <w:tc>
          <w:tcPr>
            <w:tcW w:w="0" w:type="auto"/>
            <w:gridSpan w:val="3"/>
            <w:shd w:val="clear" w:color="auto" w:fill="FFFFFF"/>
            <w:tcMar>
              <w:top w:w="0" w:type="dxa"/>
              <w:left w:w="20" w:type="dxa"/>
              <w:bottom w:w="0" w:type="dxa"/>
              <w:right w:w="20" w:type="dxa"/>
            </w:tcMar>
          </w:tcPr>
          <w:p w14:paraId="7E784D2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2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2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24" w14:textId="77777777" w:rsidR="00A82082" w:rsidRDefault="00A82082">
            <w:pPr>
              <w:rPr>
                <w:rFonts w:ascii="宋体"/>
              </w:rPr>
            </w:pPr>
          </w:p>
        </w:tc>
        <w:tc>
          <w:tcPr>
            <w:tcW w:w="0" w:type="auto"/>
            <w:shd w:val="clear" w:color="auto" w:fill="auto"/>
          </w:tcPr>
          <w:p w14:paraId="7E784D25" w14:textId="77777777" w:rsidR="00A82082" w:rsidRDefault="00A82082">
            <w:pPr>
              <w:rPr>
                <w:rFonts w:ascii="宋体"/>
                <w:vanish/>
              </w:rPr>
            </w:pPr>
          </w:p>
        </w:tc>
        <w:tc>
          <w:tcPr>
            <w:tcW w:w="0" w:type="auto"/>
            <w:shd w:val="clear" w:color="auto" w:fill="auto"/>
          </w:tcPr>
          <w:p w14:paraId="7E784D26" w14:textId="77777777" w:rsidR="00A82082" w:rsidRDefault="00A82082">
            <w:pPr>
              <w:rPr>
                <w:rFonts w:ascii="宋体"/>
                <w:vanish/>
              </w:rPr>
            </w:pPr>
          </w:p>
        </w:tc>
      </w:tr>
      <w:tr w:rsidR="00A82082" w14:paraId="7E784D31" w14:textId="77777777">
        <w:tc>
          <w:tcPr>
            <w:tcW w:w="0" w:type="auto"/>
            <w:gridSpan w:val="3"/>
            <w:shd w:val="clear" w:color="auto" w:fill="CCEEFF"/>
            <w:tcMar>
              <w:top w:w="40" w:type="dxa"/>
              <w:left w:w="1235" w:type="dxa"/>
              <w:bottom w:w="40" w:type="dxa"/>
              <w:right w:w="20" w:type="dxa"/>
            </w:tcMar>
            <w:vAlign w:val="center"/>
          </w:tcPr>
          <w:p w14:paraId="7E784D28" w14:textId="77777777" w:rsidR="00A82082" w:rsidRDefault="00E946F9">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tcPr>
          <w:p w14:paraId="7E784D2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2A" w14:textId="77777777" w:rsidR="00A82082" w:rsidRDefault="00E946F9">
            <w:pPr>
              <w:jc w:val="right"/>
              <w:textAlignment w:val="center"/>
            </w:pPr>
            <w:r>
              <w:rPr>
                <w:rFonts w:ascii="Times New Roman" w:eastAsia="宋体" w:hAnsi="Times New Roman"/>
                <w:color w:val="000000"/>
                <w:sz w:val="16"/>
                <w:szCs w:val="16"/>
              </w:rPr>
              <w:t>165 </w:t>
            </w:r>
          </w:p>
        </w:tc>
        <w:tc>
          <w:tcPr>
            <w:tcW w:w="0" w:type="auto"/>
            <w:shd w:val="clear" w:color="auto" w:fill="CCEEFF"/>
            <w:tcMar>
              <w:top w:w="40" w:type="dxa"/>
              <w:left w:w="0" w:type="dxa"/>
              <w:bottom w:w="40" w:type="dxa"/>
              <w:right w:w="20" w:type="dxa"/>
            </w:tcMar>
            <w:vAlign w:val="center"/>
          </w:tcPr>
          <w:p w14:paraId="7E784D2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2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2D" w14:textId="77777777" w:rsidR="00A82082" w:rsidRDefault="00E946F9">
            <w:pPr>
              <w:jc w:val="right"/>
              <w:textAlignment w:val="center"/>
            </w:pPr>
            <w:r>
              <w:rPr>
                <w:rFonts w:ascii="Times New Roman" w:eastAsia="宋体" w:hAnsi="Times New Roman"/>
                <w:color w:val="000000"/>
                <w:sz w:val="16"/>
                <w:szCs w:val="16"/>
              </w:rPr>
              <w:t>661 </w:t>
            </w:r>
          </w:p>
        </w:tc>
        <w:tc>
          <w:tcPr>
            <w:tcW w:w="0" w:type="auto"/>
            <w:shd w:val="clear" w:color="auto" w:fill="CCEEFF"/>
            <w:tcMar>
              <w:top w:w="40" w:type="dxa"/>
              <w:left w:w="0" w:type="dxa"/>
              <w:bottom w:w="40" w:type="dxa"/>
              <w:right w:w="20" w:type="dxa"/>
            </w:tcMar>
            <w:vAlign w:val="center"/>
          </w:tcPr>
          <w:p w14:paraId="7E784D2E" w14:textId="77777777" w:rsidR="00A82082" w:rsidRDefault="00A82082">
            <w:pPr>
              <w:jc w:val="right"/>
              <w:rPr>
                <w:rFonts w:ascii="宋体"/>
              </w:rPr>
            </w:pPr>
          </w:p>
        </w:tc>
        <w:tc>
          <w:tcPr>
            <w:tcW w:w="0" w:type="auto"/>
            <w:shd w:val="clear" w:color="auto" w:fill="auto"/>
          </w:tcPr>
          <w:p w14:paraId="7E784D2F" w14:textId="77777777" w:rsidR="00A82082" w:rsidRDefault="00A82082">
            <w:pPr>
              <w:rPr>
                <w:rFonts w:ascii="宋体"/>
                <w:vanish/>
              </w:rPr>
            </w:pPr>
          </w:p>
        </w:tc>
        <w:tc>
          <w:tcPr>
            <w:tcW w:w="0" w:type="auto"/>
            <w:shd w:val="clear" w:color="auto" w:fill="auto"/>
          </w:tcPr>
          <w:p w14:paraId="7E784D30" w14:textId="77777777" w:rsidR="00A82082" w:rsidRDefault="00A82082">
            <w:pPr>
              <w:rPr>
                <w:rFonts w:ascii="宋体"/>
                <w:vanish/>
              </w:rPr>
            </w:pPr>
          </w:p>
        </w:tc>
      </w:tr>
      <w:tr w:rsidR="00A82082" w14:paraId="7E784D3B" w14:textId="77777777">
        <w:tc>
          <w:tcPr>
            <w:tcW w:w="0" w:type="auto"/>
            <w:gridSpan w:val="3"/>
            <w:shd w:val="clear" w:color="auto" w:fill="FFFFFF"/>
            <w:tcMar>
              <w:top w:w="40" w:type="dxa"/>
              <w:left w:w="1235" w:type="dxa"/>
              <w:bottom w:w="40" w:type="dxa"/>
              <w:right w:w="20" w:type="dxa"/>
            </w:tcMar>
            <w:vAlign w:val="center"/>
          </w:tcPr>
          <w:p w14:paraId="7E784D32" w14:textId="77777777" w:rsidR="00A82082" w:rsidRDefault="00E946F9">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tcPr>
          <w:p w14:paraId="7E784D3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34" w14:textId="77777777" w:rsidR="00A82082" w:rsidRDefault="00E946F9">
            <w:pPr>
              <w:jc w:val="right"/>
              <w:textAlignment w:val="center"/>
            </w:pPr>
            <w:r>
              <w:rPr>
                <w:rFonts w:ascii="Times New Roman" w:eastAsia="宋体" w:hAnsi="Times New Roman"/>
                <w:color w:val="000000"/>
                <w:sz w:val="16"/>
                <w:szCs w:val="16"/>
              </w:rPr>
              <w:t>(8,260)</w:t>
            </w:r>
          </w:p>
        </w:tc>
        <w:tc>
          <w:tcPr>
            <w:tcW w:w="0" w:type="auto"/>
            <w:shd w:val="clear" w:color="auto" w:fill="FFFFFF"/>
            <w:tcMar>
              <w:top w:w="40" w:type="dxa"/>
              <w:left w:w="0" w:type="dxa"/>
              <w:bottom w:w="40" w:type="dxa"/>
              <w:right w:w="20" w:type="dxa"/>
            </w:tcMar>
            <w:vAlign w:val="center"/>
          </w:tcPr>
          <w:p w14:paraId="7E784D3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3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37" w14:textId="77777777" w:rsidR="00A82082" w:rsidRDefault="00E946F9">
            <w:pPr>
              <w:jc w:val="right"/>
              <w:textAlignment w:val="center"/>
            </w:pPr>
            <w:r>
              <w:rPr>
                <w:rFonts w:ascii="Times New Roman" w:eastAsia="宋体" w:hAnsi="Times New Roman"/>
                <w:color w:val="000000"/>
                <w:sz w:val="16"/>
                <w:szCs w:val="16"/>
              </w:rPr>
              <w:t>(7,558)</w:t>
            </w:r>
          </w:p>
        </w:tc>
        <w:tc>
          <w:tcPr>
            <w:tcW w:w="0" w:type="auto"/>
            <w:shd w:val="clear" w:color="auto" w:fill="FFFFFF"/>
            <w:tcMar>
              <w:top w:w="40" w:type="dxa"/>
              <w:left w:w="0" w:type="dxa"/>
              <w:bottom w:w="40" w:type="dxa"/>
              <w:right w:w="20" w:type="dxa"/>
            </w:tcMar>
            <w:vAlign w:val="center"/>
          </w:tcPr>
          <w:p w14:paraId="7E784D38" w14:textId="77777777" w:rsidR="00A82082" w:rsidRDefault="00A82082">
            <w:pPr>
              <w:jc w:val="right"/>
              <w:rPr>
                <w:rFonts w:ascii="宋体"/>
              </w:rPr>
            </w:pPr>
          </w:p>
        </w:tc>
        <w:tc>
          <w:tcPr>
            <w:tcW w:w="0" w:type="auto"/>
            <w:shd w:val="clear" w:color="auto" w:fill="auto"/>
          </w:tcPr>
          <w:p w14:paraId="7E784D39" w14:textId="77777777" w:rsidR="00A82082" w:rsidRDefault="00A82082">
            <w:pPr>
              <w:rPr>
                <w:rFonts w:ascii="宋体"/>
                <w:vanish/>
              </w:rPr>
            </w:pPr>
          </w:p>
        </w:tc>
        <w:tc>
          <w:tcPr>
            <w:tcW w:w="0" w:type="auto"/>
            <w:shd w:val="clear" w:color="auto" w:fill="auto"/>
          </w:tcPr>
          <w:p w14:paraId="7E784D3A" w14:textId="77777777" w:rsidR="00A82082" w:rsidRDefault="00A82082">
            <w:pPr>
              <w:rPr>
                <w:rFonts w:ascii="宋体"/>
                <w:vanish/>
              </w:rPr>
            </w:pPr>
          </w:p>
        </w:tc>
      </w:tr>
      <w:tr w:rsidR="00A82082" w14:paraId="7E784D45" w14:textId="77777777">
        <w:tc>
          <w:tcPr>
            <w:tcW w:w="0" w:type="auto"/>
            <w:gridSpan w:val="3"/>
            <w:shd w:val="clear" w:color="auto" w:fill="CCEEFF"/>
            <w:tcMar>
              <w:top w:w="40" w:type="dxa"/>
              <w:left w:w="1235" w:type="dxa"/>
              <w:bottom w:w="40" w:type="dxa"/>
              <w:right w:w="20" w:type="dxa"/>
            </w:tcMar>
            <w:vAlign w:val="center"/>
          </w:tcPr>
          <w:p w14:paraId="7E784D3C" w14:textId="77777777" w:rsidR="00A82082" w:rsidRDefault="00E946F9">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7E784D3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3E" w14:textId="77777777" w:rsidR="00A82082" w:rsidRDefault="00E946F9">
            <w:pPr>
              <w:jc w:val="right"/>
              <w:textAlignment w:val="center"/>
            </w:pPr>
            <w:r>
              <w:rPr>
                <w:rFonts w:ascii="Times New Roman" w:eastAsia="宋体" w:hAnsi="Times New Roman"/>
                <w:color w:val="000000"/>
                <w:sz w:val="16"/>
                <w:szCs w:val="16"/>
              </w:rPr>
              <w:t>8,553 </w:t>
            </w:r>
          </w:p>
        </w:tc>
        <w:tc>
          <w:tcPr>
            <w:tcW w:w="0" w:type="auto"/>
            <w:shd w:val="clear" w:color="auto" w:fill="CCEEFF"/>
            <w:tcMar>
              <w:top w:w="40" w:type="dxa"/>
              <w:left w:w="0" w:type="dxa"/>
              <w:bottom w:w="40" w:type="dxa"/>
              <w:right w:w="20" w:type="dxa"/>
            </w:tcMar>
            <w:vAlign w:val="center"/>
          </w:tcPr>
          <w:p w14:paraId="7E784D3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4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41" w14:textId="77777777" w:rsidR="00A82082" w:rsidRDefault="00E946F9">
            <w:pPr>
              <w:jc w:val="right"/>
              <w:textAlignment w:val="center"/>
            </w:pPr>
            <w:r>
              <w:rPr>
                <w:rFonts w:ascii="Times New Roman" w:eastAsia="宋体" w:hAnsi="Times New Roman"/>
                <w:color w:val="000000"/>
                <w:sz w:val="16"/>
                <w:szCs w:val="16"/>
              </w:rPr>
              <w:t>2,925 </w:t>
            </w:r>
          </w:p>
        </w:tc>
        <w:tc>
          <w:tcPr>
            <w:tcW w:w="0" w:type="auto"/>
            <w:shd w:val="clear" w:color="auto" w:fill="CCEEFF"/>
            <w:tcMar>
              <w:top w:w="40" w:type="dxa"/>
              <w:left w:w="0" w:type="dxa"/>
              <w:bottom w:w="40" w:type="dxa"/>
              <w:right w:w="20" w:type="dxa"/>
            </w:tcMar>
            <w:vAlign w:val="center"/>
          </w:tcPr>
          <w:p w14:paraId="7E784D42" w14:textId="77777777" w:rsidR="00A82082" w:rsidRDefault="00A82082">
            <w:pPr>
              <w:jc w:val="right"/>
              <w:rPr>
                <w:rFonts w:ascii="宋体"/>
              </w:rPr>
            </w:pPr>
          </w:p>
        </w:tc>
        <w:tc>
          <w:tcPr>
            <w:tcW w:w="0" w:type="auto"/>
            <w:shd w:val="clear" w:color="auto" w:fill="auto"/>
          </w:tcPr>
          <w:p w14:paraId="7E784D43" w14:textId="77777777" w:rsidR="00A82082" w:rsidRDefault="00A82082">
            <w:pPr>
              <w:rPr>
                <w:rFonts w:ascii="宋体"/>
                <w:vanish/>
              </w:rPr>
            </w:pPr>
          </w:p>
        </w:tc>
        <w:tc>
          <w:tcPr>
            <w:tcW w:w="0" w:type="auto"/>
            <w:shd w:val="clear" w:color="auto" w:fill="auto"/>
          </w:tcPr>
          <w:p w14:paraId="7E784D44" w14:textId="77777777" w:rsidR="00A82082" w:rsidRDefault="00A82082">
            <w:pPr>
              <w:rPr>
                <w:rFonts w:ascii="宋体"/>
                <w:vanish/>
              </w:rPr>
            </w:pPr>
          </w:p>
        </w:tc>
      </w:tr>
      <w:tr w:rsidR="00A82082" w14:paraId="7E784D4F" w14:textId="77777777">
        <w:tc>
          <w:tcPr>
            <w:tcW w:w="0" w:type="auto"/>
            <w:gridSpan w:val="3"/>
            <w:shd w:val="clear" w:color="auto" w:fill="FFFFFF"/>
            <w:tcMar>
              <w:top w:w="40" w:type="dxa"/>
              <w:left w:w="1235" w:type="dxa"/>
              <w:bottom w:w="40" w:type="dxa"/>
              <w:right w:w="20" w:type="dxa"/>
            </w:tcMar>
            <w:vAlign w:val="center"/>
          </w:tcPr>
          <w:p w14:paraId="7E784D46" w14:textId="77777777" w:rsidR="00A82082" w:rsidRDefault="00E946F9">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7E784D4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48" w14:textId="77777777" w:rsidR="00A82082" w:rsidRDefault="00E946F9">
            <w:pPr>
              <w:jc w:val="right"/>
              <w:textAlignment w:val="center"/>
            </w:pPr>
            <w:r>
              <w:rPr>
                <w:rFonts w:ascii="Times New Roman" w:eastAsia="宋体" w:hAnsi="Times New Roman"/>
                <w:color w:val="000000"/>
                <w:sz w:val="16"/>
                <w:szCs w:val="16"/>
              </w:rPr>
              <w:t>1,796 </w:t>
            </w:r>
          </w:p>
        </w:tc>
        <w:tc>
          <w:tcPr>
            <w:tcW w:w="0" w:type="auto"/>
            <w:shd w:val="clear" w:color="auto" w:fill="FFFFFF"/>
            <w:tcMar>
              <w:top w:w="40" w:type="dxa"/>
              <w:left w:w="0" w:type="dxa"/>
              <w:bottom w:w="40" w:type="dxa"/>
              <w:right w:w="20" w:type="dxa"/>
            </w:tcMar>
            <w:vAlign w:val="center"/>
          </w:tcPr>
          <w:p w14:paraId="7E784D4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4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4B" w14:textId="77777777" w:rsidR="00A82082" w:rsidRDefault="00E946F9">
            <w:pPr>
              <w:jc w:val="right"/>
              <w:textAlignment w:val="center"/>
            </w:pPr>
            <w:r>
              <w:rPr>
                <w:rFonts w:ascii="Times New Roman" w:eastAsia="宋体" w:hAnsi="Times New Roman"/>
                <w:color w:val="000000"/>
                <w:sz w:val="16"/>
                <w:szCs w:val="16"/>
              </w:rPr>
              <w:t>(1,107)</w:t>
            </w:r>
          </w:p>
        </w:tc>
        <w:tc>
          <w:tcPr>
            <w:tcW w:w="0" w:type="auto"/>
            <w:shd w:val="clear" w:color="auto" w:fill="FFFFFF"/>
            <w:tcMar>
              <w:top w:w="40" w:type="dxa"/>
              <w:left w:w="0" w:type="dxa"/>
              <w:bottom w:w="40" w:type="dxa"/>
              <w:right w:w="20" w:type="dxa"/>
            </w:tcMar>
            <w:vAlign w:val="center"/>
          </w:tcPr>
          <w:p w14:paraId="7E784D4C" w14:textId="77777777" w:rsidR="00A82082" w:rsidRDefault="00A82082">
            <w:pPr>
              <w:jc w:val="right"/>
              <w:rPr>
                <w:rFonts w:ascii="宋体"/>
              </w:rPr>
            </w:pPr>
          </w:p>
        </w:tc>
        <w:tc>
          <w:tcPr>
            <w:tcW w:w="0" w:type="auto"/>
            <w:shd w:val="clear" w:color="auto" w:fill="auto"/>
          </w:tcPr>
          <w:p w14:paraId="7E784D4D" w14:textId="77777777" w:rsidR="00A82082" w:rsidRDefault="00A82082">
            <w:pPr>
              <w:rPr>
                <w:rFonts w:ascii="宋体"/>
                <w:vanish/>
              </w:rPr>
            </w:pPr>
          </w:p>
        </w:tc>
        <w:tc>
          <w:tcPr>
            <w:tcW w:w="0" w:type="auto"/>
            <w:shd w:val="clear" w:color="auto" w:fill="auto"/>
          </w:tcPr>
          <w:p w14:paraId="7E784D4E" w14:textId="77777777" w:rsidR="00A82082" w:rsidRDefault="00A82082">
            <w:pPr>
              <w:rPr>
                <w:rFonts w:ascii="宋体"/>
                <w:vanish/>
              </w:rPr>
            </w:pPr>
          </w:p>
        </w:tc>
      </w:tr>
      <w:tr w:rsidR="00A82082" w14:paraId="7E784D59" w14:textId="77777777">
        <w:tc>
          <w:tcPr>
            <w:tcW w:w="0" w:type="auto"/>
            <w:gridSpan w:val="3"/>
            <w:shd w:val="clear" w:color="auto" w:fill="CCEEFF"/>
            <w:tcMar>
              <w:top w:w="40" w:type="dxa"/>
              <w:left w:w="1235" w:type="dxa"/>
              <w:bottom w:w="40" w:type="dxa"/>
              <w:right w:w="20" w:type="dxa"/>
            </w:tcMar>
            <w:vAlign w:val="center"/>
          </w:tcPr>
          <w:p w14:paraId="7E784D50" w14:textId="77777777" w:rsidR="00A82082" w:rsidRDefault="00E946F9">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tcPr>
          <w:p w14:paraId="7E784D5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52" w14:textId="77777777" w:rsidR="00A82082" w:rsidRDefault="00E946F9">
            <w:pPr>
              <w:jc w:val="right"/>
              <w:textAlignment w:val="center"/>
            </w:pPr>
            <w:r>
              <w:rPr>
                <w:rFonts w:ascii="Times New Roman" w:eastAsia="宋体" w:hAnsi="Times New Roman"/>
                <w:color w:val="000000"/>
                <w:sz w:val="16"/>
                <w:szCs w:val="16"/>
              </w:rPr>
              <w:t>258 </w:t>
            </w:r>
          </w:p>
        </w:tc>
        <w:tc>
          <w:tcPr>
            <w:tcW w:w="0" w:type="auto"/>
            <w:shd w:val="clear" w:color="auto" w:fill="CCEEFF"/>
            <w:tcMar>
              <w:top w:w="40" w:type="dxa"/>
              <w:left w:w="0" w:type="dxa"/>
              <w:bottom w:w="40" w:type="dxa"/>
              <w:right w:w="20" w:type="dxa"/>
            </w:tcMar>
            <w:vAlign w:val="center"/>
          </w:tcPr>
          <w:p w14:paraId="7E784D5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5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55" w14:textId="77777777" w:rsidR="00A82082" w:rsidRDefault="00E946F9">
            <w:pPr>
              <w:jc w:val="right"/>
              <w:textAlignment w:val="center"/>
            </w:pPr>
            <w:r>
              <w:rPr>
                <w:rFonts w:ascii="Times New Roman" w:eastAsia="宋体" w:hAnsi="Times New Roman"/>
                <w:color w:val="000000"/>
                <w:sz w:val="16"/>
                <w:szCs w:val="16"/>
              </w:rPr>
              <w:t>(48)</w:t>
            </w:r>
          </w:p>
        </w:tc>
        <w:tc>
          <w:tcPr>
            <w:tcW w:w="0" w:type="auto"/>
            <w:shd w:val="clear" w:color="auto" w:fill="CCEEFF"/>
            <w:tcMar>
              <w:top w:w="40" w:type="dxa"/>
              <w:left w:w="0" w:type="dxa"/>
              <w:bottom w:w="40" w:type="dxa"/>
              <w:right w:w="20" w:type="dxa"/>
            </w:tcMar>
            <w:vAlign w:val="center"/>
          </w:tcPr>
          <w:p w14:paraId="7E784D56" w14:textId="77777777" w:rsidR="00A82082" w:rsidRDefault="00A82082">
            <w:pPr>
              <w:jc w:val="right"/>
              <w:rPr>
                <w:rFonts w:ascii="宋体"/>
              </w:rPr>
            </w:pPr>
          </w:p>
        </w:tc>
        <w:tc>
          <w:tcPr>
            <w:tcW w:w="0" w:type="auto"/>
            <w:shd w:val="clear" w:color="auto" w:fill="auto"/>
          </w:tcPr>
          <w:p w14:paraId="7E784D57" w14:textId="77777777" w:rsidR="00A82082" w:rsidRDefault="00A82082">
            <w:pPr>
              <w:rPr>
                <w:rFonts w:ascii="宋体"/>
                <w:vanish/>
              </w:rPr>
            </w:pPr>
          </w:p>
        </w:tc>
        <w:tc>
          <w:tcPr>
            <w:tcW w:w="0" w:type="auto"/>
            <w:shd w:val="clear" w:color="auto" w:fill="auto"/>
          </w:tcPr>
          <w:p w14:paraId="7E784D58" w14:textId="77777777" w:rsidR="00A82082" w:rsidRDefault="00A82082">
            <w:pPr>
              <w:rPr>
                <w:rFonts w:ascii="宋体"/>
                <w:vanish/>
              </w:rPr>
            </w:pPr>
          </w:p>
        </w:tc>
      </w:tr>
      <w:tr w:rsidR="00A82082" w14:paraId="7E784D63" w14:textId="77777777">
        <w:tc>
          <w:tcPr>
            <w:tcW w:w="0" w:type="auto"/>
            <w:gridSpan w:val="3"/>
            <w:shd w:val="clear" w:color="auto" w:fill="FFFFFF"/>
            <w:tcMar>
              <w:top w:w="40" w:type="dxa"/>
              <w:left w:w="20" w:type="dxa"/>
              <w:bottom w:w="40" w:type="dxa"/>
              <w:right w:w="20" w:type="dxa"/>
            </w:tcMar>
            <w:vAlign w:val="center"/>
          </w:tcPr>
          <w:p w14:paraId="7E784D5A" w14:textId="77777777" w:rsidR="00A82082" w:rsidRDefault="00E946F9">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FFFFFF"/>
            <w:tcMar>
              <w:top w:w="0" w:type="dxa"/>
              <w:left w:w="20" w:type="dxa"/>
              <w:bottom w:w="0" w:type="dxa"/>
              <w:right w:w="20" w:type="dxa"/>
            </w:tcMar>
          </w:tcPr>
          <w:p w14:paraId="7E784D5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D5C" w14:textId="77777777" w:rsidR="00A82082" w:rsidRDefault="00E946F9">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D5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5E"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D5F" w14:textId="77777777" w:rsidR="00A82082" w:rsidRDefault="00E946F9">
            <w:pPr>
              <w:jc w:val="right"/>
              <w:textAlignment w:val="center"/>
            </w:pPr>
            <w:r>
              <w:rPr>
                <w:rFonts w:ascii="Times New Roman" w:eastAsia="宋体" w:hAnsi="Times New Roman"/>
                <w:color w:val="000000"/>
                <w:sz w:val="16"/>
                <w:szCs w:val="16"/>
              </w:rPr>
              <w:t>14,539 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D60" w14:textId="77777777" w:rsidR="00A82082" w:rsidRDefault="00A82082">
            <w:pPr>
              <w:jc w:val="right"/>
              <w:rPr>
                <w:rFonts w:ascii="宋体"/>
              </w:rPr>
            </w:pPr>
          </w:p>
        </w:tc>
        <w:tc>
          <w:tcPr>
            <w:tcW w:w="0" w:type="auto"/>
            <w:shd w:val="clear" w:color="auto" w:fill="auto"/>
          </w:tcPr>
          <w:p w14:paraId="7E784D61" w14:textId="77777777" w:rsidR="00A82082" w:rsidRDefault="00A82082">
            <w:pPr>
              <w:rPr>
                <w:rFonts w:ascii="宋体"/>
                <w:vanish/>
              </w:rPr>
            </w:pPr>
          </w:p>
        </w:tc>
        <w:tc>
          <w:tcPr>
            <w:tcW w:w="0" w:type="auto"/>
            <w:shd w:val="clear" w:color="auto" w:fill="auto"/>
          </w:tcPr>
          <w:p w14:paraId="7E784D62" w14:textId="77777777" w:rsidR="00A82082" w:rsidRDefault="00A82082">
            <w:pPr>
              <w:rPr>
                <w:rFonts w:ascii="宋体"/>
                <w:vanish/>
              </w:rPr>
            </w:pPr>
          </w:p>
        </w:tc>
      </w:tr>
      <w:tr w:rsidR="00A82082" w14:paraId="7E784D6B" w14:textId="77777777">
        <w:trPr>
          <w:trHeight w:val="220"/>
        </w:trPr>
        <w:tc>
          <w:tcPr>
            <w:tcW w:w="0" w:type="auto"/>
            <w:gridSpan w:val="3"/>
            <w:shd w:val="clear" w:color="auto" w:fill="CCEEFF"/>
            <w:tcMar>
              <w:top w:w="0" w:type="dxa"/>
              <w:left w:w="20" w:type="dxa"/>
              <w:bottom w:w="0" w:type="dxa"/>
              <w:right w:w="20" w:type="dxa"/>
            </w:tcMar>
          </w:tcPr>
          <w:p w14:paraId="7E784D6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6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66"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6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68" w14:textId="77777777" w:rsidR="00A82082" w:rsidRDefault="00A82082">
            <w:pPr>
              <w:rPr>
                <w:rFonts w:ascii="宋体"/>
              </w:rPr>
            </w:pPr>
          </w:p>
        </w:tc>
        <w:tc>
          <w:tcPr>
            <w:tcW w:w="0" w:type="auto"/>
            <w:shd w:val="clear" w:color="auto" w:fill="auto"/>
          </w:tcPr>
          <w:p w14:paraId="7E784D69" w14:textId="77777777" w:rsidR="00A82082" w:rsidRDefault="00A82082">
            <w:pPr>
              <w:rPr>
                <w:rFonts w:ascii="宋体"/>
                <w:vanish/>
              </w:rPr>
            </w:pPr>
          </w:p>
        </w:tc>
        <w:tc>
          <w:tcPr>
            <w:tcW w:w="0" w:type="auto"/>
            <w:shd w:val="clear" w:color="auto" w:fill="auto"/>
          </w:tcPr>
          <w:p w14:paraId="7E784D6A" w14:textId="77777777" w:rsidR="00A82082" w:rsidRDefault="00A82082">
            <w:pPr>
              <w:rPr>
                <w:rFonts w:ascii="宋体"/>
                <w:vanish/>
              </w:rPr>
            </w:pPr>
          </w:p>
        </w:tc>
      </w:tr>
      <w:tr w:rsidR="00A82082" w14:paraId="7E784D73" w14:textId="77777777">
        <w:tc>
          <w:tcPr>
            <w:tcW w:w="0" w:type="auto"/>
            <w:gridSpan w:val="3"/>
            <w:shd w:val="clear" w:color="auto" w:fill="FFFFFF"/>
            <w:tcMar>
              <w:top w:w="40" w:type="dxa"/>
              <w:left w:w="20" w:type="dxa"/>
              <w:bottom w:w="40" w:type="dxa"/>
              <w:right w:w="20" w:type="dxa"/>
            </w:tcMar>
            <w:vAlign w:val="center"/>
          </w:tcPr>
          <w:p w14:paraId="7E784D6C" w14:textId="77777777" w:rsidR="00A82082" w:rsidRDefault="00E946F9">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tcPr>
          <w:p w14:paraId="7E784D6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6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6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70" w14:textId="77777777" w:rsidR="00A82082" w:rsidRDefault="00A82082">
            <w:pPr>
              <w:rPr>
                <w:rFonts w:ascii="宋体"/>
              </w:rPr>
            </w:pPr>
          </w:p>
        </w:tc>
        <w:tc>
          <w:tcPr>
            <w:tcW w:w="0" w:type="auto"/>
            <w:shd w:val="clear" w:color="auto" w:fill="auto"/>
          </w:tcPr>
          <w:p w14:paraId="7E784D71" w14:textId="77777777" w:rsidR="00A82082" w:rsidRDefault="00A82082">
            <w:pPr>
              <w:rPr>
                <w:rFonts w:ascii="宋体"/>
                <w:vanish/>
              </w:rPr>
            </w:pPr>
          </w:p>
        </w:tc>
        <w:tc>
          <w:tcPr>
            <w:tcW w:w="0" w:type="auto"/>
            <w:shd w:val="clear" w:color="auto" w:fill="auto"/>
          </w:tcPr>
          <w:p w14:paraId="7E784D72" w14:textId="77777777" w:rsidR="00A82082" w:rsidRDefault="00A82082">
            <w:pPr>
              <w:rPr>
                <w:rFonts w:ascii="宋体"/>
                <w:vanish/>
              </w:rPr>
            </w:pPr>
          </w:p>
        </w:tc>
      </w:tr>
      <w:tr w:rsidR="00A82082" w14:paraId="7E784D7D" w14:textId="77777777">
        <w:tc>
          <w:tcPr>
            <w:tcW w:w="0" w:type="auto"/>
            <w:gridSpan w:val="3"/>
            <w:shd w:val="clear" w:color="auto" w:fill="CCEEFF"/>
            <w:tcMar>
              <w:top w:w="40" w:type="dxa"/>
              <w:left w:w="380" w:type="dxa"/>
              <w:bottom w:w="40" w:type="dxa"/>
              <w:right w:w="20" w:type="dxa"/>
            </w:tcMar>
            <w:vAlign w:val="center"/>
          </w:tcPr>
          <w:p w14:paraId="7E784D74" w14:textId="77777777" w:rsidR="00A82082" w:rsidRDefault="00E946F9">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CCEEFF"/>
            <w:tcMar>
              <w:top w:w="0" w:type="dxa"/>
              <w:left w:w="20" w:type="dxa"/>
              <w:bottom w:w="0" w:type="dxa"/>
              <w:right w:w="20" w:type="dxa"/>
            </w:tcMar>
          </w:tcPr>
          <w:p w14:paraId="7E784D7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76" w14:textId="77777777" w:rsidR="00A82082" w:rsidRDefault="00E946F9">
            <w:pPr>
              <w:jc w:val="right"/>
              <w:textAlignment w:val="center"/>
            </w:pPr>
            <w:r>
              <w:rPr>
                <w:rFonts w:ascii="Times New Roman" w:eastAsia="宋体" w:hAnsi="Times New Roman"/>
                <w:color w:val="000000"/>
                <w:sz w:val="16"/>
                <w:szCs w:val="16"/>
              </w:rPr>
              <w:t>(6,438)</w:t>
            </w:r>
          </w:p>
        </w:tc>
        <w:tc>
          <w:tcPr>
            <w:tcW w:w="0" w:type="auto"/>
            <w:shd w:val="clear" w:color="auto" w:fill="CCEEFF"/>
            <w:tcMar>
              <w:top w:w="40" w:type="dxa"/>
              <w:left w:w="0" w:type="dxa"/>
              <w:bottom w:w="40" w:type="dxa"/>
              <w:right w:w="20" w:type="dxa"/>
            </w:tcMar>
            <w:vAlign w:val="center"/>
          </w:tcPr>
          <w:p w14:paraId="7E784D7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7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79" w14:textId="77777777" w:rsidR="00A82082" w:rsidRDefault="00E946F9">
            <w:pPr>
              <w:jc w:val="right"/>
              <w:textAlignment w:val="center"/>
            </w:pPr>
            <w:r>
              <w:rPr>
                <w:rFonts w:ascii="Times New Roman" w:eastAsia="宋体" w:hAnsi="Times New Roman"/>
                <w:color w:val="000000"/>
                <w:sz w:val="16"/>
                <w:szCs w:val="16"/>
              </w:rPr>
              <w:t>(7,765)</w:t>
            </w:r>
          </w:p>
        </w:tc>
        <w:tc>
          <w:tcPr>
            <w:tcW w:w="0" w:type="auto"/>
            <w:shd w:val="clear" w:color="auto" w:fill="CCEEFF"/>
            <w:tcMar>
              <w:top w:w="40" w:type="dxa"/>
              <w:left w:w="0" w:type="dxa"/>
              <w:bottom w:w="40" w:type="dxa"/>
              <w:right w:w="20" w:type="dxa"/>
            </w:tcMar>
            <w:vAlign w:val="center"/>
          </w:tcPr>
          <w:p w14:paraId="7E784D7A" w14:textId="77777777" w:rsidR="00A82082" w:rsidRDefault="00A82082">
            <w:pPr>
              <w:jc w:val="right"/>
              <w:rPr>
                <w:rFonts w:ascii="宋体"/>
              </w:rPr>
            </w:pPr>
          </w:p>
        </w:tc>
        <w:tc>
          <w:tcPr>
            <w:tcW w:w="0" w:type="auto"/>
            <w:shd w:val="clear" w:color="auto" w:fill="auto"/>
          </w:tcPr>
          <w:p w14:paraId="7E784D7B" w14:textId="77777777" w:rsidR="00A82082" w:rsidRDefault="00A82082">
            <w:pPr>
              <w:rPr>
                <w:rFonts w:ascii="宋体"/>
                <w:vanish/>
              </w:rPr>
            </w:pPr>
          </w:p>
        </w:tc>
        <w:tc>
          <w:tcPr>
            <w:tcW w:w="0" w:type="auto"/>
            <w:shd w:val="clear" w:color="auto" w:fill="auto"/>
          </w:tcPr>
          <w:p w14:paraId="7E784D7C" w14:textId="77777777" w:rsidR="00A82082" w:rsidRDefault="00A82082">
            <w:pPr>
              <w:rPr>
                <w:rFonts w:ascii="宋体"/>
                <w:vanish/>
              </w:rPr>
            </w:pPr>
          </w:p>
        </w:tc>
      </w:tr>
      <w:tr w:rsidR="00A82082" w14:paraId="7E784D87" w14:textId="77777777">
        <w:tc>
          <w:tcPr>
            <w:tcW w:w="0" w:type="auto"/>
            <w:gridSpan w:val="3"/>
            <w:shd w:val="clear" w:color="auto" w:fill="FFFFFF"/>
            <w:tcMar>
              <w:top w:w="40" w:type="dxa"/>
              <w:left w:w="380" w:type="dxa"/>
              <w:bottom w:w="40" w:type="dxa"/>
              <w:right w:w="20" w:type="dxa"/>
            </w:tcMar>
            <w:vAlign w:val="center"/>
          </w:tcPr>
          <w:p w14:paraId="7E784D7E" w14:textId="77777777" w:rsidR="00A82082" w:rsidRDefault="00E946F9">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tcPr>
          <w:p w14:paraId="7E784D7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80" w14:textId="77777777" w:rsidR="00A82082" w:rsidRDefault="00E946F9">
            <w:pPr>
              <w:jc w:val="right"/>
              <w:textAlignment w:val="center"/>
            </w:pPr>
            <w:r>
              <w:rPr>
                <w:rFonts w:ascii="Times New Roman" w:eastAsia="宋体" w:hAnsi="Times New Roman"/>
                <w:color w:val="000000"/>
                <w:sz w:val="16"/>
                <w:szCs w:val="16"/>
              </w:rPr>
              <w:t>99 </w:t>
            </w:r>
          </w:p>
        </w:tc>
        <w:tc>
          <w:tcPr>
            <w:tcW w:w="0" w:type="auto"/>
            <w:shd w:val="clear" w:color="auto" w:fill="FFFFFF"/>
            <w:tcMar>
              <w:top w:w="40" w:type="dxa"/>
              <w:left w:w="0" w:type="dxa"/>
              <w:bottom w:w="40" w:type="dxa"/>
              <w:right w:w="20" w:type="dxa"/>
            </w:tcMar>
            <w:vAlign w:val="center"/>
          </w:tcPr>
          <w:p w14:paraId="7E784D8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8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83" w14:textId="77777777" w:rsidR="00A82082" w:rsidRDefault="00E946F9">
            <w:pPr>
              <w:jc w:val="right"/>
              <w:textAlignment w:val="center"/>
            </w:pPr>
            <w:r>
              <w:rPr>
                <w:rFonts w:ascii="Times New Roman" w:eastAsia="宋体" w:hAnsi="Times New Roman"/>
                <w:color w:val="000000"/>
                <w:sz w:val="16"/>
                <w:szCs w:val="16"/>
              </w:rPr>
              <w:t>218 </w:t>
            </w:r>
          </w:p>
        </w:tc>
        <w:tc>
          <w:tcPr>
            <w:tcW w:w="0" w:type="auto"/>
            <w:shd w:val="clear" w:color="auto" w:fill="FFFFFF"/>
            <w:tcMar>
              <w:top w:w="40" w:type="dxa"/>
              <w:left w:w="0" w:type="dxa"/>
              <w:bottom w:w="40" w:type="dxa"/>
              <w:right w:w="20" w:type="dxa"/>
            </w:tcMar>
            <w:vAlign w:val="center"/>
          </w:tcPr>
          <w:p w14:paraId="7E784D84" w14:textId="77777777" w:rsidR="00A82082" w:rsidRDefault="00A82082">
            <w:pPr>
              <w:jc w:val="right"/>
              <w:rPr>
                <w:rFonts w:ascii="宋体"/>
              </w:rPr>
            </w:pPr>
          </w:p>
        </w:tc>
        <w:tc>
          <w:tcPr>
            <w:tcW w:w="0" w:type="auto"/>
            <w:shd w:val="clear" w:color="auto" w:fill="auto"/>
          </w:tcPr>
          <w:p w14:paraId="7E784D85" w14:textId="77777777" w:rsidR="00A82082" w:rsidRDefault="00A82082">
            <w:pPr>
              <w:rPr>
                <w:rFonts w:ascii="宋体"/>
                <w:vanish/>
              </w:rPr>
            </w:pPr>
          </w:p>
        </w:tc>
        <w:tc>
          <w:tcPr>
            <w:tcW w:w="0" w:type="auto"/>
            <w:shd w:val="clear" w:color="auto" w:fill="auto"/>
          </w:tcPr>
          <w:p w14:paraId="7E784D86" w14:textId="77777777" w:rsidR="00A82082" w:rsidRDefault="00A82082">
            <w:pPr>
              <w:rPr>
                <w:rFonts w:ascii="宋体"/>
                <w:vanish/>
              </w:rPr>
            </w:pPr>
          </w:p>
        </w:tc>
      </w:tr>
      <w:tr w:rsidR="00A82082" w14:paraId="7E784D91" w14:textId="77777777">
        <w:tc>
          <w:tcPr>
            <w:tcW w:w="0" w:type="auto"/>
            <w:gridSpan w:val="3"/>
            <w:shd w:val="clear" w:color="auto" w:fill="CCEEFF"/>
            <w:tcMar>
              <w:top w:w="40" w:type="dxa"/>
              <w:left w:w="380" w:type="dxa"/>
              <w:bottom w:w="40" w:type="dxa"/>
              <w:right w:w="20" w:type="dxa"/>
            </w:tcMar>
            <w:vAlign w:val="center"/>
          </w:tcPr>
          <w:p w14:paraId="7E784D88" w14:textId="77777777" w:rsidR="00A82082" w:rsidRDefault="00E946F9">
            <w:pPr>
              <w:textAlignment w:val="center"/>
            </w:pPr>
            <w:r>
              <w:rPr>
                <w:rFonts w:ascii="Times New Roman" w:eastAsia="宋体" w:hAnsi="Times New Roman"/>
                <w:color w:val="000000"/>
                <w:sz w:val="16"/>
                <w:szCs w:val="16"/>
              </w:rPr>
              <w:t>Proceeds from the disposal of certain operations</w:t>
            </w:r>
          </w:p>
        </w:tc>
        <w:tc>
          <w:tcPr>
            <w:tcW w:w="0" w:type="auto"/>
            <w:gridSpan w:val="3"/>
            <w:shd w:val="clear" w:color="auto" w:fill="CCEEFF"/>
            <w:tcMar>
              <w:top w:w="0" w:type="dxa"/>
              <w:left w:w="20" w:type="dxa"/>
              <w:bottom w:w="0" w:type="dxa"/>
              <w:right w:w="20" w:type="dxa"/>
            </w:tcMar>
          </w:tcPr>
          <w:p w14:paraId="7E784D8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8A" w14:textId="77777777" w:rsidR="00A82082" w:rsidRDefault="00E946F9">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7E784D8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8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8D" w14:textId="77777777" w:rsidR="00A82082" w:rsidRDefault="00E946F9">
            <w:pPr>
              <w:jc w:val="right"/>
              <w:textAlignment w:val="center"/>
            </w:pPr>
            <w:r>
              <w:rPr>
                <w:rFonts w:ascii="Times New Roman" w:eastAsia="宋体" w:hAnsi="Times New Roman"/>
                <w:color w:val="000000"/>
                <w:sz w:val="16"/>
                <w:szCs w:val="16"/>
              </w:rPr>
              <w:t>833 </w:t>
            </w:r>
          </w:p>
        </w:tc>
        <w:tc>
          <w:tcPr>
            <w:tcW w:w="0" w:type="auto"/>
            <w:shd w:val="clear" w:color="auto" w:fill="CCEEFF"/>
            <w:tcMar>
              <w:top w:w="40" w:type="dxa"/>
              <w:left w:w="0" w:type="dxa"/>
              <w:bottom w:w="40" w:type="dxa"/>
              <w:right w:w="20" w:type="dxa"/>
            </w:tcMar>
            <w:vAlign w:val="center"/>
          </w:tcPr>
          <w:p w14:paraId="7E784D8E" w14:textId="77777777" w:rsidR="00A82082" w:rsidRDefault="00A82082">
            <w:pPr>
              <w:jc w:val="right"/>
              <w:rPr>
                <w:rFonts w:ascii="宋体"/>
              </w:rPr>
            </w:pPr>
          </w:p>
        </w:tc>
        <w:tc>
          <w:tcPr>
            <w:tcW w:w="0" w:type="auto"/>
            <w:shd w:val="clear" w:color="auto" w:fill="auto"/>
          </w:tcPr>
          <w:p w14:paraId="7E784D8F" w14:textId="77777777" w:rsidR="00A82082" w:rsidRDefault="00A82082">
            <w:pPr>
              <w:rPr>
                <w:rFonts w:ascii="宋体"/>
                <w:vanish/>
              </w:rPr>
            </w:pPr>
          </w:p>
        </w:tc>
        <w:tc>
          <w:tcPr>
            <w:tcW w:w="0" w:type="auto"/>
            <w:shd w:val="clear" w:color="auto" w:fill="auto"/>
          </w:tcPr>
          <w:p w14:paraId="7E784D90" w14:textId="77777777" w:rsidR="00A82082" w:rsidRDefault="00A82082">
            <w:pPr>
              <w:rPr>
                <w:rFonts w:ascii="宋体"/>
                <w:vanish/>
              </w:rPr>
            </w:pPr>
          </w:p>
        </w:tc>
      </w:tr>
      <w:tr w:rsidR="00A82082" w14:paraId="7E784D99" w14:textId="77777777">
        <w:trPr>
          <w:hidden/>
        </w:trPr>
        <w:tc>
          <w:tcPr>
            <w:tcW w:w="0" w:type="auto"/>
            <w:gridSpan w:val="3"/>
            <w:shd w:val="clear" w:color="auto" w:fill="auto"/>
          </w:tcPr>
          <w:p w14:paraId="7E784D92" w14:textId="77777777" w:rsidR="00A82082" w:rsidRDefault="00A82082">
            <w:pPr>
              <w:rPr>
                <w:rFonts w:ascii="宋体"/>
                <w:vanish/>
              </w:rPr>
            </w:pPr>
          </w:p>
        </w:tc>
        <w:tc>
          <w:tcPr>
            <w:tcW w:w="0" w:type="auto"/>
            <w:gridSpan w:val="3"/>
            <w:shd w:val="clear" w:color="auto" w:fill="auto"/>
          </w:tcPr>
          <w:p w14:paraId="7E784D93" w14:textId="77777777" w:rsidR="00A82082" w:rsidRDefault="00A82082">
            <w:pPr>
              <w:rPr>
                <w:rFonts w:ascii="宋体"/>
                <w:vanish/>
              </w:rPr>
            </w:pPr>
          </w:p>
        </w:tc>
        <w:tc>
          <w:tcPr>
            <w:tcW w:w="0" w:type="auto"/>
            <w:gridSpan w:val="3"/>
            <w:shd w:val="clear" w:color="auto" w:fill="auto"/>
          </w:tcPr>
          <w:p w14:paraId="7E784D94" w14:textId="77777777" w:rsidR="00A82082" w:rsidRDefault="00A82082">
            <w:pPr>
              <w:rPr>
                <w:rFonts w:ascii="宋体"/>
                <w:vanish/>
              </w:rPr>
            </w:pPr>
          </w:p>
        </w:tc>
        <w:tc>
          <w:tcPr>
            <w:tcW w:w="0" w:type="auto"/>
            <w:gridSpan w:val="3"/>
            <w:shd w:val="clear" w:color="auto" w:fill="auto"/>
          </w:tcPr>
          <w:p w14:paraId="7E784D95" w14:textId="77777777" w:rsidR="00A82082" w:rsidRDefault="00A82082">
            <w:pPr>
              <w:rPr>
                <w:rFonts w:ascii="宋体"/>
                <w:vanish/>
              </w:rPr>
            </w:pPr>
          </w:p>
        </w:tc>
        <w:tc>
          <w:tcPr>
            <w:tcW w:w="0" w:type="auto"/>
            <w:gridSpan w:val="3"/>
            <w:shd w:val="clear" w:color="auto" w:fill="auto"/>
          </w:tcPr>
          <w:p w14:paraId="7E784D96" w14:textId="77777777" w:rsidR="00A82082" w:rsidRDefault="00A82082">
            <w:pPr>
              <w:rPr>
                <w:rFonts w:ascii="宋体"/>
                <w:vanish/>
              </w:rPr>
            </w:pPr>
          </w:p>
        </w:tc>
        <w:tc>
          <w:tcPr>
            <w:tcW w:w="0" w:type="auto"/>
            <w:shd w:val="clear" w:color="auto" w:fill="auto"/>
          </w:tcPr>
          <w:p w14:paraId="7E784D97" w14:textId="77777777" w:rsidR="00A82082" w:rsidRDefault="00A82082">
            <w:pPr>
              <w:rPr>
                <w:rFonts w:ascii="宋体"/>
                <w:vanish/>
              </w:rPr>
            </w:pPr>
          </w:p>
        </w:tc>
        <w:tc>
          <w:tcPr>
            <w:tcW w:w="0" w:type="auto"/>
            <w:shd w:val="clear" w:color="auto" w:fill="auto"/>
          </w:tcPr>
          <w:p w14:paraId="7E784D98" w14:textId="77777777" w:rsidR="00A82082" w:rsidRDefault="00A82082">
            <w:pPr>
              <w:rPr>
                <w:rFonts w:ascii="宋体"/>
                <w:vanish/>
              </w:rPr>
            </w:pPr>
          </w:p>
        </w:tc>
      </w:tr>
      <w:tr w:rsidR="00A82082" w14:paraId="7E784DA3" w14:textId="77777777">
        <w:tc>
          <w:tcPr>
            <w:tcW w:w="0" w:type="auto"/>
            <w:gridSpan w:val="3"/>
            <w:shd w:val="clear" w:color="auto" w:fill="FFFFFF"/>
            <w:tcMar>
              <w:top w:w="40" w:type="dxa"/>
              <w:left w:w="380" w:type="dxa"/>
              <w:bottom w:w="40" w:type="dxa"/>
              <w:right w:w="20" w:type="dxa"/>
            </w:tcMar>
            <w:vAlign w:val="center"/>
          </w:tcPr>
          <w:p w14:paraId="7E784D9A" w14:textId="77777777" w:rsidR="00A82082" w:rsidRDefault="00E946F9">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FFFFFF"/>
            <w:tcMar>
              <w:top w:w="0" w:type="dxa"/>
              <w:left w:w="20" w:type="dxa"/>
              <w:bottom w:w="0" w:type="dxa"/>
              <w:right w:w="20" w:type="dxa"/>
            </w:tcMar>
          </w:tcPr>
          <w:p w14:paraId="7E784D9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D9C" w14:textId="77777777" w:rsidR="00A82082" w:rsidRDefault="00E946F9">
            <w:pPr>
              <w:jc w:val="right"/>
              <w:textAlignment w:val="bottom"/>
            </w:pPr>
            <w:r>
              <w:rPr>
                <w:rFonts w:ascii="Times New Roman" w:eastAsia="宋体" w:hAnsi="Times New Roman"/>
                <w:color w:val="000000"/>
                <w:sz w:val="16"/>
                <w:szCs w:val="16"/>
              </w:rPr>
              <w:t>(180)</w:t>
            </w:r>
          </w:p>
        </w:tc>
        <w:tc>
          <w:tcPr>
            <w:tcW w:w="0" w:type="auto"/>
            <w:shd w:val="clear" w:color="auto" w:fill="FFFFFF"/>
            <w:tcMar>
              <w:top w:w="40" w:type="dxa"/>
              <w:left w:w="0" w:type="dxa"/>
              <w:bottom w:w="40" w:type="dxa"/>
              <w:right w:w="20" w:type="dxa"/>
            </w:tcMar>
            <w:vAlign w:val="bottom"/>
          </w:tcPr>
          <w:p w14:paraId="7E784D9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9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D9F" w14:textId="77777777" w:rsidR="00A82082" w:rsidRDefault="00E946F9">
            <w:pPr>
              <w:jc w:val="right"/>
              <w:textAlignment w:val="bottom"/>
            </w:pPr>
            <w:r>
              <w:rPr>
                <w:rFonts w:ascii="Times New Roman" w:eastAsia="宋体" w:hAnsi="Times New Roman"/>
                <w:color w:val="000000"/>
                <w:sz w:val="16"/>
                <w:szCs w:val="16"/>
              </w:rPr>
              <w:t>(56)</w:t>
            </w:r>
          </w:p>
        </w:tc>
        <w:tc>
          <w:tcPr>
            <w:tcW w:w="0" w:type="auto"/>
            <w:shd w:val="clear" w:color="auto" w:fill="FFFFFF"/>
            <w:tcMar>
              <w:top w:w="40" w:type="dxa"/>
              <w:left w:w="0" w:type="dxa"/>
              <w:bottom w:w="40" w:type="dxa"/>
              <w:right w:w="20" w:type="dxa"/>
            </w:tcMar>
            <w:vAlign w:val="bottom"/>
          </w:tcPr>
          <w:p w14:paraId="7E784DA0" w14:textId="77777777" w:rsidR="00A82082" w:rsidRDefault="00A82082">
            <w:pPr>
              <w:jc w:val="right"/>
              <w:rPr>
                <w:rFonts w:ascii="宋体"/>
              </w:rPr>
            </w:pPr>
          </w:p>
        </w:tc>
        <w:tc>
          <w:tcPr>
            <w:tcW w:w="0" w:type="auto"/>
            <w:shd w:val="clear" w:color="auto" w:fill="auto"/>
          </w:tcPr>
          <w:p w14:paraId="7E784DA1" w14:textId="77777777" w:rsidR="00A82082" w:rsidRDefault="00A82082">
            <w:pPr>
              <w:rPr>
                <w:rFonts w:ascii="宋体"/>
                <w:vanish/>
              </w:rPr>
            </w:pPr>
          </w:p>
        </w:tc>
        <w:tc>
          <w:tcPr>
            <w:tcW w:w="0" w:type="auto"/>
            <w:shd w:val="clear" w:color="auto" w:fill="auto"/>
          </w:tcPr>
          <w:p w14:paraId="7E784DA2" w14:textId="77777777" w:rsidR="00A82082" w:rsidRDefault="00A82082">
            <w:pPr>
              <w:rPr>
                <w:rFonts w:ascii="宋体"/>
                <w:vanish/>
              </w:rPr>
            </w:pPr>
          </w:p>
        </w:tc>
      </w:tr>
      <w:tr w:rsidR="00A82082" w14:paraId="7E784DAD" w14:textId="77777777">
        <w:tc>
          <w:tcPr>
            <w:tcW w:w="0" w:type="auto"/>
            <w:gridSpan w:val="3"/>
            <w:shd w:val="clear" w:color="auto" w:fill="CCEEFF"/>
            <w:tcMar>
              <w:top w:w="40" w:type="dxa"/>
              <w:left w:w="380" w:type="dxa"/>
              <w:bottom w:w="40" w:type="dxa"/>
              <w:right w:w="20" w:type="dxa"/>
            </w:tcMar>
            <w:vAlign w:val="center"/>
          </w:tcPr>
          <w:p w14:paraId="7E784DA4" w14:textId="77777777" w:rsidR="00A82082" w:rsidRDefault="00E946F9">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tcPr>
          <w:p w14:paraId="7E784DA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A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DA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A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A9" w14:textId="77777777" w:rsidR="00A82082" w:rsidRDefault="00E946F9">
            <w:pPr>
              <w:jc w:val="right"/>
              <w:textAlignment w:val="center"/>
            </w:pPr>
            <w:r>
              <w:rPr>
                <w:rFonts w:ascii="Times New Roman" w:eastAsia="宋体" w:hAnsi="Times New Roman"/>
                <w:color w:val="000000"/>
                <w:sz w:val="16"/>
                <w:szCs w:val="16"/>
              </w:rPr>
              <w:t>485 </w:t>
            </w:r>
          </w:p>
        </w:tc>
        <w:tc>
          <w:tcPr>
            <w:tcW w:w="0" w:type="auto"/>
            <w:shd w:val="clear" w:color="auto" w:fill="CCEEFF"/>
            <w:tcMar>
              <w:top w:w="40" w:type="dxa"/>
              <w:left w:w="0" w:type="dxa"/>
              <w:bottom w:w="40" w:type="dxa"/>
              <w:right w:w="20" w:type="dxa"/>
            </w:tcMar>
            <w:vAlign w:val="center"/>
          </w:tcPr>
          <w:p w14:paraId="7E784DAA" w14:textId="77777777" w:rsidR="00A82082" w:rsidRDefault="00A82082">
            <w:pPr>
              <w:jc w:val="right"/>
              <w:rPr>
                <w:rFonts w:ascii="宋体"/>
              </w:rPr>
            </w:pPr>
          </w:p>
        </w:tc>
        <w:tc>
          <w:tcPr>
            <w:tcW w:w="0" w:type="auto"/>
            <w:shd w:val="clear" w:color="auto" w:fill="auto"/>
          </w:tcPr>
          <w:p w14:paraId="7E784DAB" w14:textId="77777777" w:rsidR="00A82082" w:rsidRDefault="00A82082">
            <w:pPr>
              <w:rPr>
                <w:rFonts w:ascii="宋体"/>
                <w:vanish/>
              </w:rPr>
            </w:pPr>
          </w:p>
        </w:tc>
        <w:tc>
          <w:tcPr>
            <w:tcW w:w="0" w:type="auto"/>
            <w:shd w:val="clear" w:color="auto" w:fill="auto"/>
          </w:tcPr>
          <w:p w14:paraId="7E784DAC" w14:textId="77777777" w:rsidR="00A82082" w:rsidRDefault="00A82082">
            <w:pPr>
              <w:rPr>
                <w:rFonts w:ascii="宋体"/>
                <w:vanish/>
              </w:rPr>
            </w:pPr>
          </w:p>
        </w:tc>
      </w:tr>
      <w:tr w:rsidR="00A82082" w14:paraId="7E784DB7" w14:textId="77777777">
        <w:tc>
          <w:tcPr>
            <w:tcW w:w="0" w:type="auto"/>
            <w:gridSpan w:val="3"/>
            <w:shd w:val="clear" w:color="auto" w:fill="FFFFFF"/>
            <w:tcMar>
              <w:top w:w="40" w:type="dxa"/>
              <w:left w:w="20" w:type="dxa"/>
              <w:bottom w:w="40" w:type="dxa"/>
              <w:right w:w="20" w:type="dxa"/>
            </w:tcMar>
            <w:vAlign w:val="center"/>
          </w:tcPr>
          <w:p w14:paraId="7E784DAE" w14:textId="77777777" w:rsidR="00A82082" w:rsidRDefault="00E946F9">
            <w:pPr>
              <w:textAlignment w:val="center"/>
            </w:pPr>
            <w:r>
              <w:rPr>
                <w:rFonts w:ascii="Times New Roman" w:eastAsia="宋体" w:hAnsi="Times New Roman"/>
                <w:color w:val="000000"/>
                <w:sz w:val="16"/>
                <w:szCs w:val="16"/>
              </w:rPr>
              <w:t>Net cash used in investing activities</w:t>
            </w:r>
          </w:p>
        </w:tc>
        <w:tc>
          <w:tcPr>
            <w:tcW w:w="0" w:type="auto"/>
            <w:gridSpan w:val="3"/>
            <w:shd w:val="clear" w:color="auto" w:fill="FFFFFF"/>
            <w:tcMar>
              <w:top w:w="0" w:type="dxa"/>
              <w:left w:w="20" w:type="dxa"/>
              <w:bottom w:w="0" w:type="dxa"/>
              <w:right w:w="20" w:type="dxa"/>
            </w:tcMar>
          </w:tcPr>
          <w:p w14:paraId="7E784DAF"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DB0" w14:textId="77777777" w:rsidR="00A82082" w:rsidRDefault="00E946F9">
            <w:pPr>
              <w:jc w:val="right"/>
              <w:textAlignment w:val="center"/>
            </w:pPr>
            <w:r>
              <w:rPr>
                <w:rFonts w:ascii="Times New Roman" w:eastAsia="宋体" w:hAnsi="Times New Roman"/>
                <w:color w:val="000000"/>
                <w:sz w:val="16"/>
                <w:szCs w:val="16"/>
              </w:rPr>
              <w:t>(6,507)</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DB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B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DB3" w14:textId="77777777" w:rsidR="00A82082" w:rsidRDefault="00E946F9">
            <w:pPr>
              <w:jc w:val="right"/>
              <w:textAlignment w:val="center"/>
            </w:pPr>
            <w:r>
              <w:rPr>
                <w:rFonts w:ascii="Times New Roman" w:eastAsia="宋体" w:hAnsi="Times New Roman"/>
                <w:color w:val="000000"/>
                <w:sz w:val="16"/>
                <w:szCs w:val="16"/>
              </w:rPr>
              <w:t>(6,285)</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DB4" w14:textId="77777777" w:rsidR="00A82082" w:rsidRDefault="00A82082">
            <w:pPr>
              <w:jc w:val="right"/>
              <w:rPr>
                <w:rFonts w:ascii="宋体"/>
              </w:rPr>
            </w:pPr>
          </w:p>
        </w:tc>
        <w:tc>
          <w:tcPr>
            <w:tcW w:w="0" w:type="auto"/>
            <w:shd w:val="clear" w:color="auto" w:fill="auto"/>
          </w:tcPr>
          <w:p w14:paraId="7E784DB5" w14:textId="77777777" w:rsidR="00A82082" w:rsidRDefault="00A82082">
            <w:pPr>
              <w:rPr>
                <w:rFonts w:ascii="宋体"/>
                <w:vanish/>
              </w:rPr>
            </w:pPr>
          </w:p>
        </w:tc>
        <w:tc>
          <w:tcPr>
            <w:tcW w:w="0" w:type="auto"/>
            <w:shd w:val="clear" w:color="auto" w:fill="auto"/>
          </w:tcPr>
          <w:p w14:paraId="7E784DB6" w14:textId="77777777" w:rsidR="00A82082" w:rsidRDefault="00A82082">
            <w:pPr>
              <w:rPr>
                <w:rFonts w:ascii="宋体"/>
                <w:vanish/>
              </w:rPr>
            </w:pPr>
          </w:p>
        </w:tc>
      </w:tr>
      <w:tr w:rsidR="00A82082" w14:paraId="7E784DBF" w14:textId="77777777">
        <w:trPr>
          <w:trHeight w:val="220"/>
        </w:trPr>
        <w:tc>
          <w:tcPr>
            <w:tcW w:w="0" w:type="auto"/>
            <w:gridSpan w:val="3"/>
            <w:shd w:val="clear" w:color="auto" w:fill="CCEEFF"/>
            <w:tcMar>
              <w:top w:w="0" w:type="dxa"/>
              <w:left w:w="20" w:type="dxa"/>
              <w:bottom w:w="0" w:type="dxa"/>
              <w:right w:w="20" w:type="dxa"/>
            </w:tcMar>
          </w:tcPr>
          <w:p w14:paraId="7E784DB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B9"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B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BB"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DBC" w14:textId="77777777" w:rsidR="00A82082" w:rsidRDefault="00A82082">
            <w:pPr>
              <w:rPr>
                <w:rFonts w:ascii="宋体"/>
              </w:rPr>
            </w:pPr>
          </w:p>
        </w:tc>
        <w:tc>
          <w:tcPr>
            <w:tcW w:w="0" w:type="auto"/>
            <w:shd w:val="clear" w:color="auto" w:fill="auto"/>
          </w:tcPr>
          <w:p w14:paraId="7E784DBD" w14:textId="77777777" w:rsidR="00A82082" w:rsidRDefault="00A82082">
            <w:pPr>
              <w:rPr>
                <w:rFonts w:ascii="宋体"/>
                <w:vanish/>
              </w:rPr>
            </w:pPr>
          </w:p>
        </w:tc>
        <w:tc>
          <w:tcPr>
            <w:tcW w:w="0" w:type="auto"/>
            <w:shd w:val="clear" w:color="auto" w:fill="auto"/>
          </w:tcPr>
          <w:p w14:paraId="7E784DBE" w14:textId="77777777" w:rsidR="00A82082" w:rsidRDefault="00A82082">
            <w:pPr>
              <w:rPr>
                <w:rFonts w:ascii="宋体"/>
                <w:vanish/>
              </w:rPr>
            </w:pPr>
          </w:p>
        </w:tc>
      </w:tr>
      <w:tr w:rsidR="00A82082" w14:paraId="7E784DC7" w14:textId="77777777">
        <w:tc>
          <w:tcPr>
            <w:tcW w:w="0" w:type="auto"/>
            <w:gridSpan w:val="3"/>
            <w:shd w:val="clear" w:color="auto" w:fill="FFFFFF"/>
            <w:tcMar>
              <w:top w:w="40" w:type="dxa"/>
              <w:left w:w="20" w:type="dxa"/>
              <w:bottom w:w="40" w:type="dxa"/>
              <w:right w:w="20" w:type="dxa"/>
            </w:tcMar>
            <w:vAlign w:val="center"/>
          </w:tcPr>
          <w:p w14:paraId="7E784DC0" w14:textId="77777777" w:rsidR="00A82082" w:rsidRDefault="00E946F9">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tcPr>
          <w:p w14:paraId="7E784DC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C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C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DC4" w14:textId="77777777" w:rsidR="00A82082" w:rsidRDefault="00A82082">
            <w:pPr>
              <w:rPr>
                <w:rFonts w:ascii="宋体"/>
              </w:rPr>
            </w:pPr>
          </w:p>
        </w:tc>
        <w:tc>
          <w:tcPr>
            <w:tcW w:w="0" w:type="auto"/>
            <w:shd w:val="clear" w:color="auto" w:fill="auto"/>
          </w:tcPr>
          <w:p w14:paraId="7E784DC5" w14:textId="77777777" w:rsidR="00A82082" w:rsidRDefault="00A82082">
            <w:pPr>
              <w:rPr>
                <w:rFonts w:ascii="宋体"/>
                <w:vanish/>
              </w:rPr>
            </w:pPr>
          </w:p>
        </w:tc>
        <w:tc>
          <w:tcPr>
            <w:tcW w:w="0" w:type="auto"/>
            <w:shd w:val="clear" w:color="auto" w:fill="auto"/>
          </w:tcPr>
          <w:p w14:paraId="7E784DC6" w14:textId="77777777" w:rsidR="00A82082" w:rsidRDefault="00A82082">
            <w:pPr>
              <w:rPr>
                <w:rFonts w:ascii="宋体"/>
                <w:vanish/>
              </w:rPr>
            </w:pPr>
          </w:p>
        </w:tc>
      </w:tr>
      <w:tr w:rsidR="00A82082" w14:paraId="7E784DD1" w14:textId="77777777">
        <w:tc>
          <w:tcPr>
            <w:tcW w:w="0" w:type="auto"/>
            <w:gridSpan w:val="3"/>
            <w:shd w:val="clear" w:color="auto" w:fill="CCEEFF"/>
            <w:tcMar>
              <w:top w:w="40" w:type="dxa"/>
              <w:left w:w="380" w:type="dxa"/>
              <w:bottom w:w="40" w:type="dxa"/>
              <w:right w:w="20" w:type="dxa"/>
            </w:tcMar>
            <w:vAlign w:val="center"/>
          </w:tcPr>
          <w:p w14:paraId="7E784DC8" w14:textId="77777777" w:rsidR="00A82082" w:rsidRDefault="00E946F9">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tcPr>
          <w:p w14:paraId="7E784DC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CA" w14:textId="77777777" w:rsidR="00A82082" w:rsidRDefault="00E946F9">
            <w:pPr>
              <w:jc w:val="right"/>
              <w:textAlignment w:val="center"/>
            </w:pPr>
            <w:r>
              <w:rPr>
                <w:rFonts w:ascii="Times New Roman" w:eastAsia="宋体" w:hAnsi="Times New Roman"/>
                <w:color w:val="000000"/>
                <w:sz w:val="16"/>
                <w:szCs w:val="16"/>
              </w:rPr>
              <w:t>(301)</w:t>
            </w:r>
          </w:p>
        </w:tc>
        <w:tc>
          <w:tcPr>
            <w:tcW w:w="0" w:type="auto"/>
            <w:shd w:val="clear" w:color="auto" w:fill="CCEEFF"/>
            <w:tcMar>
              <w:top w:w="40" w:type="dxa"/>
              <w:left w:w="0" w:type="dxa"/>
              <w:bottom w:w="40" w:type="dxa"/>
              <w:right w:w="20" w:type="dxa"/>
            </w:tcMar>
            <w:vAlign w:val="center"/>
          </w:tcPr>
          <w:p w14:paraId="7E784DC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C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CD" w14:textId="77777777" w:rsidR="00A82082" w:rsidRDefault="00E946F9">
            <w:pPr>
              <w:jc w:val="right"/>
              <w:textAlignment w:val="center"/>
            </w:pPr>
            <w:r>
              <w:rPr>
                <w:rFonts w:ascii="Times New Roman" w:eastAsia="宋体" w:hAnsi="Times New Roman"/>
                <w:color w:val="000000"/>
                <w:sz w:val="16"/>
                <w:szCs w:val="16"/>
              </w:rPr>
              <w:t>(282)</w:t>
            </w:r>
          </w:p>
        </w:tc>
        <w:tc>
          <w:tcPr>
            <w:tcW w:w="0" w:type="auto"/>
            <w:shd w:val="clear" w:color="auto" w:fill="CCEEFF"/>
            <w:tcMar>
              <w:top w:w="40" w:type="dxa"/>
              <w:left w:w="0" w:type="dxa"/>
              <w:bottom w:w="40" w:type="dxa"/>
              <w:right w:w="20" w:type="dxa"/>
            </w:tcMar>
            <w:vAlign w:val="center"/>
          </w:tcPr>
          <w:p w14:paraId="7E784DCE" w14:textId="77777777" w:rsidR="00A82082" w:rsidRDefault="00A82082">
            <w:pPr>
              <w:jc w:val="right"/>
              <w:rPr>
                <w:rFonts w:ascii="宋体"/>
              </w:rPr>
            </w:pPr>
          </w:p>
        </w:tc>
        <w:tc>
          <w:tcPr>
            <w:tcW w:w="0" w:type="auto"/>
            <w:shd w:val="clear" w:color="auto" w:fill="auto"/>
          </w:tcPr>
          <w:p w14:paraId="7E784DCF" w14:textId="77777777" w:rsidR="00A82082" w:rsidRDefault="00A82082">
            <w:pPr>
              <w:rPr>
                <w:rFonts w:ascii="宋体"/>
                <w:vanish/>
              </w:rPr>
            </w:pPr>
          </w:p>
        </w:tc>
        <w:tc>
          <w:tcPr>
            <w:tcW w:w="0" w:type="auto"/>
            <w:shd w:val="clear" w:color="auto" w:fill="auto"/>
          </w:tcPr>
          <w:p w14:paraId="7E784DD0" w14:textId="77777777" w:rsidR="00A82082" w:rsidRDefault="00A82082">
            <w:pPr>
              <w:rPr>
                <w:rFonts w:ascii="宋体"/>
                <w:vanish/>
              </w:rPr>
            </w:pPr>
          </w:p>
        </w:tc>
      </w:tr>
      <w:tr w:rsidR="00A82082" w14:paraId="7E784DDB" w14:textId="77777777">
        <w:tc>
          <w:tcPr>
            <w:tcW w:w="0" w:type="auto"/>
            <w:gridSpan w:val="3"/>
            <w:shd w:val="clear" w:color="auto" w:fill="FFFFFF"/>
            <w:tcMar>
              <w:top w:w="40" w:type="dxa"/>
              <w:left w:w="380" w:type="dxa"/>
              <w:bottom w:w="40" w:type="dxa"/>
              <w:right w:w="20" w:type="dxa"/>
            </w:tcMar>
            <w:vAlign w:val="center"/>
          </w:tcPr>
          <w:p w14:paraId="7E784DD2" w14:textId="77777777" w:rsidR="00A82082" w:rsidRDefault="00E946F9">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tcPr>
          <w:p w14:paraId="7E784DD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D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4DD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D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D7" w14:textId="77777777" w:rsidR="00A82082" w:rsidRDefault="00E946F9">
            <w:pPr>
              <w:jc w:val="right"/>
              <w:textAlignment w:val="center"/>
            </w:pPr>
            <w:r>
              <w:rPr>
                <w:rFonts w:ascii="Times New Roman" w:eastAsia="宋体" w:hAnsi="Times New Roman"/>
                <w:color w:val="000000"/>
                <w:sz w:val="16"/>
                <w:szCs w:val="16"/>
              </w:rPr>
              <w:t>5,492 </w:t>
            </w:r>
          </w:p>
        </w:tc>
        <w:tc>
          <w:tcPr>
            <w:tcW w:w="0" w:type="auto"/>
            <w:shd w:val="clear" w:color="auto" w:fill="FFFFFF"/>
            <w:tcMar>
              <w:top w:w="40" w:type="dxa"/>
              <w:left w:w="0" w:type="dxa"/>
              <w:bottom w:w="40" w:type="dxa"/>
              <w:right w:w="20" w:type="dxa"/>
            </w:tcMar>
            <w:vAlign w:val="center"/>
          </w:tcPr>
          <w:p w14:paraId="7E784DD8" w14:textId="77777777" w:rsidR="00A82082" w:rsidRDefault="00A82082">
            <w:pPr>
              <w:jc w:val="right"/>
              <w:rPr>
                <w:rFonts w:ascii="宋体"/>
              </w:rPr>
            </w:pPr>
          </w:p>
        </w:tc>
        <w:tc>
          <w:tcPr>
            <w:tcW w:w="0" w:type="auto"/>
            <w:shd w:val="clear" w:color="auto" w:fill="auto"/>
          </w:tcPr>
          <w:p w14:paraId="7E784DD9" w14:textId="77777777" w:rsidR="00A82082" w:rsidRDefault="00A82082">
            <w:pPr>
              <w:rPr>
                <w:rFonts w:ascii="宋体"/>
                <w:vanish/>
              </w:rPr>
            </w:pPr>
          </w:p>
        </w:tc>
        <w:tc>
          <w:tcPr>
            <w:tcW w:w="0" w:type="auto"/>
            <w:shd w:val="clear" w:color="auto" w:fill="auto"/>
          </w:tcPr>
          <w:p w14:paraId="7E784DDA" w14:textId="77777777" w:rsidR="00A82082" w:rsidRDefault="00A82082">
            <w:pPr>
              <w:rPr>
                <w:rFonts w:ascii="宋体"/>
                <w:vanish/>
              </w:rPr>
            </w:pPr>
          </w:p>
        </w:tc>
      </w:tr>
      <w:tr w:rsidR="00A82082" w14:paraId="7E784DE5" w14:textId="77777777">
        <w:tc>
          <w:tcPr>
            <w:tcW w:w="0" w:type="auto"/>
            <w:gridSpan w:val="3"/>
            <w:shd w:val="clear" w:color="auto" w:fill="CCEEFF"/>
            <w:tcMar>
              <w:top w:w="40" w:type="dxa"/>
              <w:left w:w="380" w:type="dxa"/>
              <w:bottom w:w="40" w:type="dxa"/>
              <w:right w:w="20" w:type="dxa"/>
            </w:tcMar>
            <w:vAlign w:val="center"/>
          </w:tcPr>
          <w:p w14:paraId="7E784DDC" w14:textId="77777777" w:rsidR="00A82082" w:rsidRDefault="00E946F9">
            <w:pPr>
              <w:textAlignment w:val="center"/>
            </w:pPr>
            <w:r>
              <w:rPr>
                <w:rFonts w:ascii="Times New Roman" w:eastAsia="宋体" w:hAnsi="Times New Roman"/>
                <w:color w:val="000000"/>
                <w:sz w:val="16"/>
                <w:szCs w:val="16"/>
              </w:rPr>
              <w:t>Repayments of long-term debt</w:t>
            </w:r>
          </w:p>
        </w:tc>
        <w:tc>
          <w:tcPr>
            <w:tcW w:w="0" w:type="auto"/>
            <w:gridSpan w:val="3"/>
            <w:shd w:val="clear" w:color="auto" w:fill="CCEEFF"/>
            <w:tcMar>
              <w:top w:w="0" w:type="dxa"/>
              <w:left w:w="20" w:type="dxa"/>
              <w:bottom w:w="0" w:type="dxa"/>
              <w:right w:w="20" w:type="dxa"/>
            </w:tcMar>
          </w:tcPr>
          <w:p w14:paraId="7E784DD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DE" w14:textId="77777777" w:rsidR="00A82082" w:rsidRDefault="00E946F9">
            <w:pPr>
              <w:jc w:val="right"/>
              <w:textAlignment w:val="center"/>
            </w:pPr>
            <w:r>
              <w:rPr>
                <w:rFonts w:ascii="Times New Roman" w:eastAsia="宋体" w:hAnsi="Times New Roman"/>
                <w:color w:val="000000"/>
                <w:sz w:val="16"/>
                <w:szCs w:val="16"/>
              </w:rPr>
              <w:t>(4,132)</w:t>
            </w:r>
          </w:p>
        </w:tc>
        <w:tc>
          <w:tcPr>
            <w:tcW w:w="0" w:type="auto"/>
            <w:shd w:val="clear" w:color="auto" w:fill="CCEEFF"/>
            <w:tcMar>
              <w:top w:w="40" w:type="dxa"/>
              <w:left w:w="0" w:type="dxa"/>
              <w:bottom w:w="40" w:type="dxa"/>
              <w:right w:w="20" w:type="dxa"/>
            </w:tcMar>
            <w:vAlign w:val="center"/>
          </w:tcPr>
          <w:p w14:paraId="7E784DD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E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E1" w14:textId="77777777" w:rsidR="00A82082" w:rsidRDefault="00E946F9">
            <w:pPr>
              <w:jc w:val="right"/>
              <w:textAlignment w:val="center"/>
            </w:pPr>
            <w:r>
              <w:rPr>
                <w:rFonts w:ascii="Times New Roman" w:eastAsia="宋体" w:hAnsi="Times New Roman"/>
                <w:color w:val="000000"/>
                <w:sz w:val="16"/>
                <w:szCs w:val="16"/>
              </w:rPr>
              <w:t>(1,907)</w:t>
            </w:r>
          </w:p>
        </w:tc>
        <w:tc>
          <w:tcPr>
            <w:tcW w:w="0" w:type="auto"/>
            <w:shd w:val="clear" w:color="auto" w:fill="CCEEFF"/>
            <w:tcMar>
              <w:top w:w="40" w:type="dxa"/>
              <w:left w:w="0" w:type="dxa"/>
              <w:bottom w:w="40" w:type="dxa"/>
              <w:right w:w="20" w:type="dxa"/>
            </w:tcMar>
            <w:vAlign w:val="center"/>
          </w:tcPr>
          <w:p w14:paraId="7E784DE2" w14:textId="77777777" w:rsidR="00A82082" w:rsidRDefault="00A82082">
            <w:pPr>
              <w:jc w:val="right"/>
              <w:rPr>
                <w:rFonts w:ascii="宋体"/>
              </w:rPr>
            </w:pPr>
          </w:p>
        </w:tc>
        <w:tc>
          <w:tcPr>
            <w:tcW w:w="0" w:type="auto"/>
            <w:shd w:val="clear" w:color="auto" w:fill="auto"/>
          </w:tcPr>
          <w:p w14:paraId="7E784DE3" w14:textId="77777777" w:rsidR="00A82082" w:rsidRDefault="00A82082">
            <w:pPr>
              <w:rPr>
                <w:rFonts w:ascii="宋体"/>
                <w:vanish/>
              </w:rPr>
            </w:pPr>
          </w:p>
        </w:tc>
        <w:tc>
          <w:tcPr>
            <w:tcW w:w="0" w:type="auto"/>
            <w:shd w:val="clear" w:color="auto" w:fill="auto"/>
          </w:tcPr>
          <w:p w14:paraId="7E784DE4" w14:textId="77777777" w:rsidR="00A82082" w:rsidRDefault="00A82082">
            <w:pPr>
              <w:rPr>
                <w:rFonts w:ascii="宋体"/>
                <w:vanish/>
              </w:rPr>
            </w:pPr>
          </w:p>
        </w:tc>
      </w:tr>
      <w:tr w:rsidR="00A82082" w14:paraId="7E784DED" w14:textId="77777777">
        <w:trPr>
          <w:hidden/>
        </w:trPr>
        <w:tc>
          <w:tcPr>
            <w:tcW w:w="0" w:type="auto"/>
            <w:gridSpan w:val="3"/>
            <w:shd w:val="clear" w:color="auto" w:fill="auto"/>
          </w:tcPr>
          <w:p w14:paraId="7E784DE6" w14:textId="77777777" w:rsidR="00A82082" w:rsidRDefault="00A82082">
            <w:pPr>
              <w:rPr>
                <w:rFonts w:ascii="宋体"/>
                <w:vanish/>
              </w:rPr>
            </w:pPr>
          </w:p>
        </w:tc>
        <w:tc>
          <w:tcPr>
            <w:tcW w:w="0" w:type="auto"/>
            <w:gridSpan w:val="3"/>
            <w:shd w:val="clear" w:color="auto" w:fill="auto"/>
          </w:tcPr>
          <w:p w14:paraId="7E784DE7" w14:textId="77777777" w:rsidR="00A82082" w:rsidRDefault="00A82082">
            <w:pPr>
              <w:rPr>
                <w:rFonts w:ascii="宋体"/>
                <w:vanish/>
              </w:rPr>
            </w:pPr>
          </w:p>
        </w:tc>
        <w:tc>
          <w:tcPr>
            <w:tcW w:w="0" w:type="auto"/>
            <w:gridSpan w:val="3"/>
            <w:shd w:val="clear" w:color="auto" w:fill="auto"/>
          </w:tcPr>
          <w:p w14:paraId="7E784DE8" w14:textId="77777777" w:rsidR="00A82082" w:rsidRDefault="00A82082">
            <w:pPr>
              <w:rPr>
                <w:rFonts w:ascii="宋体"/>
                <w:vanish/>
              </w:rPr>
            </w:pPr>
          </w:p>
        </w:tc>
        <w:tc>
          <w:tcPr>
            <w:tcW w:w="0" w:type="auto"/>
            <w:gridSpan w:val="3"/>
            <w:shd w:val="clear" w:color="auto" w:fill="auto"/>
          </w:tcPr>
          <w:p w14:paraId="7E784DE9" w14:textId="77777777" w:rsidR="00A82082" w:rsidRDefault="00A82082">
            <w:pPr>
              <w:rPr>
                <w:rFonts w:ascii="宋体"/>
                <w:vanish/>
              </w:rPr>
            </w:pPr>
          </w:p>
        </w:tc>
        <w:tc>
          <w:tcPr>
            <w:tcW w:w="0" w:type="auto"/>
            <w:gridSpan w:val="3"/>
            <w:shd w:val="clear" w:color="auto" w:fill="auto"/>
          </w:tcPr>
          <w:p w14:paraId="7E784DEA" w14:textId="77777777" w:rsidR="00A82082" w:rsidRDefault="00A82082">
            <w:pPr>
              <w:rPr>
                <w:rFonts w:ascii="宋体"/>
                <w:vanish/>
              </w:rPr>
            </w:pPr>
          </w:p>
        </w:tc>
        <w:tc>
          <w:tcPr>
            <w:tcW w:w="0" w:type="auto"/>
            <w:shd w:val="clear" w:color="auto" w:fill="auto"/>
          </w:tcPr>
          <w:p w14:paraId="7E784DEB" w14:textId="77777777" w:rsidR="00A82082" w:rsidRDefault="00A82082">
            <w:pPr>
              <w:rPr>
                <w:rFonts w:ascii="宋体"/>
                <w:vanish/>
              </w:rPr>
            </w:pPr>
          </w:p>
        </w:tc>
        <w:tc>
          <w:tcPr>
            <w:tcW w:w="0" w:type="auto"/>
            <w:shd w:val="clear" w:color="auto" w:fill="auto"/>
          </w:tcPr>
          <w:p w14:paraId="7E784DEC" w14:textId="77777777" w:rsidR="00A82082" w:rsidRDefault="00A82082">
            <w:pPr>
              <w:rPr>
                <w:rFonts w:ascii="宋体"/>
                <w:vanish/>
              </w:rPr>
            </w:pPr>
          </w:p>
        </w:tc>
      </w:tr>
      <w:tr w:rsidR="00A82082" w14:paraId="7E784DF7" w14:textId="77777777">
        <w:tc>
          <w:tcPr>
            <w:tcW w:w="0" w:type="auto"/>
            <w:gridSpan w:val="3"/>
            <w:shd w:val="clear" w:color="auto" w:fill="FFFFFF"/>
            <w:tcMar>
              <w:top w:w="40" w:type="dxa"/>
              <w:left w:w="380" w:type="dxa"/>
              <w:bottom w:w="40" w:type="dxa"/>
              <w:right w:w="20" w:type="dxa"/>
            </w:tcMar>
            <w:vAlign w:val="center"/>
          </w:tcPr>
          <w:p w14:paraId="7E784DEE" w14:textId="77777777" w:rsidR="00A82082" w:rsidRDefault="00E946F9">
            <w:pPr>
              <w:textAlignment w:val="center"/>
            </w:pPr>
            <w:r>
              <w:rPr>
                <w:rFonts w:ascii="Times New Roman" w:eastAsia="宋体" w:hAnsi="Times New Roman"/>
                <w:color w:val="000000"/>
                <w:sz w:val="16"/>
                <w:szCs w:val="16"/>
              </w:rPr>
              <w:t>Dividends paid</w:t>
            </w:r>
          </w:p>
        </w:tc>
        <w:tc>
          <w:tcPr>
            <w:tcW w:w="0" w:type="auto"/>
            <w:gridSpan w:val="3"/>
            <w:shd w:val="clear" w:color="auto" w:fill="FFFFFF"/>
            <w:tcMar>
              <w:top w:w="0" w:type="dxa"/>
              <w:left w:w="20" w:type="dxa"/>
              <w:bottom w:w="0" w:type="dxa"/>
              <w:right w:w="20" w:type="dxa"/>
            </w:tcMar>
          </w:tcPr>
          <w:p w14:paraId="7E784DE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F0" w14:textId="77777777" w:rsidR="00A82082" w:rsidRDefault="00E946F9">
            <w:pPr>
              <w:jc w:val="right"/>
              <w:textAlignment w:val="center"/>
            </w:pPr>
            <w:r>
              <w:rPr>
                <w:rFonts w:ascii="Times New Roman" w:eastAsia="宋体" w:hAnsi="Times New Roman"/>
                <w:color w:val="000000"/>
                <w:sz w:val="16"/>
                <w:szCs w:val="16"/>
              </w:rPr>
              <w:t>(4,582)</w:t>
            </w:r>
          </w:p>
        </w:tc>
        <w:tc>
          <w:tcPr>
            <w:tcW w:w="0" w:type="auto"/>
            <w:shd w:val="clear" w:color="auto" w:fill="FFFFFF"/>
            <w:tcMar>
              <w:top w:w="40" w:type="dxa"/>
              <w:left w:w="0" w:type="dxa"/>
              <w:bottom w:w="40" w:type="dxa"/>
              <w:right w:w="20" w:type="dxa"/>
            </w:tcMar>
            <w:vAlign w:val="center"/>
          </w:tcPr>
          <w:p w14:paraId="7E784DF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DF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DF3" w14:textId="77777777" w:rsidR="00A82082" w:rsidRDefault="00E946F9">
            <w:pPr>
              <w:jc w:val="right"/>
              <w:textAlignment w:val="center"/>
            </w:pPr>
            <w:r>
              <w:rPr>
                <w:rFonts w:ascii="Times New Roman" w:eastAsia="宋体" w:hAnsi="Times New Roman"/>
                <w:color w:val="000000"/>
                <w:sz w:val="16"/>
                <w:szCs w:val="16"/>
              </w:rPr>
              <w:t>(4,545)</w:t>
            </w:r>
          </w:p>
        </w:tc>
        <w:tc>
          <w:tcPr>
            <w:tcW w:w="0" w:type="auto"/>
            <w:shd w:val="clear" w:color="auto" w:fill="FFFFFF"/>
            <w:tcMar>
              <w:top w:w="40" w:type="dxa"/>
              <w:left w:w="0" w:type="dxa"/>
              <w:bottom w:w="40" w:type="dxa"/>
              <w:right w:w="20" w:type="dxa"/>
            </w:tcMar>
            <w:vAlign w:val="center"/>
          </w:tcPr>
          <w:p w14:paraId="7E784DF4" w14:textId="77777777" w:rsidR="00A82082" w:rsidRDefault="00A82082">
            <w:pPr>
              <w:jc w:val="right"/>
              <w:rPr>
                <w:rFonts w:ascii="宋体"/>
              </w:rPr>
            </w:pPr>
          </w:p>
        </w:tc>
        <w:tc>
          <w:tcPr>
            <w:tcW w:w="0" w:type="auto"/>
            <w:shd w:val="clear" w:color="auto" w:fill="auto"/>
          </w:tcPr>
          <w:p w14:paraId="7E784DF5" w14:textId="77777777" w:rsidR="00A82082" w:rsidRDefault="00A82082">
            <w:pPr>
              <w:rPr>
                <w:rFonts w:ascii="宋体"/>
                <w:vanish/>
              </w:rPr>
            </w:pPr>
          </w:p>
        </w:tc>
        <w:tc>
          <w:tcPr>
            <w:tcW w:w="0" w:type="auto"/>
            <w:shd w:val="clear" w:color="auto" w:fill="auto"/>
          </w:tcPr>
          <w:p w14:paraId="7E784DF6" w14:textId="77777777" w:rsidR="00A82082" w:rsidRDefault="00A82082">
            <w:pPr>
              <w:rPr>
                <w:rFonts w:ascii="宋体"/>
                <w:vanish/>
              </w:rPr>
            </w:pPr>
          </w:p>
        </w:tc>
      </w:tr>
      <w:tr w:rsidR="00A82082" w14:paraId="7E784E01" w14:textId="77777777">
        <w:tc>
          <w:tcPr>
            <w:tcW w:w="0" w:type="auto"/>
            <w:gridSpan w:val="3"/>
            <w:shd w:val="clear" w:color="auto" w:fill="CCEEFF"/>
            <w:tcMar>
              <w:top w:w="40" w:type="dxa"/>
              <w:left w:w="380" w:type="dxa"/>
              <w:bottom w:w="40" w:type="dxa"/>
              <w:right w:w="20" w:type="dxa"/>
            </w:tcMar>
            <w:vAlign w:val="center"/>
          </w:tcPr>
          <w:p w14:paraId="7E784DF8" w14:textId="77777777" w:rsidR="00A82082" w:rsidRDefault="00E946F9">
            <w:pPr>
              <w:textAlignment w:val="center"/>
            </w:pPr>
            <w:r>
              <w:rPr>
                <w:rFonts w:ascii="Times New Roman" w:eastAsia="宋体" w:hAnsi="Times New Roman"/>
                <w:color w:val="000000"/>
                <w:sz w:val="16"/>
                <w:szCs w:val="16"/>
              </w:rPr>
              <w:t>Purchase of Company stock</w:t>
            </w:r>
          </w:p>
        </w:tc>
        <w:tc>
          <w:tcPr>
            <w:tcW w:w="0" w:type="auto"/>
            <w:gridSpan w:val="3"/>
            <w:shd w:val="clear" w:color="auto" w:fill="CCEEFF"/>
            <w:tcMar>
              <w:top w:w="0" w:type="dxa"/>
              <w:left w:w="20" w:type="dxa"/>
              <w:bottom w:w="0" w:type="dxa"/>
              <w:right w:w="20" w:type="dxa"/>
            </w:tcMar>
          </w:tcPr>
          <w:p w14:paraId="7E784DF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FA" w14:textId="77777777" w:rsidR="00A82082" w:rsidRDefault="00E946F9">
            <w:pPr>
              <w:jc w:val="right"/>
              <w:textAlignment w:val="center"/>
            </w:pPr>
            <w:r>
              <w:rPr>
                <w:rFonts w:ascii="Times New Roman" w:eastAsia="宋体" w:hAnsi="Times New Roman"/>
                <w:color w:val="000000"/>
                <w:sz w:val="16"/>
                <w:szCs w:val="16"/>
              </w:rPr>
              <w:t>(1,186)</w:t>
            </w:r>
          </w:p>
        </w:tc>
        <w:tc>
          <w:tcPr>
            <w:tcW w:w="0" w:type="auto"/>
            <w:shd w:val="clear" w:color="auto" w:fill="CCEEFF"/>
            <w:tcMar>
              <w:top w:w="40" w:type="dxa"/>
              <w:left w:w="0" w:type="dxa"/>
              <w:bottom w:w="40" w:type="dxa"/>
              <w:right w:w="20" w:type="dxa"/>
            </w:tcMar>
            <w:vAlign w:val="center"/>
          </w:tcPr>
          <w:p w14:paraId="7E784DF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DF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DFD" w14:textId="77777777" w:rsidR="00A82082" w:rsidRDefault="00E946F9">
            <w:pPr>
              <w:jc w:val="right"/>
              <w:textAlignment w:val="center"/>
            </w:pPr>
            <w:r>
              <w:rPr>
                <w:rFonts w:ascii="Times New Roman" w:eastAsia="宋体" w:hAnsi="Times New Roman"/>
                <w:color w:val="000000"/>
                <w:sz w:val="16"/>
                <w:szCs w:val="16"/>
              </w:rPr>
              <w:t>(4,829)</w:t>
            </w:r>
          </w:p>
        </w:tc>
        <w:tc>
          <w:tcPr>
            <w:tcW w:w="0" w:type="auto"/>
            <w:shd w:val="clear" w:color="auto" w:fill="CCEEFF"/>
            <w:tcMar>
              <w:top w:w="40" w:type="dxa"/>
              <w:left w:w="0" w:type="dxa"/>
              <w:bottom w:w="40" w:type="dxa"/>
              <w:right w:w="20" w:type="dxa"/>
            </w:tcMar>
            <w:vAlign w:val="center"/>
          </w:tcPr>
          <w:p w14:paraId="7E784DFE" w14:textId="77777777" w:rsidR="00A82082" w:rsidRDefault="00A82082">
            <w:pPr>
              <w:jc w:val="right"/>
              <w:rPr>
                <w:rFonts w:ascii="宋体"/>
              </w:rPr>
            </w:pPr>
          </w:p>
        </w:tc>
        <w:tc>
          <w:tcPr>
            <w:tcW w:w="0" w:type="auto"/>
            <w:shd w:val="clear" w:color="auto" w:fill="auto"/>
          </w:tcPr>
          <w:p w14:paraId="7E784DFF" w14:textId="77777777" w:rsidR="00A82082" w:rsidRDefault="00A82082">
            <w:pPr>
              <w:rPr>
                <w:rFonts w:ascii="宋体"/>
                <w:vanish/>
              </w:rPr>
            </w:pPr>
          </w:p>
        </w:tc>
        <w:tc>
          <w:tcPr>
            <w:tcW w:w="0" w:type="auto"/>
            <w:shd w:val="clear" w:color="auto" w:fill="auto"/>
          </w:tcPr>
          <w:p w14:paraId="7E784E00" w14:textId="77777777" w:rsidR="00A82082" w:rsidRDefault="00A82082">
            <w:pPr>
              <w:rPr>
                <w:rFonts w:ascii="宋体"/>
                <w:vanish/>
              </w:rPr>
            </w:pPr>
          </w:p>
        </w:tc>
      </w:tr>
      <w:tr w:rsidR="00A82082" w14:paraId="7E784E0B" w14:textId="77777777">
        <w:tc>
          <w:tcPr>
            <w:tcW w:w="0" w:type="auto"/>
            <w:gridSpan w:val="3"/>
            <w:shd w:val="clear" w:color="auto" w:fill="FFFFFF"/>
            <w:tcMar>
              <w:top w:w="40" w:type="dxa"/>
              <w:left w:w="380" w:type="dxa"/>
              <w:bottom w:w="40" w:type="dxa"/>
              <w:right w:w="20" w:type="dxa"/>
            </w:tcMar>
            <w:vAlign w:val="center"/>
          </w:tcPr>
          <w:p w14:paraId="7E784E02" w14:textId="77777777" w:rsidR="00A82082" w:rsidRDefault="00E946F9">
            <w:pPr>
              <w:textAlignment w:val="center"/>
            </w:pPr>
            <w:r>
              <w:rPr>
                <w:rFonts w:ascii="Times New Roman" w:eastAsia="宋体" w:hAnsi="Times New Roman"/>
                <w:color w:val="000000"/>
                <w:sz w:val="16"/>
                <w:szCs w:val="16"/>
              </w:rPr>
              <w:t>Dividends paid to noncontrolling interest</w:t>
            </w:r>
          </w:p>
        </w:tc>
        <w:tc>
          <w:tcPr>
            <w:tcW w:w="0" w:type="auto"/>
            <w:gridSpan w:val="3"/>
            <w:shd w:val="clear" w:color="auto" w:fill="FFFFFF"/>
            <w:tcMar>
              <w:top w:w="0" w:type="dxa"/>
              <w:left w:w="20" w:type="dxa"/>
              <w:bottom w:w="0" w:type="dxa"/>
              <w:right w:w="20" w:type="dxa"/>
            </w:tcMar>
          </w:tcPr>
          <w:p w14:paraId="7E784E0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04" w14:textId="77777777" w:rsidR="00A82082" w:rsidRDefault="00E946F9">
            <w:pPr>
              <w:jc w:val="right"/>
              <w:textAlignment w:val="center"/>
            </w:pPr>
            <w:r>
              <w:rPr>
                <w:rFonts w:ascii="Times New Roman" w:eastAsia="宋体" w:hAnsi="Times New Roman"/>
                <w:color w:val="000000"/>
                <w:sz w:val="16"/>
                <w:szCs w:val="16"/>
              </w:rPr>
              <w:t>(76)</w:t>
            </w:r>
          </w:p>
        </w:tc>
        <w:tc>
          <w:tcPr>
            <w:tcW w:w="0" w:type="auto"/>
            <w:shd w:val="clear" w:color="auto" w:fill="FFFFFF"/>
            <w:tcMar>
              <w:top w:w="40" w:type="dxa"/>
              <w:left w:w="0" w:type="dxa"/>
              <w:bottom w:w="40" w:type="dxa"/>
              <w:right w:w="20" w:type="dxa"/>
            </w:tcMar>
            <w:vAlign w:val="center"/>
          </w:tcPr>
          <w:p w14:paraId="7E784E0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0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07" w14:textId="77777777" w:rsidR="00A82082" w:rsidRDefault="00E946F9">
            <w:pPr>
              <w:jc w:val="right"/>
              <w:textAlignment w:val="center"/>
            </w:pPr>
            <w:r>
              <w:rPr>
                <w:rFonts w:ascii="Times New Roman" w:eastAsia="宋体" w:hAnsi="Times New Roman"/>
                <w:color w:val="000000"/>
                <w:sz w:val="16"/>
                <w:szCs w:val="16"/>
              </w:rPr>
              <w:t>(407)</w:t>
            </w:r>
          </w:p>
        </w:tc>
        <w:tc>
          <w:tcPr>
            <w:tcW w:w="0" w:type="auto"/>
            <w:shd w:val="clear" w:color="auto" w:fill="FFFFFF"/>
            <w:tcMar>
              <w:top w:w="40" w:type="dxa"/>
              <w:left w:w="0" w:type="dxa"/>
              <w:bottom w:w="40" w:type="dxa"/>
              <w:right w:w="20" w:type="dxa"/>
            </w:tcMar>
            <w:vAlign w:val="center"/>
          </w:tcPr>
          <w:p w14:paraId="7E784E08" w14:textId="77777777" w:rsidR="00A82082" w:rsidRDefault="00A82082">
            <w:pPr>
              <w:jc w:val="right"/>
              <w:rPr>
                <w:rFonts w:ascii="宋体"/>
              </w:rPr>
            </w:pPr>
          </w:p>
        </w:tc>
        <w:tc>
          <w:tcPr>
            <w:tcW w:w="0" w:type="auto"/>
            <w:shd w:val="clear" w:color="auto" w:fill="auto"/>
          </w:tcPr>
          <w:p w14:paraId="7E784E09" w14:textId="77777777" w:rsidR="00A82082" w:rsidRDefault="00A82082">
            <w:pPr>
              <w:rPr>
                <w:rFonts w:ascii="宋体"/>
                <w:vanish/>
              </w:rPr>
            </w:pPr>
          </w:p>
        </w:tc>
        <w:tc>
          <w:tcPr>
            <w:tcW w:w="0" w:type="auto"/>
            <w:shd w:val="clear" w:color="auto" w:fill="auto"/>
          </w:tcPr>
          <w:p w14:paraId="7E784E0A" w14:textId="77777777" w:rsidR="00A82082" w:rsidRDefault="00A82082">
            <w:pPr>
              <w:rPr>
                <w:rFonts w:ascii="宋体"/>
                <w:vanish/>
              </w:rPr>
            </w:pPr>
          </w:p>
        </w:tc>
      </w:tr>
      <w:tr w:rsidR="00A82082" w14:paraId="7E784E13" w14:textId="77777777">
        <w:trPr>
          <w:hidden/>
        </w:trPr>
        <w:tc>
          <w:tcPr>
            <w:tcW w:w="0" w:type="auto"/>
            <w:gridSpan w:val="3"/>
            <w:shd w:val="clear" w:color="auto" w:fill="auto"/>
          </w:tcPr>
          <w:p w14:paraId="7E784E0C" w14:textId="77777777" w:rsidR="00A82082" w:rsidRDefault="00A82082">
            <w:pPr>
              <w:rPr>
                <w:rFonts w:ascii="宋体"/>
                <w:vanish/>
              </w:rPr>
            </w:pPr>
          </w:p>
        </w:tc>
        <w:tc>
          <w:tcPr>
            <w:tcW w:w="0" w:type="auto"/>
            <w:gridSpan w:val="3"/>
            <w:shd w:val="clear" w:color="auto" w:fill="auto"/>
          </w:tcPr>
          <w:p w14:paraId="7E784E0D" w14:textId="77777777" w:rsidR="00A82082" w:rsidRDefault="00A82082">
            <w:pPr>
              <w:rPr>
                <w:rFonts w:ascii="宋体"/>
                <w:vanish/>
              </w:rPr>
            </w:pPr>
          </w:p>
        </w:tc>
        <w:tc>
          <w:tcPr>
            <w:tcW w:w="0" w:type="auto"/>
            <w:gridSpan w:val="3"/>
            <w:shd w:val="clear" w:color="auto" w:fill="auto"/>
          </w:tcPr>
          <w:p w14:paraId="7E784E0E" w14:textId="77777777" w:rsidR="00A82082" w:rsidRDefault="00A82082">
            <w:pPr>
              <w:rPr>
                <w:rFonts w:ascii="宋体"/>
                <w:vanish/>
              </w:rPr>
            </w:pPr>
          </w:p>
        </w:tc>
        <w:tc>
          <w:tcPr>
            <w:tcW w:w="0" w:type="auto"/>
            <w:gridSpan w:val="3"/>
            <w:shd w:val="clear" w:color="auto" w:fill="auto"/>
          </w:tcPr>
          <w:p w14:paraId="7E784E0F" w14:textId="77777777" w:rsidR="00A82082" w:rsidRDefault="00A82082">
            <w:pPr>
              <w:rPr>
                <w:rFonts w:ascii="宋体"/>
                <w:vanish/>
              </w:rPr>
            </w:pPr>
          </w:p>
        </w:tc>
        <w:tc>
          <w:tcPr>
            <w:tcW w:w="0" w:type="auto"/>
            <w:gridSpan w:val="3"/>
            <w:shd w:val="clear" w:color="auto" w:fill="auto"/>
          </w:tcPr>
          <w:p w14:paraId="7E784E10" w14:textId="77777777" w:rsidR="00A82082" w:rsidRDefault="00A82082">
            <w:pPr>
              <w:rPr>
                <w:rFonts w:ascii="宋体"/>
                <w:vanish/>
              </w:rPr>
            </w:pPr>
          </w:p>
        </w:tc>
        <w:tc>
          <w:tcPr>
            <w:tcW w:w="0" w:type="auto"/>
            <w:shd w:val="clear" w:color="auto" w:fill="auto"/>
          </w:tcPr>
          <w:p w14:paraId="7E784E11" w14:textId="77777777" w:rsidR="00A82082" w:rsidRDefault="00A82082">
            <w:pPr>
              <w:rPr>
                <w:rFonts w:ascii="宋体"/>
                <w:vanish/>
              </w:rPr>
            </w:pPr>
          </w:p>
        </w:tc>
        <w:tc>
          <w:tcPr>
            <w:tcW w:w="0" w:type="auto"/>
            <w:shd w:val="clear" w:color="auto" w:fill="auto"/>
          </w:tcPr>
          <w:p w14:paraId="7E784E12" w14:textId="77777777" w:rsidR="00A82082" w:rsidRDefault="00A82082">
            <w:pPr>
              <w:rPr>
                <w:rFonts w:ascii="宋体"/>
                <w:vanish/>
              </w:rPr>
            </w:pPr>
          </w:p>
        </w:tc>
      </w:tr>
      <w:tr w:rsidR="00A82082" w14:paraId="7E784E1D" w14:textId="77777777">
        <w:tc>
          <w:tcPr>
            <w:tcW w:w="0" w:type="auto"/>
            <w:gridSpan w:val="3"/>
            <w:shd w:val="clear" w:color="auto" w:fill="CCEEFF"/>
            <w:tcMar>
              <w:top w:w="40" w:type="dxa"/>
              <w:left w:w="380" w:type="dxa"/>
              <w:bottom w:w="40" w:type="dxa"/>
              <w:right w:w="20" w:type="dxa"/>
            </w:tcMar>
            <w:vAlign w:val="center"/>
          </w:tcPr>
          <w:p w14:paraId="7E784E14" w14:textId="77777777" w:rsidR="00A82082" w:rsidRDefault="00E946F9">
            <w:pPr>
              <w:textAlignment w:val="center"/>
            </w:pPr>
            <w:r>
              <w:rPr>
                <w:rFonts w:ascii="Times New Roman" w:eastAsia="宋体" w:hAnsi="Times New Roman"/>
                <w:color w:val="000000"/>
                <w:sz w:val="16"/>
                <w:szCs w:val="16"/>
              </w:rPr>
              <w:t>Other financing activities</w:t>
            </w:r>
          </w:p>
        </w:tc>
        <w:tc>
          <w:tcPr>
            <w:tcW w:w="0" w:type="auto"/>
            <w:gridSpan w:val="3"/>
            <w:shd w:val="clear" w:color="auto" w:fill="CCEEFF"/>
            <w:tcMar>
              <w:top w:w="0" w:type="dxa"/>
              <w:left w:w="20" w:type="dxa"/>
              <w:bottom w:w="0" w:type="dxa"/>
              <w:right w:w="20" w:type="dxa"/>
            </w:tcMar>
          </w:tcPr>
          <w:p w14:paraId="7E784E1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E16" w14:textId="77777777" w:rsidR="00A82082" w:rsidRDefault="00E946F9">
            <w:pPr>
              <w:jc w:val="right"/>
              <w:textAlignment w:val="center"/>
            </w:pPr>
            <w:r>
              <w:rPr>
                <w:rFonts w:ascii="Times New Roman" w:eastAsia="宋体" w:hAnsi="Times New Roman"/>
                <w:color w:val="000000"/>
                <w:sz w:val="16"/>
                <w:szCs w:val="16"/>
              </w:rPr>
              <w:t>(1,063)</w:t>
            </w:r>
          </w:p>
        </w:tc>
        <w:tc>
          <w:tcPr>
            <w:tcW w:w="0" w:type="auto"/>
            <w:shd w:val="clear" w:color="auto" w:fill="CCEEFF"/>
            <w:tcMar>
              <w:top w:w="40" w:type="dxa"/>
              <w:left w:w="0" w:type="dxa"/>
              <w:bottom w:w="40" w:type="dxa"/>
              <w:right w:w="20" w:type="dxa"/>
            </w:tcMar>
            <w:vAlign w:val="center"/>
          </w:tcPr>
          <w:p w14:paraId="7E784E1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1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E19" w14:textId="77777777" w:rsidR="00A82082" w:rsidRDefault="00E946F9">
            <w:pPr>
              <w:jc w:val="right"/>
              <w:textAlignment w:val="center"/>
            </w:pPr>
            <w:r>
              <w:rPr>
                <w:rFonts w:ascii="Times New Roman" w:eastAsia="宋体" w:hAnsi="Times New Roman"/>
                <w:color w:val="000000"/>
                <w:sz w:val="16"/>
                <w:szCs w:val="16"/>
              </w:rPr>
              <w:t>(735)</w:t>
            </w:r>
          </w:p>
        </w:tc>
        <w:tc>
          <w:tcPr>
            <w:tcW w:w="0" w:type="auto"/>
            <w:shd w:val="clear" w:color="auto" w:fill="CCEEFF"/>
            <w:tcMar>
              <w:top w:w="40" w:type="dxa"/>
              <w:left w:w="0" w:type="dxa"/>
              <w:bottom w:w="40" w:type="dxa"/>
              <w:right w:w="20" w:type="dxa"/>
            </w:tcMar>
            <w:vAlign w:val="center"/>
          </w:tcPr>
          <w:p w14:paraId="7E784E1A" w14:textId="77777777" w:rsidR="00A82082" w:rsidRDefault="00A82082">
            <w:pPr>
              <w:jc w:val="right"/>
              <w:rPr>
                <w:rFonts w:ascii="宋体"/>
              </w:rPr>
            </w:pPr>
          </w:p>
        </w:tc>
        <w:tc>
          <w:tcPr>
            <w:tcW w:w="0" w:type="auto"/>
            <w:shd w:val="clear" w:color="auto" w:fill="auto"/>
          </w:tcPr>
          <w:p w14:paraId="7E784E1B" w14:textId="77777777" w:rsidR="00A82082" w:rsidRDefault="00A82082">
            <w:pPr>
              <w:rPr>
                <w:rFonts w:ascii="宋体"/>
                <w:vanish/>
              </w:rPr>
            </w:pPr>
          </w:p>
        </w:tc>
        <w:tc>
          <w:tcPr>
            <w:tcW w:w="0" w:type="auto"/>
            <w:shd w:val="clear" w:color="auto" w:fill="auto"/>
          </w:tcPr>
          <w:p w14:paraId="7E784E1C" w14:textId="77777777" w:rsidR="00A82082" w:rsidRDefault="00A82082">
            <w:pPr>
              <w:rPr>
                <w:rFonts w:ascii="宋体"/>
                <w:vanish/>
              </w:rPr>
            </w:pPr>
          </w:p>
        </w:tc>
      </w:tr>
      <w:tr w:rsidR="00A82082" w14:paraId="7E784E27" w14:textId="77777777">
        <w:tc>
          <w:tcPr>
            <w:tcW w:w="0" w:type="auto"/>
            <w:gridSpan w:val="3"/>
            <w:shd w:val="clear" w:color="auto" w:fill="FFFFFF"/>
            <w:tcMar>
              <w:top w:w="40" w:type="dxa"/>
              <w:left w:w="20" w:type="dxa"/>
              <w:bottom w:w="40" w:type="dxa"/>
              <w:right w:w="20" w:type="dxa"/>
            </w:tcMar>
            <w:vAlign w:val="center"/>
          </w:tcPr>
          <w:p w14:paraId="7E784E1E" w14:textId="77777777" w:rsidR="00A82082" w:rsidRDefault="00E946F9">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tcPr>
          <w:p w14:paraId="7E784E1F"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E20" w14:textId="77777777" w:rsidR="00A82082" w:rsidRDefault="00E946F9">
            <w:pPr>
              <w:jc w:val="right"/>
              <w:textAlignment w:val="center"/>
            </w:pPr>
            <w:r>
              <w:rPr>
                <w:rFonts w:ascii="Times New Roman" w:eastAsia="宋体" w:hAnsi="Times New Roman"/>
                <w:color w:val="000000"/>
                <w:sz w:val="16"/>
                <w:szCs w:val="16"/>
              </w:rPr>
              <w:t>(11,340)</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E2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2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E23" w14:textId="77777777" w:rsidR="00A82082" w:rsidRDefault="00E946F9">
            <w:pPr>
              <w:jc w:val="right"/>
              <w:textAlignment w:val="center"/>
            </w:pPr>
            <w:r>
              <w:rPr>
                <w:rFonts w:ascii="Times New Roman" w:eastAsia="宋体" w:hAnsi="Times New Roman"/>
                <w:color w:val="000000"/>
                <w:sz w:val="16"/>
                <w:szCs w:val="16"/>
              </w:rPr>
              <w:t>(7,213)</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E24" w14:textId="77777777" w:rsidR="00A82082" w:rsidRDefault="00A82082">
            <w:pPr>
              <w:jc w:val="right"/>
              <w:rPr>
                <w:rFonts w:ascii="宋体"/>
              </w:rPr>
            </w:pPr>
          </w:p>
        </w:tc>
        <w:tc>
          <w:tcPr>
            <w:tcW w:w="0" w:type="auto"/>
            <w:shd w:val="clear" w:color="auto" w:fill="auto"/>
          </w:tcPr>
          <w:p w14:paraId="7E784E25" w14:textId="77777777" w:rsidR="00A82082" w:rsidRDefault="00A82082">
            <w:pPr>
              <w:rPr>
                <w:rFonts w:ascii="宋体"/>
                <w:vanish/>
              </w:rPr>
            </w:pPr>
          </w:p>
        </w:tc>
        <w:tc>
          <w:tcPr>
            <w:tcW w:w="0" w:type="auto"/>
            <w:shd w:val="clear" w:color="auto" w:fill="auto"/>
          </w:tcPr>
          <w:p w14:paraId="7E784E26" w14:textId="77777777" w:rsidR="00A82082" w:rsidRDefault="00A82082">
            <w:pPr>
              <w:rPr>
                <w:rFonts w:ascii="宋体"/>
                <w:vanish/>
              </w:rPr>
            </w:pPr>
          </w:p>
        </w:tc>
      </w:tr>
      <w:tr w:rsidR="00A82082" w14:paraId="7E784E2F" w14:textId="77777777">
        <w:trPr>
          <w:trHeight w:val="220"/>
        </w:trPr>
        <w:tc>
          <w:tcPr>
            <w:tcW w:w="0" w:type="auto"/>
            <w:gridSpan w:val="3"/>
            <w:shd w:val="clear" w:color="auto" w:fill="CCEEFF"/>
            <w:tcMar>
              <w:top w:w="0" w:type="dxa"/>
              <w:left w:w="20" w:type="dxa"/>
              <w:bottom w:w="0" w:type="dxa"/>
              <w:right w:w="20" w:type="dxa"/>
            </w:tcMar>
          </w:tcPr>
          <w:p w14:paraId="7E784E2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29"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2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2B"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2C" w14:textId="77777777" w:rsidR="00A82082" w:rsidRDefault="00A82082">
            <w:pPr>
              <w:rPr>
                <w:rFonts w:ascii="宋体"/>
              </w:rPr>
            </w:pPr>
          </w:p>
        </w:tc>
        <w:tc>
          <w:tcPr>
            <w:tcW w:w="0" w:type="auto"/>
            <w:shd w:val="clear" w:color="auto" w:fill="auto"/>
          </w:tcPr>
          <w:p w14:paraId="7E784E2D" w14:textId="77777777" w:rsidR="00A82082" w:rsidRDefault="00A82082">
            <w:pPr>
              <w:rPr>
                <w:rFonts w:ascii="宋体"/>
                <w:vanish/>
              </w:rPr>
            </w:pPr>
          </w:p>
        </w:tc>
        <w:tc>
          <w:tcPr>
            <w:tcW w:w="0" w:type="auto"/>
            <w:shd w:val="clear" w:color="auto" w:fill="auto"/>
          </w:tcPr>
          <w:p w14:paraId="7E784E2E" w14:textId="77777777" w:rsidR="00A82082" w:rsidRDefault="00A82082">
            <w:pPr>
              <w:rPr>
                <w:rFonts w:ascii="宋体"/>
                <w:vanish/>
              </w:rPr>
            </w:pPr>
          </w:p>
        </w:tc>
      </w:tr>
      <w:tr w:rsidR="00A82082" w14:paraId="7E784E39" w14:textId="77777777">
        <w:tc>
          <w:tcPr>
            <w:tcW w:w="0" w:type="auto"/>
            <w:gridSpan w:val="3"/>
            <w:shd w:val="clear" w:color="auto" w:fill="FFFFFF"/>
            <w:tcMar>
              <w:top w:w="40" w:type="dxa"/>
              <w:left w:w="20" w:type="dxa"/>
              <w:bottom w:w="40" w:type="dxa"/>
              <w:right w:w="20" w:type="dxa"/>
            </w:tcMar>
            <w:vAlign w:val="center"/>
          </w:tcPr>
          <w:p w14:paraId="7E784E30" w14:textId="77777777" w:rsidR="00A82082" w:rsidRDefault="00E946F9">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FFFFFF"/>
            <w:tcMar>
              <w:top w:w="0" w:type="dxa"/>
              <w:left w:w="20" w:type="dxa"/>
              <w:bottom w:w="0" w:type="dxa"/>
              <w:right w:w="20" w:type="dxa"/>
            </w:tcMar>
          </w:tcPr>
          <w:p w14:paraId="7E784E3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32" w14:textId="77777777" w:rsidR="00A82082" w:rsidRDefault="00E946F9">
            <w:pPr>
              <w:jc w:val="right"/>
              <w:textAlignment w:val="center"/>
            </w:pPr>
            <w:r>
              <w:rPr>
                <w:rFonts w:ascii="Times New Roman" w:eastAsia="宋体" w:hAnsi="Times New Roman"/>
                <w:color w:val="000000"/>
                <w:sz w:val="16"/>
                <w:szCs w:val="16"/>
              </w:rPr>
              <w:t>(170)</w:t>
            </w:r>
          </w:p>
        </w:tc>
        <w:tc>
          <w:tcPr>
            <w:tcW w:w="0" w:type="auto"/>
            <w:shd w:val="clear" w:color="auto" w:fill="FFFFFF"/>
            <w:tcMar>
              <w:top w:w="40" w:type="dxa"/>
              <w:left w:w="0" w:type="dxa"/>
              <w:bottom w:w="40" w:type="dxa"/>
              <w:right w:w="20" w:type="dxa"/>
            </w:tcMar>
            <w:vAlign w:val="center"/>
          </w:tcPr>
          <w:p w14:paraId="7E784E3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3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35" w14:textId="77777777" w:rsidR="00A82082" w:rsidRDefault="00E946F9">
            <w:pPr>
              <w:jc w:val="right"/>
              <w:textAlignment w:val="center"/>
            </w:pPr>
            <w:r>
              <w:rPr>
                <w:rFonts w:ascii="Times New Roman" w:eastAsia="宋体" w:hAnsi="Times New Roman"/>
                <w:color w:val="000000"/>
                <w:sz w:val="16"/>
                <w:szCs w:val="16"/>
              </w:rPr>
              <w:t>(166)</w:t>
            </w:r>
          </w:p>
        </w:tc>
        <w:tc>
          <w:tcPr>
            <w:tcW w:w="0" w:type="auto"/>
            <w:shd w:val="clear" w:color="auto" w:fill="FFFFFF"/>
            <w:tcMar>
              <w:top w:w="40" w:type="dxa"/>
              <w:left w:w="0" w:type="dxa"/>
              <w:bottom w:w="40" w:type="dxa"/>
              <w:right w:w="20" w:type="dxa"/>
            </w:tcMar>
            <w:vAlign w:val="center"/>
          </w:tcPr>
          <w:p w14:paraId="7E784E36" w14:textId="77777777" w:rsidR="00A82082" w:rsidRDefault="00A82082">
            <w:pPr>
              <w:jc w:val="right"/>
              <w:rPr>
                <w:rFonts w:ascii="宋体"/>
              </w:rPr>
            </w:pPr>
          </w:p>
        </w:tc>
        <w:tc>
          <w:tcPr>
            <w:tcW w:w="0" w:type="auto"/>
            <w:shd w:val="clear" w:color="auto" w:fill="auto"/>
          </w:tcPr>
          <w:p w14:paraId="7E784E37" w14:textId="77777777" w:rsidR="00A82082" w:rsidRDefault="00A82082">
            <w:pPr>
              <w:rPr>
                <w:rFonts w:ascii="宋体"/>
                <w:vanish/>
              </w:rPr>
            </w:pPr>
          </w:p>
        </w:tc>
        <w:tc>
          <w:tcPr>
            <w:tcW w:w="0" w:type="auto"/>
            <w:shd w:val="clear" w:color="auto" w:fill="auto"/>
          </w:tcPr>
          <w:p w14:paraId="7E784E38" w14:textId="77777777" w:rsidR="00A82082" w:rsidRDefault="00A82082">
            <w:pPr>
              <w:rPr>
                <w:rFonts w:ascii="宋体"/>
                <w:vanish/>
              </w:rPr>
            </w:pPr>
          </w:p>
        </w:tc>
      </w:tr>
      <w:tr w:rsidR="00A82082" w14:paraId="7E784E41" w14:textId="77777777">
        <w:trPr>
          <w:trHeight w:val="220"/>
        </w:trPr>
        <w:tc>
          <w:tcPr>
            <w:tcW w:w="0" w:type="auto"/>
            <w:gridSpan w:val="3"/>
            <w:shd w:val="clear" w:color="auto" w:fill="CCEEFF"/>
            <w:tcMar>
              <w:top w:w="0" w:type="dxa"/>
              <w:left w:w="20" w:type="dxa"/>
              <w:bottom w:w="0" w:type="dxa"/>
              <w:right w:w="20" w:type="dxa"/>
            </w:tcMar>
          </w:tcPr>
          <w:p w14:paraId="7E784E3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3B"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E3C"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E3D" w14:textId="77777777" w:rsidR="00A82082" w:rsidRDefault="00A8208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784E3E" w14:textId="77777777" w:rsidR="00A82082" w:rsidRDefault="00A82082">
            <w:pPr>
              <w:rPr>
                <w:rFonts w:ascii="宋体"/>
              </w:rPr>
            </w:pPr>
          </w:p>
        </w:tc>
        <w:tc>
          <w:tcPr>
            <w:tcW w:w="0" w:type="auto"/>
            <w:shd w:val="clear" w:color="auto" w:fill="auto"/>
          </w:tcPr>
          <w:p w14:paraId="7E784E3F" w14:textId="77777777" w:rsidR="00A82082" w:rsidRDefault="00A82082">
            <w:pPr>
              <w:rPr>
                <w:rFonts w:ascii="宋体"/>
                <w:vanish/>
              </w:rPr>
            </w:pPr>
          </w:p>
        </w:tc>
        <w:tc>
          <w:tcPr>
            <w:tcW w:w="0" w:type="auto"/>
            <w:shd w:val="clear" w:color="auto" w:fill="auto"/>
          </w:tcPr>
          <w:p w14:paraId="7E784E40" w14:textId="77777777" w:rsidR="00A82082" w:rsidRDefault="00A82082">
            <w:pPr>
              <w:rPr>
                <w:rFonts w:ascii="宋体"/>
                <w:vanish/>
              </w:rPr>
            </w:pPr>
          </w:p>
        </w:tc>
      </w:tr>
      <w:tr w:rsidR="00A82082" w14:paraId="7E784E4B" w14:textId="77777777">
        <w:tc>
          <w:tcPr>
            <w:tcW w:w="0" w:type="auto"/>
            <w:gridSpan w:val="3"/>
            <w:shd w:val="clear" w:color="auto" w:fill="FFFFFF"/>
            <w:tcMar>
              <w:top w:w="40" w:type="dxa"/>
              <w:left w:w="20" w:type="dxa"/>
              <w:bottom w:w="40" w:type="dxa"/>
              <w:right w:w="20" w:type="dxa"/>
            </w:tcMar>
            <w:vAlign w:val="center"/>
          </w:tcPr>
          <w:p w14:paraId="7E784E42" w14:textId="77777777" w:rsidR="00A82082" w:rsidRDefault="00E946F9">
            <w:pPr>
              <w:textAlignment w:val="center"/>
            </w:pPr>
            <w:r>
              <w:rPr>
                <w:rFonts w:ascii="Times New Roman" w:eastAsia="宋体" w:hAnsi="Times New Roman"/>
                <w:color w:val="000000"/>
                <w:sz w:val="16"/>
                <w:szCs w:val="16"/>
              </w:rPr>
              <w:t>Net increase in cash, cash equivalents and restricted cash</w:t>
            </w:r>
          </w:p>
        </w:tc>
        <w:tc>
          <w:tcPr>
            <w:tcW w:w="0" w:type="auto"/>
            <w:gridSpan w:val="3"/>
            <w:shd w:val="clear" w:color="auto" w:fill="FFFFFF"/>
            <w:tcMar>
              <w:top w:w="0" w:type="dxa"/>
              <w:left w:w="20" w:type="dxa"/>
              <w:bottom w:w="0" w:type="dxa"/>
              <w:right w:w="20" w:type="dxa"/>
            </w:tcMar>
          </w:tcPr>
          <w:p w14:paraId="7E784E4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44" w14:textId="77777777" w:rsidR="00A82082" w:rsidRDefault="00E946F9">
            <w:pPr>
              <w:jc w:val="right"/>
              <w:textAlignment w:val="center"/>
            </w:pPr>
            <w:r>
              <w:rPr>
                <w:rFonts w:ascii="Times New Roman" w:eastAsia="宋体" w:hAnsi="Times New Roman"/>
                <w:color w:val="000000"/>
                <w:sz w:val="16"/>
                <w:szCs w:val="16"/>
              </w:rPr>
              <w:t>4,863 </w:t>
            </w:r>
          </w:p>
        </w:tc>
        <w:tc>
          <w:tcPr>
            <w:tcW w:w="0" w:type="auto"/>
            <w:shd w:val="clear" w:color="auto" w:fill="FFFFFF"/>
            <w:tcMar>
              <w:top w:w="40" w:type="dxa"/>
              <w:left w:w="0" w:type="dxa"/>
              <w:bottom w:w="40" w:type="dxa"/>
              <w:right w:w="20" w:type="dxa"/>
            </w:tcMar>
            <w:vAlign w:val="center"/>
          </w:tcPr>
          <w:p w14:paraId="7E784E4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4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47" w14:textId="77777777" w:rsidR="00A82082" w:rsidRDefault="00E946F9">
            <w:pPr>
              <w:jc w:val="right"/>
              <w:textAlignment w:val="center"/>
            </w:pPr>
            <w:r>
              <w:rPr>
                <w:rFonts w:ascii="Times New Roman" w:eastAsia="宋体" w:hAnsi="Times New Roman"/>
                <w:color w:val="000000"/>
                <w:sz w:val="16"/>
                <w:szCs w:val="16"/>
              </w:rPr>
              <w:t>875 </w:t>
            </w:r>
          </w:p>
        </w:tc>
        <w:tc>
          <w:tcPr>
            <w:tcW w:w="0" w:type="auto"/>
            <w:shd w:val="clear" w:color="auto" w:fill="FFFFFF"/>
            <w:tcMar>
              <w:top w:w="40" w:type="dxa"/>
              <w:left w:w="0" w:type="dxa"/>
              <w:bottom w:w="40" w:type="dxa"/>
              <w:right w:w="20" w:type="dxa"/>
            </w:tcMar>
            <w:vAlign w:val="center"/>
          </w:tcPr>
          <w:p w14:paraId="7E784E48" w14:textId="77777777" w:rsidR="00A82082" w:rsidRDefault="00A82082">
            <w:pPr>
              <w:jc w:val="right"/>
              <w:rPr>
                <w:rFonts w:ascii="宋体"/>
              </w:rPr>
            </w:pPr>
          </w:p>
        </w:tc>
        <w:tc>
          <w:tcPr>
            <w:tcW w:w="0" w:type="auto"/>
            <w:shd w:val="clear" w:color="auto" w:fill="auto"/>
          </w:tcPr>
          <w:p w14:paraId="7E784E49" w14:textId="77777777" w:rsidR="00A82082" w:rsidRDefault="00A82082">
            <w:pPr>
              <w:rPr>
                <w:rFonts w:ascii="宋体"/>
                <w:vanish/>
              </w:rPr>
            </w:pPr>
          </w:p>
        </w:tc>
        <w:tc>
          <w:tcPr>
            <w:tcW w:w="0" w:type="auto"/>
            <w:shd w:val="clear" w:color="auto" w:fill="auto"/>
          </w:tcPr>
          <w:p w14:paraId="7E784E4A" w14:textId="77777777" w:rsidR="00A82082" w:rsidRDefault="00A82082">
            <w:pPr>
              <w:rPr>
                <w:rFonts w:ascii="宋体"/>
                <w:vanish/>
              </w:rPr>
            </w:pPr>
          </w:p>
        </w:tc>
      </w:tr>
      <w:tr w:rsidR="00A82082" w14:paraId="7E784E55" w14:textId="77777777">
        <w:tc>
          <w:tcPr>
            <w:tcW w:w="0" w:type="auto"/>
            <w:gridSpan w:val="3"/>
            <w:shd w:val="clear" w:color="auto" w:fill="CCEEFF"/>
            <w:tcMar>
              <w:top w:w="40" w:type="dxa"/>
              <w:left w:w="20" w:type="dxa"/>
              <w:bottom w:w="40" w:type="dxa"/>
              <w:right w:w="20" w:type="dxa"/>
            </w:tcMar>
            <w:vAlign w:val="center"/>
          </w:tcPr>
          <w:p w14:paraId="7E784E4C" w14:textId="77777777" w:rsidR="00A82082" w:rsidRDefault="00E946F9">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tcPr>
          <w:p w14:paraId="7E784E4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E4E" w14:textId="77777777" w:rsidR="00A82082" w:rsidRDefault="00E946F9">
            <w:pPr>
              <w:jc w:val="right"/>
              <w:textAlignment w:val="center"/>
            </w:pPr>
            <w:r>
              <w:rPr>
                <w:rFonts w:ascii="Times New Roman" w:eastAsia="宋体" w:hAnsi="Times New Roman"/>
                <w:color w:val="000000"/>
                <w:sz w:val="16"/>
                <w:szCs w:val="16"/>
              </w:rPr>
              <w:t>9,515 </w:t>
            </w:r>
          </w:p>
        </w:tc>
        <w:tc>
          <w:tcPr>
            <w:tcW w:w="0" w:type="auto"/>
            <w:shd w:val="clear" w:color="auto" w:fill="CCEEFF"/>
            <w:tcMar>
              <w:top w:w="40" w:type="dxa"/>
              <w:left w:w="0" w:type="dxa"/>
              <w:bottom w:w="40" w:type="dxa"/>
              <w:right w:w="20" w:type="dxa"/>
            </w:tcMar>
            <w:vAlign w:val="center"/>
          </w:tcPr>
          <w:p w14:paraId="7E784E4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E51" w14:textId="77777777" w:rsidR="00A82082" w:rsidRDefault="00E946F9">
            <w:pPr>
              <w:jc w:val="right"/>
              <w:textAlignment w:val="center"/>
            </w:pPr>
            <w:r>
              <w:rPr>
                <w:rFonts w:ascii="Times New Roman" w:eastAsia="宋体" w:hAnsi="Times New Roman"/>
                <w:color w:val="000000"/>
                <w:sz w:val="16"/>
                <w:szCs w:val="16"/>
              </w:rPr>
              <w:t>7,756 </w:t>
            </w:r>
          </w:p>
        </w:tc>
        <w:tc>
          <w:tcPr>
            <w:tcW w:w="0" w:type="auto"/>
            <w:shd w:val="clear" w:color="auto" w:fill="CCEEFF"/>
            <w:tcMar>
              <w:top w:w="40" w:type="dxa"/>
              <w:left w:w="0" w:type="dxa"/>
              <w:bottom w:w="40" w:type="dxa"/>
              <w:right w:w="20" w:type="dxa"/>
            </w:tcMar>
            <w:vAlign w:val="center"/>
          </w:tcPr>
          <w:p w14:paraId="7E784E52" w14:textId="77777777" w:rsidR="00A82082" w:rsidRDefault="00A82082">
            <w:pPr>
              <w:jc w:val="right"/>
              <w:rPr>
                <w:rFonts w:ascii="宋体"/>
              </w:rPr>
            </w:pPr>
          </w:p>
        </w:tc>
        <w:tc>
          <w:tcPr>
            <w:tcW w:w="0" w:type="auto"/>
            <w:shd w:val="clear" w:color="auto" w:fill="auto"/>
          </w:tcPr>
          <w:p w14:paraId="7E784E53" w14:textId="77777777" w:rsidR="00A82082" w:rsidRDefault="00A82082">
            <w:pPr>
              <w:rPr>
                <w:rFonts w:ascii="宋体"/>
                <w:vanish/>
              </w:rPr>
            </w:pPr>
          </w:p>
        </w:tc>
        <w:tc>
          <w:tcPr>
            <w:tcW w:w="0" w:type="auto"/>
            <w:shd w:val="clear" w:color="auto" w:fill="auto"/>
          </w:tcPr>
          <w:p w14:paraId="7E784E54" w14:textId="77777777" w:rsidR="00A82082" w:rsidRDefault="00A82082">
            <w:pPr>
              <w:rPr>
                <w:rFonts w:ascii="宋体"/>
                <w:vanish/>
              </w:rPr>
            </w:pPr>
          </w:p>
        </w:tc>
      </w:tr>
      <w:tr w:rsidR="00A82082" w14:paraId="7E784E61" w14:textId="77777777">
        <w:tc>
          <w:tcPr>
            <w:tcW w:w="0" w:type="auto"/>
            <w:gridSpan w:val="3"/>
            <w:shd w:val="clear" w:color="auto" w:fill="FFFFFF"/>
            <w:tcMar>
              <w:top w:w="40" w:type="dxa"/>
              <w:left w:w="20" w:type="dxa"/>
              <w:bottom w:w="40" w:type="dxa"/>
              <w:right w:w="20" w:type="dxa"/>
            </w:tcMar>
            <w:vAlign w:val="center"/>
          </w:tcPr>
          <w:p w14:paraId="7E784E56" w14:textId="77777777" w:rsidR="00A82082" w:rsidRDefault="00E946F9">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FFFFFF"/>
            <w:tcMar>
              <w:top w:w="0" w:type="dxa"/>
              <w:left w:w="20" w:type="dxa"/>
              <w:bottom w:w="0" w:type="dxa"/>
              <w:right w:w="20" w:type="dxa"/>
            </w:tcMar>
          </w:tcPr>
          <w:p w14:paraId="7E784E57"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E5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E59" w14:textId="77777777" w:rsidR="00A82082" w:rsidRDefault="00E946F9">
            <w:pPr>
              <w:jc w:val="right"/>
              <w:textAlignment w:val="center"/>
            </w:pPr>
            <w:r>
              <w:rPr>
                <w:rFonts w:ascii="Times New Roman" w:eastAsia="宋体" w:hAnsi="Times New Roman"/>
                <w:color w:val="000000"/>
                <w:sz w:val="16"/>
                <w:szCs w:val="16"/>
              </w:rPr>
              <w:t>14,378 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E5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5B"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4E5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4E5D" w14:textId="77777777" w:rsidR="00A82082" w:rsidRDefault="00E946F9">
            <w:pPr>
              <w:jc w:val="right"/>
              <w:textAlignment w:val="center"/>
            </w:pPr>
            <w:r>
              <w:rPr>
                <w:rFonts w:ascii="Times New Roman" w:eastAsia="宋体" w:hAnsi="Times New Roman"/>
                <w:color w:val="000000"/>
                <w:sz w:val="16"/>
                <w:szCs w:val="16"/>
              </w:rPr>
              <w:t>8,631 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4E5E" w14:textId="77777777" w:rsidR="00A82082" w:rsidRDefault="00A82082">
            <w:pPr>
              <w:jc w:val="right"/>
              <w:rPr>
                <w:rFonts w:ascii="宋体"/>
              </w:rPr>
            </w:pPr>
          </w:p>
        </w:tc>
        <w:tc>
          <w:tcPr>
            <w:tcW w:w="0" w:type="auto"/>
            <w:shd w:val="clear" w:color="auto" w:fill="auto"/>
          </w:tcPr>
          <w:p w14:paraId="7E784E5F" w14:textId="77777777" w:rsidR="00A82082" w:rsidRDefault="00A82082">
            <w:pPr>
              <w:rPr>
                <w:rFonts w:ascii="宋体"/>
                <w:vanish/>
              </w:rPr>
            </w:pPr>
          </w:p>
        </w:tc>
        <w:tc>
          <w:tcPr>
            <w:tcW w:w="0" w:type="auto"/>
            <w:shd w:val="clear" w:color="auto" w:fill="auto"/>
          </w:tcPr>
          <w:p w14:paraId="7E784E60" w14:textId="77777777" w:rsidR="00A82082" w:rsidRDefault="00A82082">
            <w:pPr>
              <w:rPr>
                <w:rFonts w:ascii="宋体"/>
                <w:vanish/>
              </w:rPr>
            </w:pPr>
          </w:p>
        </w:tc>
      </w:tr>
      <w:tr w:rsidR="00A82082" w14:paraId="7E784E69" w14:textId="77777777">
        <w:trPr>
          <w:hidden/>
        </w:trPr>
        <w:tc>
          <w:tcPr>
            <w:tcW w:w="0" w:type="auto"/>
            <w:gridSpan w:val="3"/>
            <w:shd w:val="clear" w:color="auto" w:fill="auto"/>
          </w:tcPr>
          <w:p w14:paraId="7E784E62" w14:textId="77777777" w:rsidR="00A82082" w:rsidRDefault="00A82082">
            <w:pPr>
              <w:rPr>
                <w:rFonts w:ascii="宋体"/>
                <w:vanish/>
              </w:rPr>
            </w:pPr>
          </w:p>
        </w:tc>
        <w:tc>
          <w:tcPr>
            <w:tcW w:w="0" w:type="auto"/>
            <w:gridSpan w:val="3"/>
            <w:shd w:val="clear" w:color="auto" w:fill="auto"/>
          </w:tcPr>
          <w:p w14:paraId="7E784E63" w14:textId="77777777" w:rsidR="00A82082" w:rsidRDefault="00A82082">
            <w:pPr>
              <w:rPr>
                <w:rFonts w:ascii="宋体"/>
                <w:vanish/>
              </w:rPr>
            </w:pPr>
          </w:p>
        </w:tc>
        <w:tc>
          <w:tcPr>
            <w:tcW w:w="0" w:type="auto"/>
            <w:gridSpan w:val="3"/>
            <w:shd w:val="clear" w:color="auto" w:fill="auto"/>
          </w:tcPr>
          <w:p w14:paraId="7E784E64" w14:textId="77777777" w:rsidR="00A82082" w:rsidRDefault="00A82082">
            <w:pPr>
              <w:rPr>
                <w:rFonts w:ascii="宋体"/>
                <w:vanish/>
              </w:rPr>
            </w:pPr>
          </w:p>
        </w:tc>
        <w:tc>
          <w:tcPr>
            <w:tcW w:w="0" w:type="auto"/>
            <w:gridSpan w:val="3"/>
            <w:shd w:val="clear" w:color="auto" w:fill="auto"/>
          </w:tcPr>
          <w:p w14:paraId="7E784E65" w14:textId="77777777" w:rsidR="00A82082" w:rsidRDefault="00A82082">
            <w:pPr>
              <w:rPr>
                <w:rFonts w:ascii="宋体"/>
                <w:vanish/>
              </w:rPr>
            </w:pPr>
          </w:p>
        </w:tc>
        <w:tc>
          <w:tcPr>
            <w:tcW w:w="0" w:type="auto"/>
            <w:gridSpan w:val="3"/>
            <w:shd w:val="clear" w:color="auto" w:fill="auto"/>
          </w:tcPr>
          <w:p w14:paraId="7E784E66" w14:textId="77777777" w:rsidR="00A82082" w:rsidRDefault="00A82082">
            <w:pPr>
              <w:rPr>
                <w:rFonts w:ascii="宋体"/>
                <w:vanish/>
              </w:rPr>
            </w:pPr>
          </w:p>
        </w:tc>
        <w:tc>
          <w:tcPr>
            <w:tcW w:w="0" w:type="auto"/>
            <w:shd w:val="clear" w:color="auto" w:fill="auto"/>
          </w:tcPr>
          <w:p w14:paraId="7E784E67" w14:textId="77777777" w:rsidR="00A82082" w:rsidRDefault="00A82082">
            <w:pPr>
              <w:rPr>
                <w:rFonts w:ascii="宋体"/>
                <w:vanish/>
              </w:rPr>
            </w:pPr>
          </w:p>
        </w:tc>
        <w:tc>
          <w:tcPr>
            <w:tcW w:w="0" w:type="auto"/>
            <w:shd w:val="clear" w:color="auto" w:fill="auto"/>
          </w:tcPr>
          <w:p w14:paraId="7E784E68" w14:textId="77777777" w:rsidR="00A82082" w:rsidRDefault="00A82082">
            <w:pPr>
              <w:rPr>
                <w:rFonts w:ascii="宋体"/>
                <w:vanish/>
              </w:rPr>
            </w:pPr>
          </w:p>
        </w:tc>
      </w:tr>
      <w:tr w:rsidR="00A82082" w14:paraId="7E784E71" w14:textId="77777777">
        <w:trPr>
          <w:hidden/>
        </w:trPr>
        <w:tc>
          <w:tcPr>
            <w:tcW w:w="0" w:type="auto"/>
            <w:gridSpan w:val="3"/>
            <w:shd w:val="clear" w:color="auto" w:fill="auto"/>
          </w:tcPr>
          <w:p w14:paraId="7E784E6A" w14:textId="77777777" w:rsidR="00A82082" w:rsidRDefault="00A82082">
            <w:pPr>
              <w:rPr>
                <w:rFonts w:ascii="宋体"/>
                <w:vanish/>
              </w:rPr>
            </w:pPr>
          </w:p>
        </w:tc>
        <w:tc>
          <w:tcPr>
            <w:tcW w:w="0" w:type="auto"/>
            <w:gridSpan w:val="3"/>
            <w:shd w:val="clear" w:color="auto" w:fill="auto"/>
          </w:tcPr>
          <w:p w14:paraId="7E784E6B" w14:textId="77777777" w:rsidR="00A82082" w:rsidRDefault="00A82082">
            <w:pPr>
              <w:rPr>
                <w:rFonts w:ascii="宋体"/>
                <w:vanish/>
              </w:rPr>
            </w:pPr>
          </w:p>
        </w:tc>
        <w:tc>
          <w:tcPr>
            <w:tcW w:w="0" w:type="auto"/>
            <w:gridSpan w:val="3"/>
            <w:shd w:val="clear" w:color="auto" w:fill="auto"/>
          </w:tcPr>
          <w:p w14:paraId="7E784E6C" w14:textId="77777777" w:rsidR="00A82082" w:rsidRDefault="00A82082">
            <w:pPr>
              <w:rPr>
                <w:rFonts w:ascii="宋体"/>
                <w:vanish/>
              </w:rPr>
            </w:pPr>
          </w:p>
        </w:tc>
        <w:tc>
          <w:tcPr>
            <w:tcW w:w="0" w:type="auto"/>
            <w:gridSpan w:val="3"/>
            <w:shd w:val="clear" w:color="auto" w:fill="auto"/>
          </w:tcPr>
          <w:p w14:paraId="7E784E6D" w14:textId="77777777" w:rsidR="00A82082" w:rsidRDefault="00A82082">
            <w:pPr>
              <w:rPr>
                <w:rFonts w:ascii="宋体"/>
                <w:vanish/>
              </w:rPr>
            </w:pPr>
          </w:p>
        </w:tc>
        <w:tc>
          <w:tcPr>
            <w:tcW w:w="0" w:type="auto"/>
            <w:gridSpan w:val="3"/>
            <w:shd w:val="clear" w:color="auto" w:fill="auto"/>
          </w:tcPr>
          <w:p w14:paraId="7E784E6E" w14:textId="77777777" w:rsidR="00A82082" w:rsidRDefault="00A82082">
            <w:pPr>
              <w:rPr>
                <w:rFonts w:ascii="宋体"/>
                <w:vanish/>
              </w:rPr>
            </w:pPr>
          </w:p>
        </w:tc>
        <w:tc>
          <w:tcPr>
            <w:tcW w:w="0" w:type="auto"/>
            <w:shd w:val="clear" w:color="auto" w:fill="auto"/>
          </w:tcPr>
          <w:p w14:paraId="7E784E6F" w14:textId="77777777" w:rsidR="00A82082" w:rsidRDefault="00A82082">
            <w:pPr>
              <w:rPr>
                <w:rFonts w:ascii="宋体"/>
                <w:vanish/>
              </w:rPr>
            </w:pPr>
          </w:p>
        </w:tc>
        <w:tc>
          <w:tcPr>
            <w:tcW w:w="0" w:type="auto"/>
            <w:shd w:val="clear" w:color="auto" w:fill="auto"/>
          </w:tcPr>
          <w:p w14:paraId="7E784E70" w14:textId="77777777" w:rsidR="00A82082" w:rsidRDefault="00A82082">
            <w:pPr>
              <w:rPr>
                <w:rFonts w:ascii="宋体"/>
                <w:vanish/>
              </w:rPr>
            </w:pPr>
          </w:p>
        </w:tc>
      </w:tr>
      <w:tr w:rsidR="00A82082" w14:paraId="7E784E79" w14:textId="77777777">
        <w:trPr>
          <w:hidden/>
        </w:trPr>
        <w:tc>
          <w:tcPr>
            <w:tcW w:w="0" w:type="auto"/>
            <w:gridSpan w:val="3"/>
            <w:shd w:val="clear" w:color="auto" w:fill="auto"/>
          </w:tcPr>
          <w:p w14:paraId="7E784E72" w14:textId="77777777" w:rsidR="00A82082" w:rsidRDefault="00A82082">
            <w:pPr>
              <w:rPr>
                <w:rFonts w:ascii="宋体"/>
                <w:vanish/>
              </w:rPr>
            </w:pPr>
          </w:p>
        </w:tc>
        <w:tc>
          <w:tcPr>
            <w:tcW w:w="0" w:type="auto"/>
            <w:gridSpan w:val="3"/>
            <w:shd w:val="clear" w:color="auto" w:fill="auto"/>
          </w:tcPr>
          <w:p w14:paraId="7E784E73" w14:textId="77777777" w:rsidR="00A82082" w:rsidRDefault="00A82082">
            <w:pPr>
              <w:rPr>
                <w:rFonts w:ascii="宋体"/>
                <w:vanish/>
              </w:rPr>
            </w:pPr>
          </w:p>
        </w:tc>
        <w:tc>
          <w:tcPr>
            <w:tcW w:w="0" w:type="auto"/>
            <w:gridSpan w:val="3"/>
            <w:shd w:val="clear" w:color="auto" w:fill="auto"/>
          </w:tcPr>
          <w:p w14:paraId="7E784E74" w14:textId="77777777" w:rsidR="00A82082" w:rsidRDefault="00A82082">
            <w:pPr>
              <w:rPr>
                <w:rFonts w:ascii="宋体"/>
                <w:vanish/>
              </w:rPr>
            </w:pPr>
          </w:p>
        </w:tc>
        <w:tc>
          <w:tcPr>
            <w:tcW w:w="0" w:type="auto"/>
            <w:gridSpan w:val="3"/>
            <w:shd w:val="clear" w:color="auto" w:fill="auto"/>
          </w:tcPr>
          <w:p w14:paraId="7E784E75" w14:textId="77777777" w:rsidR="00A82082" w:rsidRDefault="00A82082">
            <w:pPr>
              <w:rPr>
                <w:rFonts w:ascii="宋体"/>
                <w:vanish/>
              </w:rPr>
            </w:pPr>
          </w:p>
        </w:tc>
        <w:tc>
          <w:tcPr>
            <w:tcW w:w="0" w:type="auto"/>
            <w:gridSpan w:val="3"/>
            <w:shd w:val="clear" w:color="auto" w:fill="auto"/>
          </w:tcPr>
          <w:p w14:paraId="7E784E76" w14:textId="77777777" w:rsidR="00A82082" w:rsidRDefault="00A82082">
            <w:pPr>
              <w:rPr>
                <w:rFonts w:ascii="宋体"/>
                <w:vanish/>
              </w:rPr>
            </w:pPr>
          </w:p>
        </w:tc>
        <w:tc>
          <w:tcPr>
            <w:tcW w:w="0" w:type="auto"/>
            <w:shd w:val="clear" w:color="auto" w:fill="auto"/>
          </w:tcPr>
          <w:p w14:paraId="7E784E77" w14:textId="77777777" w:rsidR="00A82082" w:rsidRDefault="00A82082">
            <w:pPr>
              <w:rPr>
                <w:rFonts w:ascii="宋体"/>
                <w:vanish/>
              </w:rPr>
            </w:pPr>
          </w:p>
        </w:tc>
        <w:tc>
          <w:tcPr>
            <w:tcW w:w="0" w:type="auto"/>
            <w:shd w:val="clear" w:color="auto" w:fill="auto"/>
          </w:tcPr>
          <w:p w14:paraId="7E784E78" w14:textId="77777777" w:rsidR="00A82082" w:rsidRDefault="00A82082">
            <w:pPr>
              <w:rPr>
                <w:rFonts w:ascii="宋体"/>
                <w:vanish/>
              </w:rPr>
            </w:pPr>
          </w:p>
        </w:tc>
      </w:tr>
      <w:tr w:rsidR="00A82082" w14:paraId="7E784E81" w14:textId="77777777">
        <w:trPr>
          <w:hidden/>
        </w:trPr>
        <w:tc>
          <w:tcPr>
            <w:tcW w:w="0" w:type="auto"/>
            <w:gridSpan w:val="3"/>
            <w:shd w:val="clear" w:color="auto" w:fill="auto"/>
          </w:tcPr>
          <w:p w14:paraId="7E784E7A" w14:textId="77777777" w:rsidR="00A82082" w:rsidRDefault="00A82082">
            <w:pPr>
              <w:rPr>
                <w:rFonts w:ascii="宋体"/>
                <w:vanish/>
              </w:rPr>
            </w:pPr>
          </w:p>
        </w:tc>
        <w:tc>
          <w:tcPr>
            <w:tcW w:w="0" w:type="auto"/>
            <w:gridSpan w:val="3"/>
            <w:shd w:val="clear" w:color="auto" w:fill="auto"/>
          </w:tcPr>
          <w:p w14:paraId="7E784E7B" w14:textId="77777777" w:rsidR="00A82082" w:rsidRDefault="00A82082">
            <w:pPr>
              <w:rPr>
                <w:rFonts w:ascii="宋体"/>
                <w:vanish/>
              </w:rPr>
            </w:pPr>
          </w:p>
        </w:tc>
        <w:tc>
          <w:tcPr>
            <w:tcW w:w="0" w:type="auto"/>
            <w:gridSpan w:val="3"/>
            <w:shd w:val="clear" w:color="auto" w:fill="auto"/>
          </w:tcPr>
          <w:p w14:paraId="7E784E7C" w14:textId="77777777" w:rsidR="00A82082" w:rsidRDefault="00A82082">
            <w:pPr>
              <w:rPr>
                <w:rFonts w:ascii="宋体"/>
                <w:vanish/>
              </w:rPr>
            </w:pPr>
          </w:p>
        </w:tc>
        <w:tc>
          <w:tcPr>
            <w:tcW w:w="0" w:type="auto"/>
            <w:gridSpan w:val="3"/>
            <w:shd w:val="clear" w:color="auto" w:fill="auto"/>
          </w:tcPr>
          <w:p w14:paraId="7E784E7D" w14:textId="77777777" w:rsidR="00A82082" w:rsidRDefault="00A82082">
            <w:pPr>
              <w:rPr>
                <w:rFonts w:ascii="宋体"/>
                <w:vanish/>
              </w:rPr>
            </w:pPr>
          </w:p>
        </w:tc>
        <w:tc>
          <w:tcPr>
            <w:tcW w:w="0" w:type="auto"/>
            <w:gridSpan w:val="3"/>
            <w:shd w:val="clear" w:color="auto" w:fill="auto"/>
          </w:tcPr>
          <w:p w14:paraId="7E784E7E" w14:textId="77777777" w:rsidR="00A82082" w:rsidRDefault="00A82082">
            <w:pPr>
              <w:rPr>
                <w:rFonts w:ascii="宋体"/>
                <w:vanish/>
              </w:rPr>
            </w:pPr>
          </w:p>
        </w:tc>
        <w:tc>
          <w:tcPr>
            <w:tcW w:w="0" w:type="auto"/>
            <w:shd w:val="clear" w:color="auto" w:fill="auto"/>
          </w:tcPr>
          <w:p w14:paraId="7E784E7F" w14:textId="77777777" w:rsidR="00A82082" w:rsidRDefault="00A82082">
            <w:pPr>
              <w:rPr>
                <w:rFonts w:ascii="宋体"/>
                <w:vanish/>
              </w:rPr>
            </w:pPr>
          </w:p>
        </w:tc>
        <w:tc>
          <w:tcPr>
            <w:tcW w:w="0" w:type="auto"/>
            <w:shd w:val="clear" w:color="auto" w:fill="auto"/>
          </w:tcPr>
          <w:p w14:paraId="7E784E80" w14:textId="77777777" w:rsidR="00A82082" w:rsidRDefault="00A82082">
            <w:pPr>
              <w:rPr>
                <w:rFonts w:ascii="宋体"/>
                <w:vanish/>
              </w:rPr>
            </w:pPr>
          </w:p>
        </w:tc>
      </w:tr>
    </w:tbl>
    <w:p w14:paraId="7E784E82" w14:textId="77777777" w:rsidR="00A82082" w:rsidRDefault="00E946F9">
      <w:pPr>
        <w:spacing w:before="180"/>
      </w:pPr>
      <w:r>
        <w:rPr>
          <w:rFonts w:ascii="Times New Roman" w:eastAsia="宋体" w:hAnsi="Times New Roman"/>
          <w:i/>
          <w:iCs/>
          <w:color w:val="000000"/>
          <w:sz w:val="16"/>
          <w:szCs w:val="16"/>
        </w:rPr>
        <w:t xml:space="preserve">See accompanying notes. </w:t>
      </w:r>
    </w:p>
    <w:p w14:paraId="7E784E83" w14:textId="77777777" w:rsidR="00A82082" w:rsidRDefault="00E946F9">
      <w:pPr>
        <w:jc w:val="center"/>
      </w:pPr>
      <w:r>
        <w:rPr>
          <w:rFonts w:ascii="Times New Roman" w:eastAsia="宋体" w:hAnsi="Times New Roman"/>
          <w:color w:val="000000"/>
          <w:sz w:val="20"/>
          <w:szCs w:val="20"/>
        </w:rPr>
        <w:t>8</w:t>
      </w:r>
    </w:p>
    <w:p w14:paraId="7E784E84" w14:textId="77777777" w:rsidR="00A82082" w:rsidRDefault="00E946F9">
      <w:r>
        <w:pict w14:anchorId="7E786150">
          <v:rect id="_x0000_i1032" style="width:415.3pt;height:1.5pt" o:hralign="center" o:hrstd="t" o:hr="t" fillcolor="#a0a0a0" stroked="f"/>
        </w:pict>
      </w:r>
    </w:p>
    <w:p w14:paraId="7E784E85" w14:textId="77777777" w:rsidR="00A82082" w:rsidRDefault="00E946F9">
      <w:hyperlink r:id="rId53" w:anchor="i5c815528a95c4409b9043de534639b9a_7" w:history="1">
        <w:r>
          <w:rPr>
            <w:rStyle w:val="a5"/>
            <w:rFonts w:ascii="Times New Roman" w:eastAsia="宋体" w:hAnsi="Times New Roman"/>
            <w:sz w:val="20"/>
            <w:szCs w:val="20"/>
          </w:rPr>
          <w:t>Table of C</w:t>
        </w:r>
      </w:hyperlink>
      <w:hyperlink r:id="rId54" w:anchor="i5c815528a95c4409b9043de534639b9a_7" w:history="1">
        <w:r>
          <w:rPr>
            <w:rStyle w:val="a5"/>
            <w:rFonts w:ascii="Times New Roman" w:eastAsia="宋体" w:hAnsi="Times New Roman"/>
            <w:sz w:val="20"/>
            <w:szCs w:val="20"/>
          </w:rPr>
          <w:t>ontents</w:t>
        </w:r>
      </w:hyperlink>
    </w:p>
    <w:p w14:paraId="7E784E86" w14:textId="77777777" w:rsidR="00A82082" w:rsidRDefault="00E946F9">
      <w:pPr>
        <w:jc w:val="center"/>
      </w:pPr>
      <w:r>
        <w:rPr>
          <w:rFonts w:ascii="Times New Roman" w:eastAsia="宋体" w:hAnsi="Times New Roman"/>
          <w:b/>
          <w:bCs/>
          <w:color w:val="000000"/>
          <w:sz w:val="20"/>
          <w:szCs w:val="20"/>
        </w:rPr>
        <w:t>Walmart Inc.</w:t>
      </w:r>
    </w:p>
    <w:p w14:paraId="7E784E87" w14:textId="77777777" w:rsidR="00A82082" w:rsidRDefault="00E946F9">
      <w:pPr>
        <w:spacing w:before="60"/>
        <w:jc w:val="center"/>
      </w:pPr>
      <w:r>
        <w:rPr>
          <w:rFonts w:ascii="Times New Roman" w:eastAsia="宋体" w:hAnsi="Times New Roman"/>
          <w:b/>
          <w:bCs/>
          <w:color w:val="000000"/>
          <w:sz w:val="20"/>
          <w:szCs w:val="20"/>
        </w:rPr>
        <w:t>Notes to Condensed Consolidated Financial Statements</w:t>
      </w:r>
    </w:p>
    <w:p w14:paraId="7E784E88" w14:textId="77777777" w:rsidR="00A82082" w:rsidRDefault="00E946F9">
      <w:pPr>
        <w:spacing w:before="180"/>
      </w:pPr>
      <w:r>
        <w:rPr>
          <w:rFonts w:ascii="Times New Roman" w:eastAsia="宋体" w:hAnsi="Times New Roman"/>
          <w:b/>
          <w:bCs/>
          <w:color w:val="000000"/>
          <w:sz w:val="20"/>
          <w:szCs w:val="20"/>
        </w:rPr>
        <w:t>Note 1. Summary of Significant Accounting Policies</w:t>
      </w:r>
    </w:p>
    <w:p w14:paraId="7E784E89" w14:textId="77777777" w:rsidR="00A82082" w:rsidRDefault="00E946F9">
      <w:pPr>
        <w:spacing w:before="180"/>
      </w:pPr>
      <w:r>
        <w:rPr>
          <w:rFonts w:ascii="Times New Roman" w:eastAsia="宋体" w:hAnsi="Times New Roman"/>
          <w:b/>
          <w:bCs/>
          <w:i/>
          <w:iCs/>
          <w:color w:val="000000"/>
          <w:sz w:val="20"/>
          <w:szCs w:val="20"/>
        </w:rPr>
        <w:t>Basis of Presentation</w:t>
      </w:r>
    </w:p>
    <w:p w14:paraId="7E784E8A" w14:textId="77777777" w:rsidR="00A82082" w:rsidRDefault="00E946F9">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The Condensed Consolidated Financial Statements, and the accompanying notes, are prepared in accordance </w:t>
      </w:r>
      <w:r>
        <w:rPr>
          <w:rFonts w:ascii="Times New Roman" w:eastAsia="宋体" w:hAnsi="Times New Roman"/>
          <w:color w:val="000000"/>
          <w:sz w:val="20"/>
          <w:szCs w:val="20"/>
        </w:rPr>
        <w:t>with generally accepted accounting principles in the United States ("GAAP") and do not contain certain information included in the Company's Annual Report on Form 10-K for the fiscal year ended January 31, 2020 ("fiscal 2020"). Therefore, the interim Conde</w:t>
      </w:r>
      <w:r>
        <w:rPr>
          <w:rFonts w:ascii="Times New Roman" w:eastAsia="宋体" w:hAnsi="Times New Roman"/>
          <w:color w:val="000000"/>
          <w:sz w:val="20"/>
          <w:szCs w:val="20"/>
        </w:rPr>
        <w:t xml:space="preserve">nsed Consolidated Financial Statements should be read in conjunction with that Annual Report on Form 10-K. </w:t>
      </w:r>
    </w:p>
    <w:p w14:paraId="7E784E8B" w14:textId="77777777" w:rsidR="00A82082" w:rsidRDefault="00E946F9">
      <w:pPr>
        <w:spacing w:before="100"/>
      </w:pPr>
      <w:r>
        <w:rPr>
          <w:rFonts w:ascii="Times New Roman" w:eastAsia="宋体" w:hAnsi="Times New Roman"/>
          <w:color w:val="000000"/>
          <w:sz w:val="20"/>
          <w:szCs w:val="20"/>
        </w:rPr>
        <w:t>The Company's Consolidated Financial Statements are based on a fiscal year ending January 31 for the United States ("U.S.") and Canadian operations.</w:t>
      </w:r>
      <w:r>
        <w:rPr>
          <w:rFonts w:ascii="Times New Roman" w:eastAsia="宋体" w:hAnsi="Times New Roman"/>
          <w:color w:val="000000"/>
          <w:sz w:val="20"/>
          <w:szCs w:val="20"/>
        </w:rPr>
        <w:t xml:space="preserve"> The Company consolidates all other operations generally using a one-month lag and based on a calendar year. There were no significant intervening events during the month of October related to the consolidated operations using a lag that materially affecte</w:t>
      </w:r>
      <w:r>
        <w:rPr>
          <w:rFonts w:ascii="Times New Roman" w:eastAsia="宋体" w:hAnsi="Times New Roman"/>
          <w:color w:val="000000"/>
          <w:sz w:val="20"/>
          <w:szCs w:val="20"/>
        </w:rPr>
        <w:t xml:space="preserve">d the Condensed Consolidated Financial Statements. </w:t>
      </w:r>
    </w:p>
    <w:p w14:paraId="7E784E8C" w14:textId="77777777" w:rsidR="00A82082" w:rsidRDefault="00E946F9">
      <w:pPr>
        <w:spacing w:before="100"/>
      </w:pPr>
      <w:r>
        <w:rPr>
          <w:rFonts w:ascii="Times New Roman" w:eastAsia="宋体" w:hAnsi="Times New Roman"/>
          <w:color w:val="000000"/>
          <w:sz w:val="20"/>
          <w:szCs w:val="20"/>
        </w:rPr>
        <w:t>The Company's business is seasonal to a certain extent due to calendar events and national and religious holidays, as well as weather patterns. Historically, the Company's highest sales volume and operati</w:t>
      </w:r>
      <w:r>
        <w:rPr>
          <w:rFonts w:ascii="Times New Roman" w:eastAsia="宋体" w:hAnsi="Times New Roman"/>
          <w:color w:val="000000"/>
          <w:sz w:val="20"/>
          <w:szCs w:val="20"/>
        </w:rPr>
        <w:t>ng income have occurred in the fiscal quarter ending January 31.</w:t>
      </w:r>
    </w:p>
    <w:p w14:paraId="7E784E8D" w14:textId="77777777" w:rsidR="00A82082" w:rsidRDefault="00E946F9">
      <w:pPr>
        <w:spacing w:before="180"/>
      </w:pPr>
      <w:r>
        <w:rPr>
          <w:rFonts w:ascii="Times New Roman" w:eastAsia="宋体" w:hAnsi="Times New Roman"/>
          <w:b/>
          <w:bCs/>
          <w:i/>
          <w:iCs/>
          <w:color w:val="000000"/>
          <w:sz w:val="20"/>
          <w:szCs w:val="20"/>
        </w:rPr>
        <w:t>Use of Estimates</w:t>
      </w:r>
    </w:p>
    <w:p w14:paraId="7E784E8E" w14:textId="77777777" w:rsidR="00A82082" w:rsidRDefault="00E946F9">
      <w:pPr>
        <w:spacing w:before="100"/>
      </w:pPr>
      <w:r>
        <w:rPr>
          <w:rFonts w:ascii="Times New Roman" w:eastAsia="宋体" w:hAnsi="Times New Roman"/>
          <w:color w:val="000000"/>
          <w:sz w:val="20"/>
          <w:szCs w:val="20"/>
        </w:rPr>
        <w:t xml:space="preserve">The Consolidated Financial Statements have been prepared in conformity with GAAP. Those principles require management to make estimates and assumptions, including </w:t>
      </w:r>
      <w:r>
        <w:rPr>
          <w:rFonts w:ascii="Times New Roman" w:eastAsia="宋体" w:hAnsi="Times New Roman"/>
          <w:color w:val="000000"/>
          <w:sz w:val="20"/>
          <w:szCs w:val="20"/>
        </w:rPr>
        <w:t>potential impacts arising from the COVID-19 pandemic and related government actions, that affect the reported amounts of assets and liabilities. Management's estimates and assumptions also affect the disclosure of contingent assets and liabilities at the d</w:t>
      </w:r>
      <w:r>
        <w:rPr>
          <w:rFonts w:ascii="Times New Roman" w:eastAsia="宋体" w:hAnsi="Times New Roman"/>
          <w:color w:val="000000"/>
          <w:sz w:val="20"/>
          <w:szCs w:val="20"/>
        </w:rPr>
        <w:t>ate of the financial statements and the reported amounts of revenues and expenses during the reporting period. Actual results may differ materially from those estimates.</w:t>
      </w:r>
    </w:p>
    <w:p w14:paraId="7E784E8F" w14:textId="77777777" w:rsidR="00A82082" w:rsidRDefault="00E946F9">
      <w:pPr>
        <w:spacing w:before="180"/>
      </w:pPr>
      <w:r>
        <w:rPr>
          <w:rFonts w:ascii="Times New Roman" w:eastAsia="宋体" w:hAnsi="Times New Roman"/>
          <w:b/>
          <w:bCs/>
          <w:i/>
          <w:iCs/>
          <w:color w:val="000000"/>
          <w:sz w:val="20"/>
          <w:szCs w:val="20"/>
        </w:rPr>
        <w:t>Receivables</w:t>
      </w:r>
    </w:p>
    <w:p w14:paraId="7E784E90" w14:textId="77777777" w:rsidR="00A82082" w:rsidRDefault="00E946F9">
      <w:pPr>
        <w:spacing w:before="100"/>
      </w:pPr>
      <w:r>
        <w:rPr>
          <w:rFonts w:ascii="Times New Roman" w:eastAsia="宋体" w:hAnsi="Times New Roman"/>
          <w:color w:val="000000"/>
          <w:sz w:val="20"/>
          <w:szCs w:val="20"/>
        </w:rPr>
        <w:t>In June 2016, the Financial Accounting Standards Board issued Accounting S</w:t>
      </w:r>
      <w:r>
        <w:rPr>
          <w:rFonts w:ascii="Times New Roman" w:eastAsia="宋体" w:hAnsi="Times New Roman"/>
          <w:color w:val="000000"/>
          <w:sz w:val="20"/>
          <w:szCs w:val="20"/>
        </w:rPr>
        <w:t>tandards Update (“ASU”) 2016-13, </w:t>
      </w:r>
      <w:r>
        <w:rPr>
          <w:rFonts w:ascii="Times New Roman" w:eastAsia="宋体" w:hAnsi="Times New Roman"/>
          <w:i/>
          <w:iCs/>
          <w:color w:val="000000"/>
          <w:sz w:val="20"/>
          <w:szCs w:val="20"/>
        </w:rPr>
        <w:t>Financial Instruments–Credit Losses (Topic 326)</w:t>
      </w:r>
      <w:r>
        <w:rPr>
          <w:rFonts w:ascii="Times New Roman" w:eastAsia="宋体" w:hAnsi="Times New Roman"/>
          <w:color w:val="000000"/>
          <w:sz w:val="20"/>
          <w:szCs w:val="20"/>
        </w:rPr>
        <w:t>, which modifies the measurement of expected credit losses of certain financial instruments. The Company adopted this ASU on February 1, 2020 with no material impact to the Com</w:t>
      </w:r>
      <w:r>
        <w:rPr>
          <w:rFonts w:ascii="Times New Roman" w:eastAsia="宋体" w:hAnsi="Times New Roman"/>
          <w:color w:val="000000"/>
          <w:sz w:val="20"/>
          <w:szCs w:val="20"/>
        </w:rPr>
        <w:t>pany's Condensed Consolidated Financial Statements.</w:t>
      </w:r>
    </w:p>
    <w:p w14:paraId="7E784E91" w14:textId="77777777" w:rsidR="00A82082" w:rsidRDefault="00E946F9">
      <w:pPr>
        <w:spacing w:before="100"/>
      </w:pPr>
      <w:r>
        <w:rPr>
          <w:rFonts w:ascii="Times New Roman" w:eastAsia="宋体" w:hAnsi="Times New Roman"/>
          <w:color w:val="000000"/>
          <w:sz w:val="20"/>
          <w:szCs w:val="20"/>
        </w:rPr>
        <w:t>Receivables are stated at their carrying values, net of a reserve for credit losses, and are primarily due from the following: customers, which also includes insurance companies resulting from pharmacy sa</w:t>
      </w:r>
      <w:r>
        <w:rPr>
          <w:rFonts w:ascii="Times New Roman" w:eastAsia="宋体" w:hAnsi="Times New Roman"/>
          <w:color w:val="000000"/>
          <w:sz w:val="20"/>
          <w:szCs w:val="20"/>
        </w:rPr>
        <w:t xml:space="preserve">les, banks for customer credit, debit cards and electronic transfer transactions that take in excess of seven days to process; suppliers for marketing or incentive programs; governments for income taxes; and real estate transactions. </w:t>
      </w:r>
    </w:p>
    <w:p w14:paraId="7E784E92" w14:textId="77777777" w:rsidR="00A82082" w:rsidRDefault="00A82082">
      <w:pPr>
        <w:spacing w:before="100"/>
      </w:pPr>
    </w:p>
    <w:p w14:paraId="7E784E93" w14:textId="77777777" w:rsidR="00A82082" w:rsidRDefault="00E946F9">
      <w:pPr>
        <w:jc w:val="center"/>
      </w:pPr>
      <w:r>
        <w:rPr>
          <w:rFonts w:ascii="Times New Roman" w:eastAsia="宋体" w:hAnsi="Times New Roman"/>
          <w:color w:val="000000"/>
          <w:sz w:val="20"/>
          <w:szCs w:val="20"/>
        </w:rPr>
        <w:t>9</w:t>
      </w:r>
    </w:p>
    <w:p w14:paraId="7E784E94" w14:textId="77777777" w:rsidR="00A82082" w:rsidRDefault="00E946F9">
      <w:r>
        <w:pict w14:anchorId="7E786151">
          <v:rect id="_x0000_i1033" style="width:415.3pt;height:1.5pt" o:hralign="center" o:hrstd="t" o:hr="t" fillcolor="#a0a0a0" stroked="f"/>
        </w:pict>
      </w:r>
    </w:p>
    <w:p w14:paraId="7E784E95" w14:textId="77777777" w:rsidR="00A82082" w:rsidRDefault="00E946F9">
      <w:hyperlink r:id="rId55" w:anchor="i5c815528a95c4409b9043de534639b9a_7" w:history="1">
        <w:r>
          <w:rPr>
            <w:rStyle w:val="a5"/>
            <w:rFonts w:ascii="Times New Roman" w:eastAsia="宋体" w:hAnsi="Times New Roman"/>
            <w:sz w:val="20"/>
            <w:szCs w:val="20"/>
          </w:rPr>
          <w:t>Table of C</w:t>
        </w:r>
      </w:hyperlink>
      <w:hyperlink r:id="rId56" w:anchor="i5c815528a95c4409b9043de534639b9a_7" w:history="1">
        <w:r>
          <w:rPr>
            <w:rStyle w:val="a5"/>
            <w:rFonts w:ascii="Times New Roman" w:eastAsia="宋体" w:hAnsi="Times New Roman"/>
            <w:sz w:val="20"/>
            <w:szCs w:val="20"/>
          </w:rPr>
          <w:t>ontents</w:t>
        </w:r>
      </w:hyperlink>
    </w:p>
    <w:p w14:paraId="7E784E96" w14:textId="77777777" w:rsidR="00A82082" w:rsidRDefault="00E946F9">
      <w:pPr>
        <w:spacing w:before="240"/>
      </w:pPr>
      <w:r>
        <w:rPr>
          <w:rFonts w:ascii="Times New Roman" w:eastAsia="宋体" w:hAnsi="Times New Roman"/>
          <w:b/>
          <w:bCs/>
          <w:color w:val="000000"/>
          <w:sz w:val="20"/>
          <w:szCs w:val="20"/>
        </w:rPr>
        <w:t>Note 2. Net Income Per Common Share</w:t>
      </w:r>
    </w:p>
    <w:p w14:paraId="7E784E97" w14:textId="77777777" w:rsidR="00A82082" w:rsidRDefault="00E946F9">
      <w:pPr>
        <w:spacing w:before="100"/>
      </w:pPr>
      <w:r>
        <w:rPr>
          <w:rFonts w:ascii="Times New Roman" w:eastAsia="宋体" w:hAnsi="Times New Roman"/>
          <w:color w:val="000000"/>
          <w:sz w:val="20"/>
          <w:szCs w:val="20"/>
        </w:rPr>
        <w:t>Basic net income per common share attributable to Walmart is based on the weighted-average common shares outstanding during the relevant period. Diluted net income per co</w:t>
      </w:r>
      <w:r>
        <w:rPr>
          <w:rFonts w:ascii="Times New Roman" w:eastAsia="宋体" w:hAnsi="Times New Roman"/>
          <w:color w:val="000000"/>
          <w:sz w:val="20"/>
          <w:szCs w:val="20"/>
        </w:rPr>
        <w:t>mmon share attributable to Walmart is based on the weighted-average common shares outstanding during the relevant period adjusted for the dilutive effect of share-based awards. The Company did not have significant share-based awards outstanding that were a</w:t>
      </w:r>
      <w:r>
        <w:rPr>
          <w:rFonts w:ascii="Times New Roman" w:eastAsia="宋体" w:hAnsi="Times New Roman"/>
          <w:color w:val="000000"/>
          <w:sz w:val="20"/>
          <w:szCs w:val="20"/>
        </w:rPr>
        <w:t xml:space="preserve">nti-dilutive and not included in the calculation of diluted net income per common share attributable to Walmart for the three and nine months ended October 31, 2020 and 2019. </w:t>
      </w:r>
    </w:p>
    <w:p w14:paraId="7E784E98" w14:textId="77777777" w:rsidR="00A82082" w:rsidRDefault="00E946F9">
      <w:pPr>
        <w:spacing w:before="100"/>
      </w:pPr>
      <w:r>
        <w:rPr>
          <w:rFonts w:ascii="Times New Roman" w:eastAsia="宋体" w:hAnsi="Times New Roman"/>
          <w:color w:val="000000"/>
          <w:sz w:val="20"/>
          <w:szCs w:val="20"/>
        </w:rPr>
        <w:t>The following table provides a reconciliation of the numerators and denominators</w:t>
      </w:r>
      <w:r>
        <w:rPr>
          <w:rFonts w:ascii="Times New Roman" w:eastAsia="宋体" w:hAnsi="Times New Roman"/>
          <w:color w:val="000000"/>
          <w:sz w:val="20"/>
          <w:szCs w:val="20"/>
        </w:rPr>
        <w:t xml:space="preserve"> used to determine basic and diluted net income per common share attributable to Walmart: </w:t>
      </w:r>
    </w:p>
    <w:tbl>
      <w:tblPr>
        <w:tblW w:w="4993" w:type="pct"/>
        <w:tblCellMar>
          <w:top w:w="15" w:type="dxa"/>
          <w:left w:w="15" w:type="dxa"/>
          <w:bottom w:w="15" w:type="dxa"/>
          <w:right w:w="15" w:type="dxa"/>
        </w:tblCellMar>
        <w:tblLook w:val="04A0" w:firstRow="1" w:lastRow="0" w:firstColumn="1" w:lastColumn="0" w:noHBand="0" w:noVBand="1"/>
      </w:tblPr>
      <w:tblGrid>
        <w:gridCol w:w="40"/>
        <w:gridCol w:w="4122"/>
        <w:gridCol w:w="39"/>
        <w:gridCol w:w="36"/>
        <w:gridCol w:w="36"/>
        <w:gridCol w:w="36"/>
        <w:gridCol w:w="100"/>
        <w:gridCol w:w="793"/>
        <w:gridCol w:w="36"/>
        <w:gridCol w:w="36"/>
        <w:gridCol w:w="36"/>
        <w:gridCol w:w="36"/>
        <w:gridCol w:w="100"/>
        <w:gridCol w:w="793"/>
        <w:gridCol w:w="36"/>
        <w:gridCol w:w="36"/>
        <w:gridCol w:w="36"/>
        <w:gridCol w:w="36"/>
        <w:gridCol w:w="100"/>
        <w:gridCol w:w="768"/>
        <w:gridCol w:w="36"/>
        <w:gridCol w:w="36"/>
        <w:gridCol w:w="36"/>
        <w:gridCol w:w="36"/>
        <w:gridCol w:w="100"/>
        <w:gridCol w:w="793"/>
        <w:gridCol w:w="36"/>
      </w:tblGrid>
      <w:tr w:rsidR="00A82082" w14:paraId="7E784EB4" w14:textId="77777777">
        <w:tc>
          <w:tcPr>
            <w:tcW w:w="50" w:type="pct"/>
            <w:shd w:val="clear" w:color="auto" w:fill="auto"/>
          </w:tcPr>
          <w:p w14:paraId="7E784E99" w14:textId="77777777" w:rsidR="00A82082" w:rsidRDefault="00A82082">
            <w:pPr>
              <w:rPr>
                <w:rFonts w:ascii="宋体"/>
              </w:rPr>
            </w:pPr>
          </w:p>
        </w:tc>
        <w:tc>
          <w:tcPr>
            <w:tcW w:w="2499" w:type="pct"/>
            <w:shd w:val="clear" w:color="auto" w:fill="auto"/>
          </w:tcPr>
          <w:p w14:paraId="7E784E9A" w14:textId="77777777" w:rsidR="00A82082" w:rsidRDefault="00A82082">
            <w:pPr>
              <w:rPr>
                <w:rFonts w:ascii="宋体"/>
              </w:rPr>
            </w:pPr>
          </w:p>
        </w:tc>
        <w:tc>
          <w:tcPr>
            <w:tcW w:w="5" w:type="pct"/>
            <w:shd w:val="clear" w:color="auto" w:fill="auto"/>
          </w:tcPr>
          <w:p w14:paraId="7E784E9B" w14:textId="77777777" w:rsidR="00A82082" w:rsidRDefault="00A82082">
            <w:pPr>
              <w:rPr>
                <w:rFonts w:ascii="宋体"/>
              </w:rPr>
            </w:pPr>
          </w:p>
        </w:tc>
        <w:tc>
          <w:tcPr>
            <w:tcW w:w="5" w:type="pct"/>
            <w:shd w:val="clear" w:color="auto" w:fill="auto"/>
          </w:tcPr>
          <w:p w14:paraId="7E784E9C" w14:textId="77777777" w:rsidR="00A82082" w:rsidRDefault="00A82082">
            <w:pPr>
              <w:rPr>
                <w:rFonts w:ascii="宋体"/>
              </w:rPr>
            </w:pPr>
          </w:p>
        </w:tc>
        <w:tc>
          <w:tcPr>
            <w:tcW w:w="41" w:type="pct"/>
            <w:shd w:val="clear" w:color="auto" w:fill="auto"/>
          </w:tcPr>
          <w:p w14:paraId="7E784E9D" w14:textId="77777777" w:rsidR="00A82082" w:rsidRDefault="00A82082">
            <w:pPr>
              <w:rPr>
                <w:rFonts w:ascii="宋体"/>
              </w:rPr>
            </w:pPr>
          </w:p>
        </w:tc>
        <w:tc>
          <w:tcPr>
            <w:tcW w:w="5" w:type="pct"/>
            <w:shd w:val="clear" w:color="auto" w:fill="auto"/>
          </w:tcPr>
          <w:p w14:paraId="7E784E9E" w14:textId="77777777" w:rsidR="00A82082" w:rsidRDefault="00A82082">
            <w:pPr>
              <w:rPr>
                <w:rFonts w:ascii="宋体"/>
              </w:rPr>
            </w:pPr>
          </w:p>
        </w:tc>
        <w:tc>
          <w:tcPr>
            <w:tcW w:w="50" w:type="pct"/>
            <w:shd w:val="clear" w:color="auto" w:fill="auto"/>
          </w:tcPr>
          <w:p w14:paraId="7E784E9F" w14:textId="77777777" w:rsidR="00A82082" w:rsidRDefault="00A82082">
            <w:pPr>
              <w:rPr>
                <w:rFonts w:ascii="宋体"/>
              </w:rPr>
            </w:pPr>
          </w:p>
        </w:tc>
        <w:tc>
          <w:tcPr>
            <w:tcW w:w="508" w:type="pct"/>
            <w:shd w:val="clear" w:color="auto" w:fill="auto"/>
          </w:tcPr>
          <w:p w14:paraId="7E784EA0" w14:textId="77777777" w:rsidR="00A82082" w:rsidRDefault="00A82082">
            <w:pPr>
              <w:rPr>
                <w:rFonts w:ascii="宋体"/>
              </w:rPr>
            </w:pPr>
          </w:p>
        </w:tc>
        <w:tc>
          <w:tcPr>
            <w:tcW w:w="5" w:type="pct"/>
            <w:shd w:val="clear" w:color="auto" w:fill="auto"/>
          </w:tcPr>
          <w:p w14:paraId="7E784EA1" w14:textId="77777777" w:rsidR="00A82082" w:rsidRDefault="00A82082">
            <w:pPr>
              <w:rPr>
                <w:rFonts w:ascii="宋体"/>
              </w:rPr>
            </w:pPr>
          </w:p>
        </w:tc>
        <w:tc>
          <w:tcPr>
            <w:tcW w:w="5" w:type="pct"/>
            <w:shd w:val="clear" w:color="auto" w:fill="auto"/>
          </w:tcPr>
          <w:p w14:paraId="7E784EA2" w14:textId="77777777" w:rsidR="00A82082" w:rsidRDefault="00A82082">
            <w:pPr>
              <w:rPr>
                <w:rFonts w:ascii="宋体"/>
              </w:rPr>
            </w:pPr>
          </w:p>
        </w:tc>
        <w:tc>
          <w:tcPr>
            <w:tcW w:w="41" w:type="pct"/>
            <w:shd w:val="clear" w:color="auto" w:fill="auto"/>
          </w:tcPr>
          <w:p w14:paraId="7E784EA3" w14:textId="77777777" w:rsidR="00A82082" w:rsidRDefault="00A82082">
            <w:pPr>
              <w:rPr>
                <w:rFonts w:ascii="宋体"/>
              </w:rPr>
            </w:pPr>
          </w:p>
        </w:tc>
        <w:tc>
          <w:tcPr>
            <w:tcW w:w="5" w:type="pct"/>
            <w:shd w:val="clear" w:color="auto" w:fill="auto"/>
          </w:tcPr>
          <w:p w14:paraId="7E784EA4" w14:textId="77777777" w:rsidR="00A82082" w:rsidRDefault="00A82082">
            <w:pPr>
              <w:rPr>
                <w:rFonts w:ascii="宋体"/>
              </w:rPr>
            </w:pPr>
          </w:p>
        </w:tc>
        <w:tc>
          <w:tcPr>
            <w:tcW w:w="50" w:type="pct"/>
            <w:shd w:val="clear" w:color="auto" w:fill="auto"/>
          </w:tcPr>
          <w:p w14:paraId="7E784EA5" w14:textId="77777777" w:rsidR="00A82082" w:rsidRDefault="00A82082">
            <w:pPr>
              <w:rPr>
                <w:rFonts w:ascii="宋体"/>
              </w:rPr>
            </w:pPr>
          </w:p>
        </w:tc>
        <w:tc>
          <w:tcPr>
            <w:tcW w:w="508" w:type="pct"/>
            <w:shd w:val="clear" w:color="auto" w:fill="auto"/>
          </w:tcPr>
          <w:p w14:paraId="7E784EA6" w14:textId="77777777" w:rsidR="00A82082" w:rsidRDefault="00A82082">
            <w:pPr>
              <w:rPr>
                <w:rFonts w:ascii="宋体"/>
              </w:rPr>
            </w:pPr>
          </w:p>
        </w:tc>
        <w:tc>
          <w:tcPr>
            <w:tcW w:w="5" w:type="pct"/>
            <w:shd w:val="clear" w:color="auto" w:fill="auto"/>
          </w:tcPr>
          <w:p w14:paraId="7E784EA7" w14:textId="77777777" w:rsidR="00A82082" w:rsidRDefault="00A82082">
            <w:pPr>
              <w:rPr>
                <w:rFonts w:ascii="宋体"/>
              </w:rPr>
            </w:pPr>
          </w:p>
        </w:tc>
        <w:tc>
          <w:tcPr>
            <w:tcW w:w="5" w:type="pct"/>
            <w:shd w:val="clear" w:color="auto" w:fill="auto"/>
          </w:tcPr>
          <w:p w14:paraId="7E784EA8" w14:textId="77777777" w:rsidR="00A82082" w:rsidRDefault="00A82082">
            <w:pPr>
              <w:rPr>
                <w:rFonts w:ascii="宋体"/>
              </w:rPr>
            </w:pPr>
          </w:p>
        </w:tc>
        <w:tc>
          <w:tcPr>
            <w:tcW w:w="26" w:type="pct"/>
            <w:shd w:val="clear" w:color="auto" w:fill="auto"/>
          </w:tcPr>
          <w:p w14:paraId="7E784EA9" w14:textId="77777777" w:rsidR="00A82082" w:rsidRDefault="00A82082">
            <w:pPr>
              <w:rPr>
                <w:rFonts w:ascii="宋体"/>
              </w:rPr>
            </w:pPr>
          </w:p>
        </w:tc>
        <w:tc>
          <w:tcPr>
            <w:tcW w:w="5" w:type="pct"/>
            <w:shd w:val="clear" w:color="auto" w:fill="auto"/>
          </w:tcPr>
          <w:p w14:paraId="7E784EAA" w14:textId="77777777" w:rsidR="00A82082" w:rsidRDefault="00A82082">
            <w:pPr>
              <w:rPr>
                <w:rFonts w:ascii="宋体"/>
              </w:rPr>
            </w:pPr>
          </w:p>
        </w:tc>
        <w:tc>
          <w:tcPr>
            <w:tcW w:w="50" w:type="pct"/>
            <w:shd w:val="clear" w:color="auto" w:fill="auto"/>
          </w:tcPr>
          <w:p w14:paraId="7E784EAB" w14:textId="77777777" w:rsidR="00A82082" w:rsidRDefault="00A82082">
            <w:pPr>
              <w:rPr>
                <w:rFonts w:ascii="宋体"/>
              </w:rPr>
            </w:pPr>
          </w:p>
        </w:tc>
        <w:tc>
          <w:tcPr>
            <w:tcW w:w="508" w:type="pct"/>
            <w:shd w:val="clear" w:color="auto" w:fill="auto"/>
          </w:tcPr>
          <w:p w14:paraId="7E784EAC" w14:textId="77777777" w:rsidR="00A82082" w:rsidRDefault="00A82082">
            <w:pPr>
              <w:rPr>
                <w:rFonts w:ascii="宋体"/>
              </w:rPr>
            </w:pPr>
          </w:p>
        </w:tc>
        <w:tc>
          <w:tcPr>
            <w:tcW w:w="5" w:type="pct"/>
            <w:shd w:val="clear" w:color="auto" w:fill="auto"/>
          </w:tcPr>
          <w:p w14:paraId="7E784EAD" w14:textId="77777777" w:rsidR="00A82082" w:rsidRDefault="00A82082">
            <w:pPr>
              <w:rPr>
                <w:rFonts w:ascii="宋体"/>
              </w:rPr>
            </w:pPr>
          </w:p>
        </w:tc>
        <w:tc>
          <w:tcPr>
            <w:tcW w:w="5" w:type="pct"/>
            <w:shd w:val="clear" w:color="auto" w:fill="auto"/>
          </w:tcPr>
          <w:p w14:paraId="7E784EAE" w14:textId="77777777" w:rsidR="00A82082" w:rsidRDefault="00A82082">
            <w:pPr>
              <w:rPr>
                <w:rFonts w:ascii="宋体"/>
              </w:rPr>
            </w:pPr>
          </w:p>
        </w:tc>
        <w:tc>
          <w:tcPr>
            <w:tcW w:w="41" w:type="pct"/>
            <w:shd w:val="clear" w:color="auto" w:fill="auto"/>
          </w:tcPr>
          <w:p w14:paraId="7E784EAF" w14:textId="77777777" w:rsidR="00A82082" w:rsidRDefault="00A82082">
            <w:pPr>
              <w:rPr>
                <w:rFonts w:ascii="宋体"/>
              </w:rPr>
            </w:pPr>
          </w:p>
        </w:tc>
        <w:tc>
          <w:tcPr>
            <w:tcW w:w="5" w:type="pct"/>
            <w:shd w:val="clear" w:color="auto" w:fill="auto"/>
          </w:tcPr>
          <w:p w14:paraId="7E784EB0" w14:textId="77777777" w:rsidR="00A82082" w:rsidRDefault="00A82082">
            <w:pPr>
              <w:rPr>
                <w:rFonts w:ascii="宋体"/>
              </w:rPr>
            </w:pPr>
          </w:p>
        </w:tc>
        <w:tc>
          <w:tcPr>
            <w:tcW w:w="50" w:type="pct"/>
            <w:shd w:val="clear" w:color="auto" w:fill="auto"/>
          </w:tcPr>
          <w:p w14:paraId="7E784EB1" w14:textId="77777777" w:rsidR="00A82082" w:rsidRDefault="00A82082">
            <w:pPr>
              <w:rPr>
                <w:rFonts w:ascii="宋体"/>
              </w:rPr>
            </w:pPr>
          </w:p>
        </w:tc>
        <w:tc>
          <w:tcPr>
            <w:tcW w:w="508" w:type="pct"/>
            <w:shd w:val="clear" w:color="auto" w:fill="auto"/>
          </w:tcPr>
          <w:p w14:paraId="7E784EB2" w14:textId="77777777" w:rsidR="00A82082" w:rsidRDefault="00A82082">
            <w:pPr>
              <w:rPr>
                <w:rFonts w:ascii="宋体"/>
              </w:rPr>
            </w:pPr>
          </w:p>
        </w:tc>
        <w:tc>
          <w:tcPr>
            <w:tcW w:w="5" w:type="pct"/>
            <w:shd w:val="clear" w:color="auto" w:fill="auto"/>
          </w:tcPr>
          <w:p w14:paraId="7E784EB3" w14:textId="77777777" w:rsidR="00A82082" w:rsidRDefault="00A82082">
            <w:pPr>
              <w:rPr>
                <w:rFonts w:ascii="宋体"/>
              </w:rPr>
            </w:pPr>
          </w:p>
        </w:tc>
      </w:tr>
      <w:tr w:rsidR="00A82082" w14:paraId="7E784EBA" w14:textId="77777777">
        <w:tc>
          <w:tcPr>
            <w:tcW w:w="0" w:type="auto"/>
            <w:gridSpan w:val="3"/>
            <w:shd w:val="clear" w:color="auto" w:fill="auto"/>
            <w:tcMar>
              <w:top w:w="0" w:type="dxa"/>
              <w:left w:w="20" w:type="dxa"/>
              <w:bottom w:w="0" w:type="dxa"/>
              <w:right w:w="20" w:type="dxa"/>
            </w:tcMar>
          </w:tcPr>
          <w:p w14:paraId="7E784EB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EB6"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4EB7"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4EB8"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4EB9"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4EC4" w14:textId="77777777">
        <w:tc>
          <w:tcPr>
            <w:tcW w:w="0" w:type="auto"/>
            <w:gridSpan w:val="3"/>
            <w:shd w:val="clear" w:color="auto" w:fill="auto"/>
            <w:tcMar>
              <w:top w:w="40" w:type="dxa"/>
              <w:left w:w="20" w:type="dxa"/>
              <w:bottom w:w="40" w:type="dxa"/>
              <w:right w:w="20" w:type="dxa"/>
            </w:tcMar>
            <w:vAlign w:val="bottom"/>
          </w:tcPr>
          <w:p w14:paraId="7E784EBB" w14:textId="77777777" w:rsidR="00A82082" w:rsidRDefault="00E946F9">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7E784EBC"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EBD"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4EB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EBF"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4EC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EC1"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4EC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4EC3"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4ECE" w14:textId="77777777">
        <w:tc>
          <w:tcPr>
            <w:tcW w:w="0" w:type="auto"/>
            <w:gridSpan w:val="3"/>
            <w:shd w:val="clear" w:color="auto" w:fill="auto"/>
            <w:tcMar>
              <w:top w:w="40" w:type="dxa"/>
              <w:left w:w="20" w:type="dxa"/>
              <w:bottom w:w="40" w:type="dxa"/>
              <w:right w:w="20" w:type="dxa"/>
            </w:tcMar>
            <w:vAlign w:val="center"/>
          </w:tcPr>
          <w:p w14:paraId="7E784EC5" w14:textId="77777777" w:rsidR="00A82082" w:rsidRDefault="00E946F9">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tcPr>
          <w:p w14:paraId="7E784EC6"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EC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EC8"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EC9"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ECA"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EC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4ECC"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4ECD" w14:textId="77777777" w:rsidR="00A82082" w:rsidRDefault="00A82082">
            <w:pPr>
              <w:rPr>
                <w:rFonts w:ascii="宋体"/>
              </w:rPr>
            </w:pPr>
          </w:p>
        </w:tc>
      </w:tr>
      <w:tr w:rsidR="00A82082" w14:paraId="7E784EE0" w14:textId="77777777">
        <w:tc>
          <w:tcPr>
            <w:tcW w:w="0" w:type="auto"/>
            <w:gridSpan w:val="3"/>
            <w:shd w:val="clear" w:color="auto" w:fill="CCEEFF"/>
            <w:tcMar>
              <w:top w:w="40" w:type="dxa"/>
              <w:left w:w="380" w:type="dxa"/>
              <w:bottom w:w="40" w:type="dxa"/>
              <w:right w:w="20" w:type="dxa"/>
            </w:tcMar>
            <w:vAlign w:val="center"/>
          </w:tcPr>
          <w:p w14:paraId="7E784ECF" w14:textId="77777777" w:rsidR="00A82082" w:rsidRDefault="00E946F9">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7E784ED0"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ED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ED2" w14:textId="77777777" w:rsidR="00A82082" w:rsidRDefault="00E946F9">
            <w:pPr>
              <w:jc w:val="right"/>
              <w:textAlignment w:val="center"/>
            </w:pPr>
            <w:r>
              <w:rPr>
                <w:rFonts w:ascii="Times New Roman" w:eastAsia="宋体" w:hAnsi="Times New Roman"/>
                <w:color w:val="000000"/>
                <w:sz w:val="16"/>
                <w:szCs w:val="16"/>
              </w:rPr>
              <w:t>5,201 </w:t>
            </w:r>
          </w:p>
        </w:tc>
        <w:tc>
          <w:tcPr>
            <w:tcW w:w="0" w:type="auto"/>
            <w:shd w:val="clear" w:color="auto" w:fill="CCEEFF"/>
            <w:tcMar>
              <w:top w:w="40" w:type="dxa"/>
              <w:left w:w="0" w:type="dxa"/>
              <w:bottom w:w="40" w:type="dxa"/>
              <w:right w:w="20" w:type="dxa"/>
            </w:tcMar>
            <w:vAlign w:val="center"/>
          </w:tcPr>
          <w:p w14:paraId="7E784ED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D4"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4ED5"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4ED6" w14:textId="77777777" w:rsidR="00A82082" w:rsidRDefault="00E946F9">
            <w:pPr>
              <w:jc w:val="right"/>
              <w:textAlignment w:val="center"/>
            </w:pPr>
            <w:r>
              <w:rPr>
                <w:rFonts w:ascii="Times New Roman" w:eastAsia="宋体" w:hAnsi="Times New Roman"/>
                <w:color w:val="000000"/>
                <w:sz w:val="16"/>
                <w:szCs w:val="16"/>
              </w:rPr>
              <w:t>3,321 </w:t>
            </w:r>
          </w:p>
        </w:tc>
        <w:tc>
          <w:tcPr>
            <w:tcW w:w="0" w:type="auto"/>
            <w:shd w:val="clear" w:color="auto" w:fill="CCEEFF"/>
            <w:tcMar>
              <w:top w:w="40" w:type="dxa"/>
              <w:left w:w="0" w:type="dxa"/>
              <w:bottom w:w="40" w:type="dxa"/>
              <w:right w:w="20" w:type="dxa"/>
            </w:tcMar>
            <w:vAlign w:val="center"/>
          </w:tcPr>
          <w:p w14:paraId="7E784ED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D8"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ED9"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EDA" w14:textId="77777777" w:rsidR="00A82082" w:rsidRDefault="00E946F9">
            <w:pPr>
              <w:jc w:val="right"/>
              <w:textAlignment w:val="bottom"/>
            </w:pPr>
            <w:r>
              <w:rPr>
                <w:rFonts w:ascii="Times New Roman" w:eastAsia="宋体" w:hAnsi="Times New Roman"/>
                <w:color w:val="000000"/>
                <w:sz w:val="16"/>
                <w:szCs w:val="16"/>
              </w:rPr>
              <w:t>15,714 </w:t>
            </w:r>
          </w:p>
        </w:tc>
        <w:tc>
          <w:tcPr>
            <w:tcW w:w="0" w:type="auto"/>
            <w:shd w:val="clear" w:color="auto" w:fill="CCEEFF"/>
            <w:tcMar>
              <w:top w:w="40" w:type="dxa"/>
              <w:left w:w="0" w:type="dxa"/>
              <w:bottom w:w="40" w:type="dxa"/>
              <w:right w:w="20" w:type="dxa"/>
            </w:tcMar>
            <w:vAlign w:val="bottom"/>
          </w:tcPr>
          <w:p w14:paraId="7E784ED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DC"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EDD"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EDE" w14:textId="77777777" w:rsidR="00A82082" w:rsidRDefault="00E946F9">
            <w:pPr>
              <w:jc w:val="right"/>
              <w:textAlignment w:val="bottom"/>
            </w:pPr>
            <w:r>
              <w:rPr>
                <w:rFonts w:ascii="Times New Roman" w:eastAsia="宋体" w:hAnsi="Times New Roman"/>
                <w:color w:val="000000"/>
                <w:sz w:val="16"/>
                <w:szCs w:val="16"/>
              </w:rPr>
              <w:t>10,907 </w:t>
            </w:r>
          </w:p>
        </w:tc>
        <w:tc>
          <w:tcPr>
            <w:tcW w:w="0" w:type="auto"/>
            <w:shd w:val="clear" w:color="auto" w:fill="CCEEFF"/>
            <w:tcMar>
              <w:top w:w="40" w:type="dxa"/>
              <w:left w:w="0" w:type="dxa"/>
              <w:bottom w:w="40" w:type="dxa"/>
              <w:right w:w="20" w:type="dxa"/>
            </w:tcMar>
            <w:vAlign w:val="bottom"/>
          </w:tcPr>
          <w:p w14:paraId="7E784EDF" w14:textId="77777777" w:rsidR="00A82082" w:rsidRDefault="00A82082">
            <w:pPr>
              <w:jc w:val="right"/>
              <w:rPr>
                <w:rFonts w:ascii="宋体"/>
              </w:rPr>
            </w:pPr>
          </w:p>
        </w:tc>
      </w:tr>
      <w:tr w:rsidR="00A82082" w14:paraId="7E784EEE" w14:textId="77777777">
        <w:tc>
          <w:tcPr>
            <w:tcW w:w="0" w:type="auto"/>
            <w:gridSpan w:val="3"/>
            <w:shd w:val="clear" w:color="auto" w:fill="FFFFFF"/>
            <w:tcMar>
              <w:top w:w="40" w:type="dxa"/>
              <w:left w:w="380" w:type="dxa"/>
              <w:bottom w:w="40" w:type="dxa"/>
              <w:right w:w="20" w:type="dxa"/>
            </w:tcMar>
            <w:vAlign w:val="center"/>
          </w:tcPr>
          <w:p w14:paraId="7E784EE1" w14:textId="77777777" w:rsidR="00A82082" w:rsidRDefault="00E946F9">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tcPr>
          <w:p w14:paraId="7E784EE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E3" w14:textId="77777777" w:rsidR="00A82082" w:rsidRDefault="00E946F9">
            <w:pPr>
              <w:jc w:val="right"/>
              <w:textAlignment w:val="center"/>
            </w:pPr>
            <w:r>
              <w:rPr>
                <w:rFonts w:ascii="Times New Roman" w:eastAsia="宋体" w:hAnsi="Times New Roman"/>
                <w:color w:val="000000"/>
                <w:sz w:val="16"/>
                <w:szCs w:val="16"/>
              </w:rPr>
              <w:t>(66)</w:t>
            </w:r>
          </w:p>
        </w:tc>
        <w:tc>
          <w:tcPr>
            <w:tcW w:w="0" w:type="auto"/>
            <w:shd w:val="clear" w:color="auto" w:fill="FFFFFF"/>
            <w:tcMar>
              <w:top w:w="40" w:type="dxa"/>
              <w:left w:w="0" w:type="dxa"/>
              <w:bottom w:w="40" w:type="dxa"/>
              <w:right w:w="20" w:type="dxa"/>
            </w:tcMar>
            <w:vAlign w:val="center"/>
          </w:tcPr>
          <w:p w14:paraId="7E784EE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E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E6" w14:textId="77777777" w:rsidR="00A82082" w:rsidRDefault="00E946F9">
            <w:pPr>
              <w:jc w:val="right"/>
              <w:textAlignment w:val="center"/>
            </w:pPr>
            <w:r>
              <w:rPr>
                <w:rFonts w:ascii="Times New Roman" w:eastAsia="宋体" w:hAnsi="Times New Roman"/>
                <w:color w:val="000000"/>
                <w:sz w:val="16"/>
                <w:szCs w:val="16"/>
              </w:rPr>
              <w:t>(33)</w:t>
            </w:r>
          </w:p>
        </w:tc>
        <w:tc>
          <w:tcPr>
            <w:tcW w:w="0" w:type="auto"/>
            <w:shd w:val="clear" w:color="auto" w:fill="FFFFFF"/>
            <w:tcMar>
              <w:top w:w="40" w:type="dxa"/>
              <w:left w:w="0" w:type="dxa"/>
              <w:bottom w:w="40" w:type="dxa"/>
              <w:right w:w="20" w:type="dxa"/>
            </w:tcMar>
            <w:vAlign w:val="center"/>
          </w:tcPr>
          <w:p w14:paraId="7E784EE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E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E9" w14:textId="77777777" w:rsidR="00A82082" w:rsidRDefault="00E946F9">
            <w:pPr>
              <w:jc w:val="right"/>
              <w:textAlignment w:val="center"/>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center"/>
          </w:tcPr>
          <w:p w14:paraId="7E784EE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EE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EEC" w14:textId="77777777" w:rsidR="00A82082" w:rsidRDefault="00E946F9">
            <w:pPr>
              <w:jc w:val="right"/>
              <w:textAlignment w:val="center"/>
            </w:pPr>
            <w:r>
              <w:rPr>
                <w:rFonts w:ascii="Times New Roman" w:eastAsia="宋体" w:hAnsi="Times New Roman"/>
                <w:color w:val="000000"/>
                <w:sz w:val="16"/>
                <w:szCs w:val="16"/>
              </w:rPr>
              <w:t>(167)</w:t>
            </w:r>
          </w:p>
        </w:tc>
        <w:tc>
          <w:tcPr>
            <w:tcW w:w="0" w:type="auto"/>
            <w:shd w:val="clear" w:color="auto" w:fill="FFFFFF"/>
            <w:tcMar>
              <w:top w:w="40" w:type="dxa"/>
              <w:left w:w="0" w:type="dxa"/>
              <w:bottom w:w="40" w:type="dxa"/>
              <w:right w:w="20" w:type="dxa"/>
            </w:tcMar>
            <w:vAlign w:val="center"/>
          </w:tcPr>
          <w:p w14:paraId="7E784EED" w14:textId="77777777" w:rsidR="00A82082" w:rsidRDefault="00A82082">
            <w:pPr>
              <w:jc w:val="right"/>
              <w:rPr>
                <w:rFonts w:ascii="宋体"/>
              </w:rPr>
            </w:pPr>
          </w:p>
        </w:tc>
      </w:tr>
      <w:tr w:rsidR="00A82082" w14:paraId="7E784F00" w14:textId="77777777">
        <w:tc>
          <w:tcPr>
            <w:tcW w:w="0" w:type="auto"/>
            <w:gridSpan w:val="3"/>
            <w:shd w:val="clear" w:color="auto" w:fill="CCEEFF"/>
            <w:tcMar>
              <w:top w:w="40" w:type="dxa"/>
              <w:left w:w="380" w:type="dxa"/>
              <w:bottom w:w="40" w:type="dxa"/>
              <w:right w:w="20" w:type="dxa"/>
            </w:tcMar>
            <w:vAlign w:val="center"/>
          </w:tcPr>
          <w:p w14:paraId="7E784EEF" w14:textId="77777777" w:rsidR="00A82082" w:rsidRDefault="00E946F9">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tcPr>
          <w:p w14:paraId="7E784EF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EF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EF2" w14:textId="77777777" w:rsidR="00A82082" w:rsidRDefault="00E946F9">
            <w:pPr>
              <w:jc w:val="right"/>
              <w:textAlignment w:val="center"/>
            </w:pPr>
            <w:r>
              <w:rPr>
                <w:rFonts w:ascii="Times New Roman" w:eastAsia="宋体" w:hAnsi="Times New Roman"/>
                <w:color w:val="000000"/>
                <w:sz w:val="16"/>
                <w:szCs w:val="16"/>
              </w:rPr>
              <w:t>5,135 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EF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F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EF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EF6" w14:textId="77777777" w:rsidR="00A82082" w:rsidRDefault="00E946F9">
            <w:pPr>
              <w:jc w:val="right"/>
              <w:textAlignment w:val="center"/>
            </w:pPr>
            <w:r>
              <w:rPr>
                <w:rFonts w:ascii="Times New Roman" w:eastAsia="宋体" w:hAnsi="Times New Roman"/>
                <w:color w:val="000000"/>
                <w:sz w:val="16"/>
                <w:szCs w:val="16"/>
              </w:rPr>
              <w:t>3,288 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EF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F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4EF9"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4EFA" w14:textId="77777777" w:rsidR="00A82082" w:rsidRDefault="00E946F9">
            <w:pPr>
              <w:jc w:val="right"/>
              <w:textAlignment w:val="bottom"/>
            </w:pPr>
            <w:r>
              <w:rPr>
                <w:rFonts w:ascii="Times New Roman" w:eastAsia="宋体" w:hAnsi="Times New Roman"/>
                <w:color w:val="000000"/>
                <w:sz w:val="16"/>
                <w:szCs w:val="16"/>
              </w:rPr>
              <w:t>15,601 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4EF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EF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4EFD"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4EFE" w14:textId="77777777" w:rsidR="00A82082" w:rsidRDefault="00E946F9">
            <w:pPr>
              <w:jc w:val="right"/>
              <w:textAlignment w:val="bottom"/>
            </w:pPr>
            <w:r>
              <w:rPr>
                <w:rFonts w:ascii="Times New Roman" w:eastAsia="宋体" w:hAnsi="Times New Roman"/>
                <w:color w:val="000000"/>
                <w:sz w:val="16"/>
                <w:szCs w:val="16"/>
              </w:rPr>
              <w:t>10,740 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4EFF" w14:textId="77777777" w:rsidR="00A82082" w:rsidRDefault="00A82082">
            <w:pPr>
              <w:jc w:val="right"/>
              <w:rPr>
                <w:rFonts w:ascii="宋体"/>
              </w:rPr>
            </w:pPr>
          </w:p>
        </w:tc>
      </w:tr>
      <w:tr w:rsidR="00A82082" w14:paraId="7E784F0A" w14:textId="77777777">
        <w:trPr>
          <w:trHeight w:val="220"/>
        </w:trPr>
        <w:tc>
          <w:tcPr>
            <w:tcW w:w="0" w:type="auto"/>
            <w:gridSpan w:val="3"/>
            <w:shd w:val="clear" w:color="auto" w:fill="FFFFFF"/>
            <w:tcMar>
              <w:top w:w="0" w:type="dxa"/>
              <w:left w:w="20" w:type="dxa"/>
              <w:bottom w:w="0" w:type="dxa"/>
              <w:right w:w="20" w:type="dxa"/>
            </w:tcMar>
          </w:tcPr>
          <w:p w14:paraId="7E784F0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02"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4F0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04"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4F05"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06"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4F07"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08"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4F09" w14:textId="77777777" w:rsidR="00A82082" w:rsidRDefault="00A82082">
            <w:pPr>
              <w:rPr>
                <w:rFonts w:ascii="宋体"/>
              </w:rPr>
            </w:pPr>
          </w:p>
        </w:tc>
      </w:tr>
      <w:tr w:rsidR="00A82082" w14:paraId="7E784F14" w14:textId="77777777">
        <w:tc>
          <w:tcPr>
            <w:tcW w:w="0" w:type="auto"/>
            <w:gridSpan w:val="3"/>
            <w:shd w:val="clear" w:color="auto" w:fill="CCEEFF"/>
            <w:tcMar>
              <w:top w:w="40" w:type="dxa"/>
              <w:left w:w="20" w:type="dxa"/>
              <w:bottom w:w="40" w:type="dxa"/>
              <w:right w:w="20" w:type="dxa"/>
            </w:tcMar>
            <w:vAlign w:val="center"/>
          </w:tcPr>
          <w:p w14:paraId="7E784F0B" w14:textId="77777777" w:rsidR="00A82082" w:rsidRDefault="00E946F9">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tcPr>
          <w:p w14:paraId="7E784F0C"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0D"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0E"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0F"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10"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1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12"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13" w14:textId="77777777" w:rsidR="00A82082" w:rsidRDefault="00A82082">
            <w:pPr>
              <w:rPr>
                <w:rFonts w:ascii="宋体"/>
              </w:rPr>
            </w:pPr>
          </w:p>
        </w:tc>
      </w:tr>
      <w:tr w:rsidR="00A82082" w14:paraId="7E784F22" w14:textId="77777777">
        <w:tc>
          <w:tcPr>
            <w:tcW w:w="0" w:type="auto"/>
            <w:gridSpan w:val="3"/>
            <w:shd w:val="clear" w:color="auto" w:fill="FFFFFF"/>
            <w:tcMar>
              <w:top w:w="40" w:type="dxa"/>
              <w:left w:w="380" w:type="dxa"/>
              <w:bottom w:w="40" w:type="dxa"/>
              <w:right w:w="20" w:type="dxa"/>
            </w:tcMar>
            <w:vAlign w:val="center"/>
          </w:tcPr>
          <w:p w14:paraId="7E784F15" w14:textId="77777777" w:rsidR="00A82082" w:rsidRDefault="00E946F9">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tcPr>
          <w:p w14:paraId="7E784F1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17" w14:textId="77777777" w:rsidR="00A82082" w:rsidRDefault="00E946F9">
            <w:pPr>
              <w:jc w:val="right"/>
              <w:textAlignment w:val="center"/>
            </w:pPr>
            <w:r>
              <w:rPr>
                <w:rFonts w:ascii="Times New Roman" w:eastAsia="宋体" w:hAnsi="Times New Roman"/>
                <w:color w:val="000000"/>
                <w:sz w:val="16"/>
                <w:szCs w:val="16"/>
              </w:rPr>
              <w:t>2,833 </w:t>
            </w:r>
          </w:p>
        </w:tc>
        <w:tc>
          <w:tcPr>
            <w:tcW w:w="0" w:type="auto"/>
            <w:shd w:val="clear" w:color="auto" w:fill="FFFFFF"/>
            <w:tcMar>
              <w:top w:w="40" w:type="dxa"/>
              <w:left w:w="0" w:type="dxa"/>
              <w:bottom w:w="40" w:type="dxa"/>
              <w:right w:w="20" w:type="dxa"/>
            </w:tcMar>
            <w:vAlign w:val="center"/>
          </w:tcPr>
          <w:p w14:paraId="7E784F1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1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1A" w14:textId="77777777" w:rsidR="00A82082" w:rsidRDefault="00E946F9">
            <w:pPr>
              <w:jc w:val="right"/>
              <w:textAlignment w:val="center"/>
            </w:pPr>
            <w:r>
              <w:rPr>
                <w:rFonts w:ascii="Times New Roman" w:eastAsia="宋体" w:hAnsi="Times New Roman"/>
                <w:color w:val="000000"/>
                <w:sz w:val="16"/>
                <w:szCs w:val="16"/>
              </w:rPr>
              <w:t>2,843 </w:t>
            </w:r>
          </w:p>
        </w:tc>
        <w:tc>
          <w:tcPr>
            <w:tcW w:w="0" w:type="auto"/>
            <w:shd w:val="clear" w:color="auto" w:fill="FFFFFF"/>
            <w:tcMar>
              <w:top w:w="40" w:type="dxa"/>
              <w:left w:w="0" w:type="dxa"/>
              <w:bottom w:w="40" w:type="dxa"/>
              <w:right w:w="20" w:type="dxa"/>
            </w:tcMar>
            <w:vAlign w:val="center"/>
          </w:tcPr>
          <w:p w14:paraId="7E784F1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1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1D" w14:textId="77777777" w:rsidR="00A82082" w:rsidRDefault="00E946F9">
            <w:pPr>
              <w:jc w:val="right"/>
              <w:textAlignment w:val="center"/>
            </w:pPr>
            <w:r>
              <w:rPr>
                <w:rFonts w:ascii="Times New Roman" w:eastAsia="宋体" w:hAnsi="Times New Roman"/>
                <w:color w:val="000000"/>
                <w:sz w:val="16"/>
                <w:szCs w:val="16"/>
              </w:rPr>
              <w:t>2,832 </w:t>
            </w:r>
          </w:p>
        </w:tc>
        <w:tc>
          <w:tcPr>
            <w:tcW w:w="0" w:type="auto"/>
            <w:shd w:val="clear" w:color="auto" w:fill="FFFFFF"/>
            <w:tcMar>
              <w:top w:w="40" w:type="dxa"/>
              <w:left w:w="0" w:type="dxa"/>
              <w:bottom w:w="40" w:type="dxa"/>
              <w:right w:w="20" w:type="dxa"/>
            </w:tcMar>
            <w:vAlign w:val="center"/>
          </w:tcPr>
          <w:p w14:paraId="7E784F1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1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20" w14:textId="77777777" w:rsidR="00A82082" w:rsidRDefault="00E946F9">
            <w:pPr>
              <w:jc w:val="right"/>
              <w:textAlignment w:val="center"/>
            </w:pPr>
            <w:r>
              <w:rPr>
                <w:rFonts w:ascii="Times New Roman" w:eastAsia="宋体" w:hAnsi="Times New Roman"/>
                <w:color w:val="000000"/>
                <w:sz w:val="16"/>
                <w:szCs w:val="16"/>
              </w:rPr>
              <w:t>2,855 </w:t>
            </w:r>
          </w:p>
        </w:tc>
        <w:tc>
          <w:tcPr>
            <w:tcW w:w="0" w:type="auto"/>
            <w:shd w:val="clear" w:color="auto" w:fill="FFFFFF"/>
            <w:tcMar>
              <w:top w:w="40" w:type="dxa"/>
              <w:left w:w="0" w:type="dxa"/>
              <w:bottom w:w="40" w:type="dxa"/>
              <w:right w:w="20" w:type="dxa"/>
            </w:tcMar>
            <w:vAlign w:val="center"/>
          </w:tcPr>
          <w:p w14:paraId="7E784F21" w14:textId="77777777" w:rsidR="00A82082" w:rsidRDefault="00A82082">
            <w:pPr>
              <w:jc w:val="right"/>
              <w:rPr>
                <w:rFonts w:ascii="宋体"/>
              </w:rPr>
            </w:pPr>
          </w:p>
        </w:tc>
      </w:tr>
      <w:tr w:rsidR="00A82082" w14:paraId="7E784F30" w14:textId="77777777">
        <w:tc>
          <w:tcPr>
            <w:tcW w:w="0" w:type="auto"/>
            <w:gridSpan w:val="3"/>
            <w:shd w:val="clear" w:color="auto" w:fill="CCEEFF"/>
            <w:tcMar>
              <w:top w:w="40" w:type="dxa"/>
              <w:left w:w="380" w:type="dxa"/>
              <w:bottom w:w="40" w:type="dxa"/>
              <w:right w:w="20" w:type="dxa"/>
            </w:tcMar>
            <w:vAlign w:val="center"/>
          </w:tcPr>
          <w:p w14:paraId="7E784F23" w14:textId="77777777" w:rsidR="00A82082" w:rsidRDefault="00E946F9">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tcPr>
          <w:p w14:paraId="7E784F2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25" w14:textId="77777777" w:rsidR="00A82082" w:rsidRDefault="00E946F9">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7E784F2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2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28" w14:textId="77777777" w:rsidR="00A82082" w:rsidRDefault="00E946F9">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7E784F2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2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4F2B" w14:textId="77777777" w:rsidR="00A82082" w:rsidRDefault="00E946F9">
            <w:pPr>
              <w:jc w:val="right"/>
              <w:textAlignment w:val="bottom"/>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bottom"/>
          </w:tcPr>
          <w:p w14:paraId="7E784F2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2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4F2E" w14:textId="77777777" w:rsidR="00A82082" w:rsidRDefault="00E946F9">
            <w:pPr>
              <w:jc w:val="right"/>
              <w:textAlignment w:val="bottom"/>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bottom"/>
          </w:tcPr>
          <w:p w14:paraId="7E784F2F" w14:textId="77777777" w:rsidR="00A82082" w:rsidRDefault="00A82082">
            <w:pPr>
              <w:jc w:val="right"/>
              <w:rPr>
                <w:rFonts w:ascii="宋体"/>
              </w:rPr>
            </w:pPr>
          </w:p>
        </w:tc>
      </w:tr>
      <w:tr w:rsidR="00A82082" w14:paraId="7E784F3E" w14:textId="77777777">
        <w:tc>
          <w:tcPr>
            <w:tcW w:w="0" w:type="auto"/>
            <w:gridSpan w:val="3"/>
            <w:shd w:val="clear" w:color="auto" w:fill="FFFFFF"/>
            <w:tcMar>
              <w:top w:w="40" w:type="dxa"/>
              <w:left w:w="380" w:type="dxa"/>
              <w:bottom w:w="40" w:type="dxa"/>
              <w:right w:w="20" w:type="dxa"/>
            </w:tcMar>
            <w:vAlign w:val="center"/>
          </w:tcPr>
          <w:p w14:paraId="7E784F31" w14:textId="77777777" w:rsidR="00A82082" w:rsidRDefault="00E946F9">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tcPr>
          <w:p w14:paraId="7E784F32"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F33" w14:textId="77777777" w:rsidR="00A82082" w:rsidRDefault="00E946F9">
            <w:pPr>
              <w:jc w:val="right"/>
              <w:textAlignment w:val="center"/>
            </w:pPr>
            <w:r>
              <w:rPr>
                <w:rFonts w:ascii="Times New Roman" w:eastAsia="宋体" w:hAnsi="Times New Roman"/>
                <w:color w:val="000000"/>
                <w:sz w:val="16"/>
                <w:szCs w:val="16"/>
              </w:rPr>
              <w:t>2,849 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3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35"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F36" w14:textId="77777777" w:rsidR="00A82082" w:rsidRDefault="00E946F9">
            <w:pPr>
              <w:jc w:val="right"/>
              <w:textAlignment w:val="center"/>
            </w:pPr>
            <w:r>
              <w:rPr>
                <w:rFonts w:ascii="Times New Roman" w:eastAsia="宋体" w:hAnsi="Times New Roman"/>
                <w:color w:val="000000"/>
                <w:sz w:val="16"/>
                <w:szCs w:val="16"/>
              </w:rPr>
              <w:t>2,861 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3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38"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F39" w14:textId="77777777" w:rsidR="00A82082" w:rsidRDefault="00E946F9">
            <w:pPr>
              <w:jc w:val="right"/>
              <w:textAlignment w:val="center"/>
            </w:pPr>
            <w:r>
              <w:rPr>
                <w:rFonts w:ascii="Times New Roman" w:eastAsia="宋体" w:hAnsi="Times New Roman"/>
                <w:color w:val="000000"/>
                <w:sz w:val="16"/>
                <w:szCs w:val="16"/>
              </w:rPr>
              <w:t>2,849 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3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3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4F3C" w14:textId="77777777" w:rsidR="00A82082" w:rsidRDefault="00E946F9">
            <w:pPr>
              <w:jc w:val="right"/>
              <w:textAlignment w:val="center"/>
            </w:pPr>
            <w:r>
              <w:rPr>
                <w:rFonts w:ascii="Times New Roman" w:eastAsia="宋体" w:hAnsi="Times New Roman"/>
                <w:color w:val="000000"/>
                <w:sz w:val="16"/>
                <w:szCs w:val="16"/>
              </w:rPr>
              <w:t>2,872 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3D" w14:textId="77777777" w:rsidR="00A82082" w:rsidRDefault="00A82082">
            <w:pPr>
              <w:jc w:val="right"/>
              <w:rPr>
                <w:rFonts w:ascii="宋体"/>
              </w:rPr>
            </w:pPr>
          </w:p>
        </w:tc>
      </w:tr>
      <w:tr w:rsidR="00A82082" w14:paraId="7E784F48" w14:textId="77777777">
        <w:trPr>
          <w:trHeight w:val="220"/>
        </w:trPr>
        <w:tc>
          <w:tcPr>
            <w:tcW w:w="0" w:type="auto"/>
            <w:gridSpan w:val="3"/>
            <w:shd w:val="clear" w:color="auto" w:fill="CCEEFF"/>
            <w:tcMar>
              <w:top w:w="0" w:type="dxa"/>
              <w:left w:w="20" w:type="dxa"/>
              <w:bottom w:w="0" w:type="dxa"/>
              <w:right w:w="20" w:type="dxa"/>
            </w:tcMar>
          </w:tcPr>
          <w:p w14:paraId="7E784F3F"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40"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F4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42"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F4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44"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F45"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4F46"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4F47" w14:textId="77777777" w:rsidR="00A82082" w:rsidRDefault="00A82082">
            <w:pPr>
              <w:rPr>
                <w:rFonts w:ascii="宋体"/>
              </w:rPr>
            </w:pPr>
          </w:p>
        </w:tc>
      </w:tr>
      <w:tr w:rsidR="00A82082" w14:paraId="7E784F52" w14:textId="77777777">
        <w:tc>
          <w:tcPr>
            <w:tcW w:w="0" w:type="auto"/>
            <w:gridSpan w:val="3"/>
            <w:shd w:val="clear" w:color="auto" w:fill="FFFFFF"/>
            <w:tcMar>
              <w:top w:w="40" w:type="dxa"/>
              <w:left w:w="20" w:type="dxa"/>
              <w:bottom w:w="40" w:type="dxa"/>
              <w:right w:w="20" w:type="dxa"/>
            </w:tcMar>
            <w:vAlign w:val="center"/>
          </w:tcPr>
          <w:p w14:paraId="7E784F49" w14:textId="77777777" w:rsidR="00A82082" w:rsidRDefault="00E946F9">
            <w:pPr>
              <w:textAlignment w:val="center"/>
            </w:pPr>
            <w:r>
              <w:rPr>
                <w:rFonts w:ascii="Times New Roman" w:eastAsia="宋体" w:hAnsi="Times New Roman"/>
                <w:b/>
                <w:bCs/>
                <w:color w:val="000000"/>
                <w:sz w:val="16"/>
                <w:szCs w:val="16"/>
              </w:rPr>
              <w:t xml:space="preserve">Net income per </w:t>
            </w:r>
            <w:r>
              <w:rPr>
                <w:rFonts w:ascii="Times New Roman" w:eastAsia="宋体" w:hAnsi="Times New Roman"/>
                <w:b/>
                <w:bCs/>
                <w:color w:val="000000"/>
                <w:sz w:val="16"/>
                <w:szCs w:val="16"/>
              </w:rPr>
              <w:t>common share attributable to Walmart</w:t>
            </w:r>
          </w:p>
        </w:tc>
        <w:tc>
          <w:tcPr>
            <w:tcW w:w="0" w:type="auto"/>
            <w:gridSpan w:val="3"/>
            <w:shd w:val="clear" w:color="auto" w:fill="FFFFFF"/>
            <w:tcMar>
              <w:top w:w="0" w:type="dxa"/>
              <w:left w:w="20" w:type="dxa"/>
              <w:bottom w:w="0" w:type="dxa"/>
              <w:right w:w="20" w:type="dxa"/>
            </w:tcMar>
          </w:tcPr>
          <w:p w14:paraId="7E784F4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4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4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4D"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4E"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4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5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4F51" w14:textId="77777777" w:rsidR="00A82082" w:rsidRDefault="00A82082">
            <w:pPr>
              <w:rPr>
                <w:rFonts w:ascii="宋体"/>
              </w:rPr>
            </w:pPr>
          </w:p>
        </w:tc>
      </w:tr>
      <w:tr w:rsidR="00A82082" w14:paraId="7E784F64" w14:textId="77777777">
        <w:tc>
          <w:tcPr>
            <w:tcW w:w="0" w:type="auto"/>
            <w:gridSpan w:val="3"/>
            <w:shd w:val="clear" w:color="auto" w:fill="CCEEFF"/>
            <w:tcMar>
              <w:top w:w="40" w:type="dxa"/>
              <w:left w:w="380" w:type="dxa"/>
              <w:bottom w:w="40" w:type="dxa"/>
              <w:right w:w="20" w:type="dxa"/>
            </w:tcMar>
            <w:vAlign w:val="center"/>
          </w:tcPr>
          <w:p w14:paraId="7E784F53" w14:textId="77777777" w:rsidR="00A82082" w:rsidRDefault="00E946F9">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tcPr>
          <w:p w14:paraId="7E784F54"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F55"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F56" w14:textId="77777777" w:rsidR="00A82082" w:rsidRDefault="00E946F9">
            <w:pPr>
              <w:jc w:val="right"/>
              <w:textAlignment w:val="bottom"/>
            </w:pPr>
            <w:r>
              <w:rPr>
                <w:rFonts w:ascii="Times New Roman" w:eastAsia="宋体" w:hAnsi="Times New Roman"/>
                <w:color w:val="000000"/>
                <w:sz w:val="16"/>
                <w:szCs w:val="16"/>
              </w:rPr>
              <w:t>1.81 </w:t>
            </w:r>
          </w:p>
        </w:tc>
        <w:tc>
          <w:tcPr>
            <w:tcW w:w="0" w:type="auto"/>
            <w:shd w:val="clear" w:color="auto" w:fill="CCEEFF"/>
            <w:tcMar>
              <w:top w:w="40" w:type="dxa"/>
              <w:left w:w="0" w:type="dxa"/>
              <w:bottom w:w="40" w:type="dxa"/>
              <w:right w:w="20" w:type="dxa"/>
            </w:tcMar>
            <w:vAlign w:val="bottom"/>
          </w:tcPr>
          <w:p w14:paraId="7E784F5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58"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F59"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F5A" w14:textId="77777777" w:rsidR="00A82082" w:rsidRDefault="00E946F9">
            <w:pPr>
              <w:jc w:val="right"/>
              <w:textAlignment w:val="bottom"/>
            </w:pPr>
            <w:r>
              <w:rPr>
                <w:rFonts w:ascii="Times New Roman" w:eastAsia="宋体" w:hAnsi="Times New Roman"/>
                <w:color w:val="000000"/>
                <w:sz w:val="16"/>
                <w:szCs w:val="16"/>
              </w:rPr>
              <w:t>1.16 </w:t>
            </w:r>
          </w:p>
        </w:tc>
        <w:tc>
          <w:tcPr>
            <w:tcW w:w="0" w:type="auto"/>
            <w:shd w:val="clear" w:color="auto" w:fill="CCEEFF"/>
            <w:tcMar>
              <w:top w:w="40" w:type="dxa"/>
              <w:left w:w="0" w:type="dxa"/>
              <w:bottom w:w="40" w:type="dxa"/>
              <w:right w:w="20" w:type="dxa"/>
            </w:tcMar>
            <w:vAlign w:val="bottom"/>
          </w:tcPr>
          <w:p w14:paraId="7E784F5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5C"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F5D"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F5E" w14:textId="77777777" w:rsidR="00A82082" w:rsidRDefault="00E946F9">
            <w:pPr>
              <w:jc w:val="right"/>
              <w:textAlignment w:val="bottom"/>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bottom"/>
          </w:tcPr>
          <w:p w14:paraId="7E784F5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60" w14:textId="77777777" w:rsidR="00A82082" w:rsidRDefault="00A82082">
            <w:pPr>
              <w:rPr>
                <w:rFonts w:ascii="宋体"/>
              </w:rPr>
            </w:pPr>
          </w:p>
        </w:tc>
        <w:tc>
          <w:tcPr>
            <w:tcW w:w="0" w:type="auto"/>
            <w:shd w:val="clear" w:color="auto" w:fill="CCEEFF"/>
            <w:tcMar>
              <w:top w:w="40" w:type="dxa"/>
              <w:left w:w="20" w:type="dxa"/>
              <w:bottom w:w="40" w:type="dxa"/>
              <w:right w:w="0" w:type="dxa"/>
            </w:tcMar>
            <w:vAlign w:val="bottom"/>
          </w:tcPr>
          <w:p w14:paraId="7E784F61" w14:textId="77777777" w:rsidR="00A82082" w:rsidRDefault="00E946F9">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7E784F62" w14:textId="77777777" w:rsidR="00A82082" w:rsidRDefault="00E946F9">
            <w:pPr>
              <w:jc w:val="right"/>
              <w:textAlignment w:val="bottom"/>
            </w:pPr>
            <w:r>
              <w:rPr>
                <w:rFonts w:ascii="Times New Roman" w:eastAsia="宋体" w:hAnsi="Times New Roman"/>
                <w:color w:val="000000"/>
                <w:sz w:val="16"/>
                <w:szCs w:val="16"/>
              </w:rPr>
              <w:t>3.76 </w:t>
            </w:r>
          </w:p>
        </w:tc>
        <w:tc>
          <w:tcPr>
            <w:tcW w:w="0" w:type="auto"/>
            <w:shd w:val="clear" w:color="auto" w:fill="CCEEFF"/>
            <w:tcMar>
              <w:top w:w="40" w:type="dxa"/>
              <w:left w:w="0" w:type="dxa"/>
              <w:bottom w:w="40" w:type="dxa"/>
              <w:right w:w="20" w:type="dxa"/>
            </w:tcMar>
            <w:vAlign w:val="bottom"/>
          </w:tcPr>
          <w:p w14:paraId="7E784F63" w14:textId="77777777" w:rsidR="00A82082" w:rsidRDefault="00A82082">
            <w:pPr>
              <w:jc w:val="right"/>
              <w:rPr>
                <w:rFonts w:ascii="宋体"/>
              </w:rPr>
            </w:pPr>
          </w:p>
        </w:tc>
      </w:tr>
      <w:tr w:rsidR="00A82082" w14:paraId="7E784F72" w14:textId="77777777">
        <w:tc>
          <w:tcPr>
            <w:tcW w:w="0" w:type="auto"/>
            <w:gridSpan w:val="3"/>
            <w:shd w:val="clear" w:color="auto" w:fill="FFFFFF"/>
            <w:tcMar>
              <w:top w:w="40" w:type="dxa"/>
              <w:left w:w="380" w:type="dxa"/>
              <w:bottom w:w="40" w:type="dxa"/>
              <w:right w:w="20" w:type="dxa"/>
            </w:tcMar>
            <w:vAlign w:val="center"/>
          </w:tcPr>
          <w:p w14:paraId="7E784F65" w14:textId="77777777" w:rsidR="00A82082" w:rsidRDefault="00E946F9">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tcPr>
          <w:p w14:paraId="7E784F6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F67" w14:textId="77777777" w:rsidR="00A82082" w:rsidRDefault="00E946F9">
            <w:pPr>
              <w:jc w:val="right"/>
              <w:textAlignment w:val="bottom"/>
            </w:pPr>
            <w:r>
              <w:rPr>
                <w:rFonts w:ascii="Times New Roman" w:eastAsia="宋体" w:hAnsi="Times New Roman"/>
                <w:color w:val="000000"/>
                <w:sz w:val="16"/>
                <w:szCs w:val="16"/>
              </w:rPr>
              <w:t>1.80 </w:t>
            </w:r>
          </w:p>
        </w:tc>
        <w:tc>
          <w:tcPr>
            <w:tcW w:w="0" w:type="auto"/>
            <w:shd w:val="clear" w:color="auto" w:fill="FFFFFF"/>
            <w:tcMar>
              <w:top w:w="40" w:type="dxa"/>
              <w:left w:w="0" w:type="dxa"/>
              <w:bottom w:w="40" w:type="dxa"/>
              <w:right w:w="20" w:type="dxa"/>
            </w:tcMar>
            <w:vAlign w:val="bottom"/>
          </w:tcPr>
          <w:p w14:paraId="7E784F6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6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F6A" w14:textId="77777777" w:rsidR="00A82082" w:rsidRDefault="00E946F9">
            <w:pPr>
              <w:jc w:val="right"/>
              <w:textAlignment w:val="bottom"/>
            </w:pPr>
            <w:r>
              <w:rPr>
                <w:rFonts w:ascii="Times New Roman" w:eastAsia="宋体" w:hAnsi="Times New Roman"/>
                <w:color w:val="000000"/>
                <w:sz w:val="16"/>
                <w:szCs w:val="16"/>
              </w:rPr>
              <w:t>1.15 </w:t>
            </w:r>
          </w:p>
        </w:tc>
        <w:tc>
          <w:tcPr>
            <w:tcW w:w="0" w:type="auto"/>
            <w:shd w:val="clear" w:color="auto" w:fill="FFFFFF"/>
            <w:tcMar>
              <w:top w:w="40" w:type="dxa"/>
              <w:left w:w="0" w:type="dxa"/>
              <w:bottom w:w="40" w:type="dxa"/>
              <w:right w:w="20" w:type="dxa"/>
            </w:tcMar>
            <w:vAlign w:val="bottom"/>
          </w:tcPr>
          <w:p w14:paraId="7E784F6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6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F6D" w14:textId="77777777" w:rsidR="00A82082" w:rsidRDefault="00E946F9">
            <w:pPr>
              <w:jc w:val="right"/>
              <w:textAlignment w:val="bottom"/>
            </w:pPr>
            <w:r>
              <w:rPr>
                <w:rFonts w:ascii="Times New Roman" w:eastAsia="宋体" w:hAnsi="Times New Roman"/>
                <w:color w:val="000000"/>
                <w:sz w:val="16"/>
                <w:szCs w:val="16"/>
              </w:rPr>
              <w:t>5.48 </w:t>
            </w:r>
          </w:p>
        </w:tc>
        <w:tc>
          <w:tcPr>
            <w:tcW w:w="0" w:type="auto"/>
            <w:shd w:val="clear" w:color="auto" w:fill="FFFFFF"/>
            <w:tcMar>
              <w:top w:w="40" w:type="dxa"/>
              <w:left w:w="0" w:type="dxa"/>
              <w:bottom w:w="40" w:type="dxa"/>
              <w:right w:w="20" w:type="dxa"/>
            </w:tcMar>
            <w:vAlign w:val="bottom"/>
          </w:tcPr>
          <w:p w14:paraId="7E784F6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6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4F70" w14:textId="77777777" w:rsidR="00A82082" w:rsidRDefault="00E946F9">
            <w:pPr>
              <w:jc w:val="right"/>
              <w:textAlignment w:val="bottom"/>
            </w:pPr>
            <w:r>
              <w:rPr>
                <w:rFonts w:ascii="Times New Roman" w:eastAsia="宋体" w:hAnsi="Times New Roman"/>
                <w:color w:val="000000"/>
                <w:sz w:val="16"/>
                <w:szCs w:val="16"/>
              </w:rPr>
              <w:t>3.74 </w:t>
            </w:r>
          </w:p>
        </w:tc>
        <w:tc>
          <w:tcPr>
            <w:tcW w:w="0" w:type="auto"/>
            <w:shd w:val="clear" w:color="auto" w:fill="FFFFFF"/>
            <w:tcMar>
              <w:top w:w="40" w:type="dxa"/>
              <w:left w:w="0" w:type="dxa"/>
              <w:bottom w:w="40" w:type="dxa"/>
              <w:right w:w="20" w:type="dxa"/>
            </w:tcMar>
            <w:vAlign w:val="bottom"/>
          </w:tcPr>
          <w:p w14:paraId="7E784F71" w14:textId="77777777" w:rsidR="00A82082" w:rsidRDefault="00A82082">
            <w:pPr>
              <w:jc w:val="right"/>
              <w:rPr>
                <w:rFonts w:ascii="宋体"/>
              </w:rPr>
            </w:pPr>
          </w:p>
        </w:tc>
      </w:tr>
    </w:tbl>
    <w:p w14:paraId="7E784F73" w14:textId="77777777" w:rsidR="00A82082" w:rsidRDefault="00E946F9">
      <w:pPr>
        <w:spacing w:before="240"/>
      </w:pPr>
      <w:r>
        <w:rPr>
          <w:rFonts w:ascii="Times New Roman" w:eastAsia="宋体" w:hAnsi="Times New Roman"/>
          <w:b/>
          <w:bCs/>
          <w:color w:val="000000"/>
          <w:sz w:val="20"/>
          <w:szCs w:val="20"/>
        </w:rPr>
        <w:t>Note 3. Accumulated Other Comprehensive Loss</w:t>
      </w:r>
    </w:p>
    <w:p w14:paraId="7E784F74" w14:textId="77777777" w:rsidR="00A82082" w:rsidRDefault="00E946F9">
      <w:pPr>
        <w:spacing w:before="100"/>
      </w:pPr>
      <w:r>
        <w:rPr>
          <w:rFonts w:ascii="Times New Roman" w:eastAsia="宋体" w:hAnsi="Times New Roman"/>
          <w:color w:val="000000"/>
          <w:sz w:val="20"/>
          <w:szCs w:val="20"/>
        </w:rPr>
        <w:t>The following table provides the changes in the composition of total accumulated other comprehensive loss for the three months ended April 30, 2020, July 31</w:t>
      </w:r>
      <w:r>
        <w:rPr>
          <w:rFonts w:ascii="Times New Roman" w:eastAsia="宋体" w:hAnsi="Times New Roman"/>
          <w:color w:val="000000"/>
          <w:sz w:val="20"/>
          <w:szCs w:val="20"/>
        </w:rPr>
        <w:t xml:space="preserve">, 2020 and October 31, 2020: </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A82082" w14:paraId="7E784F96" w14:textId="77777777">
        <w:tc>
          <w:tcPr>
            <w:tcW w:w="50" w:type="pct"/>
            <w:shd w:val="clear" w:color="auto" w:fill="auto"/>
          </w:tcPr>
          <w:p w14:paraId="7E784F75" w14:textId="77777777" w:rsidR="00A82082" w:rsidRDefault="00A82082">
            <w:pPr>
              <w:rPr>
                <w:rFonts w:ascii="宋体"/>
              </w:rPr>
            </w:pPr>
          </w:p>
        </w:tc>
        <w:tc>
          <w:tcPr>
            <w:tcW w:w="2192" w:type="pct"/>
            <w:shd w:val="clear" w:color="auto" w:fill="auto"/>
          </w:tcPr>
          <w:p w14:paraId="7E784F76" w14:textId="77777777" w:rsidR="00A82082" w:rsidRDefault="00A82082">
            <w:pPr>
              <w:rPr>
                <w:rFonts w:ascii="宋体"/>
              </w:rPr>
            </w:pPr>
          </w:p>
        </w:tc>
        <w:tc>
          <w:tcPr>
            <w:tcW w:w="5" w:type="pct"/>
            <w:shd w:val="clear" w:color="auto" w:fill="auto"/>
          </w:tcPr>
          <w:p w14:paraId="7E784F77" w14:textId="77777777" w:rsidR="00A82082" w:rsidRDefault="00A82082">
            <w:pPr>
              <w:rPr>
                <w:rFonts w:ascii="宋体"/>
              </w:rPr>
            </w:pPr>
          </w:p>
        </w:tc>
        <w:tc>
          <w:tcPr>
            <w:tcW w:w="5" w:type="pct"/>
            <w:shd w:val="clear" w:color="auto" w:fill="auto"/>
          </w:tcPr>
          <w:p w14:paraId="7E784F78" w14:textId="77777777" w:rsidR="00A82082" w:rsidRDefault="00A82082">
            <w:pPr>
              <w:rPr>
                <w:rFonts w:ascii="宋体"/>
              </w:rPr>
            </w:pPr>
          </w:p>
        </w:tc>
        <w:tc>
          <w:tcPr>
            <w:tcW w:w="26" w:type="pct"/>
            <w:shd w:val="clear" w:color="auto" w:fill="auto"/>
          </w:tcPr>
          <w:p w14:paraId="7E784F79" w14:textId="77777777" w:rsidR="00A82082" w:rsidRDefault="00A82082">
            <w:pPr>
              <w:rPr>
                <w:rFonts w:ascii="宋体"/>
              </w:rPr>
            </w:pPr>
          </w:p>
        </w:tc>
        <w:tc>
          <w:tcPr>
            <w:tcW w:w="5" w:type="pct"/>
            <w:shd w:val="clear" w:color="auto" w:fill="auto"/>
          </w:tcPr>
          <w:p w14:paraId="7E784F7A" w14:textId="77777777" w:rsidR="00A82082" w:rsidRDefault="00A82082">
            <w:pPr>
              <w:rPr>
                <w:rFonts w:ascii="宋体"/>
              </w:rPr>
            </w:pPr>
          </w:p>
        </w:tc>
        <w:tc>
          <w:tcPr>
            <w:tcW w:w="50" w:type="pct"/>
            <w:shd w:val="clear" w:color="auto" w:fill="auto"/>
          </w:tcPr>
          <w:p w14:paraId="7E784F7B" w14:textId="77777777" w:rsidR="00A82082" w:rsidRDefault="00A82082">
            <w:pPr>
              <w:rPr>
                <w:rFonts w:ascii="宋体"/>
              </w:rPr>
            </w:pPr>
          </w:p>
        </w:tc>
        <w:tc>
          <w:tcPr>
            <w:tcW w:w="530" w:type="pct"/>
            <w:shd w:val="clear" w:color="auto" w:fill="auto"/>
          </w:tcPr>
          <w:p w14:paraId="7E784F7C" w14:textId="77777777" w:rsidR="00A82082" w:rsidRDefault="00A82082">
            <w:pPr>
              <w:rPr>
                <w:rFonts w:ascii="宋体"/>
              </w:rPr>
            </w:pPr>
          </w:p>
        </w:tc>
        <w:tc>
          <w:tcPr>
            <w:tcW w:w="5" w:type="pct"/>
            <w:shd w:val="clear" w:color="auto" w:fill="auto"/>
          </w:tcPr>
          <w:p w14:paraId="7E784F7D" w14:textId="77777777" w:rsidR="00A82082" w:rsidRDefault="00A82082">
            <w:pPr>
              <w:rPr>
                <w:rFonts w:ascii="宋体"/>
              </w:rPr>
            </w:pPr>
          </w:p>
        </w:tc>
        <w:tc>
          <w:tcPr>
            <w:tcW w:w="5" w:type="pct"/>
            <w:shd w:val="clear" w:color="auto" w:fill="auto"/>
          </w:tcPr>
          <w:p w14:paraId="7E784F7E" w14:textId="77777777" w:rsidR="00A82082" w:rsidRDefault="00A82082">
            <w:pPr>
              <w:rPr>
                <w:rFonts w:ascii="宋体"/>
              </w:rPr>
            </w:pPr>
          </w:p>
        </w:tc>
        <w:tc>
          <w:tcPr>
            <w:tcW w:w="26" w:type="pct"/>
            <w:shd w:val="clear" w:color="auto" w:fill="auto"/>
          </w:tcPr>
          <w:p w14:paraId="7E784F7F" w14:textId="77777777" w:rsidR="00A82082" w:rsidRDefault="00A82082">
            <w:pPr>
              <w:rPr>
                <w:rFonts w:ascii="宋体"/>
              </w:rPr>
            </w:pPr>
          </w:p>
        </w:tc>
        <w:tc>
          <w:tcPr>
            <w:tcW w:w="5" w:type="pct"/>
            <w:shd w:val="clear" w:color="auto" w:fill="auto"/>
          </w:tcPr>
          <w:p w14:paraId="7E784F80" w14:textId="77777777" w:rsidR="00A82082" w:rsidRDefault="00A82082">
            <w:pPr>
              <w:rPr>
                <w:rFonts w:ascii="宋体"/>
              </w:rPr>
            </w:pPr>
          </w:p>
        </w:tc>
        <w:tc>
          <w:tcPr>
            <w:tcW w:w="50" w:type="pct"/>
            <w:shd w:val="clear" w:color="auto" w:fill="auto"/>
          </w:tcPr>
          <w:p w14:paraId="7E784F81" w14:textId="77777777" w:rsidR="00A82082" w:rsidRDefault="00A82082">
            <w:pPr>
              <w:rPr>
                <w:rFonts w:ascii="宋体"/>
              </w:rPr>
            </w:pPr>
          </w:p>
        </w:tc>
        <w:tc>
          <w:tcPr>
            <w:tcW w:w="530" w:type="pct"/>
            <w:shd w:val="clear" w:color="auto" w:fill="auto"/>
          </w:tcPr>
          <w:p w14:paraId="7E784F82" w14:textId="77777777" w:rsidR="00A82082" w:rsidRDefault="00A82082">
            <w:pPr>
              <w:rPr>
                <w:rFonts w:ascii="宋体"/>
              </w:rPr>
            </w:pPr>
          </w:p>
        </w:tc>
        <w:tc>
          <w:tcPr>
            <w:tcW w:w="5" w:type="pct"/>
            <w:shd w:val="clear" w:color="auto" w:fill="auto"/>
          </w:tcPr>
          <w:p w14:paraId="7E784F83" w14:textId="77777777" w:rsidR="00A82082" w:rsidRDefault="00A82082">
            <w:pPr>
              <w:rPr>
                <w:rFonts w:ascii="宋体"/>
              </w:rPr>
            </w:pPr>
          </w:p>
        </w:tc>
        <w:tc>
          <w:tcPr>
            <w:tcW w:w="5" w:type="pct"/>
            <w:shd w:val="clear" w:color="auto" w:fill="auto"/>
          </w:tcPr>
          <w:p w14:paraId="7E784F84" w14:textId="77777777" w:rsidR="00A82082" w:rsidRDefault="00A82082">
            <w:pPr>
              <w:rPr>
                <w:rFonts w:ascii="宋体"/>
              </w:rPr>
            </w:pPr>
          </w:p>
        </w:tc>
        <w:tc>
          <w:tcPr>
            <w:tcW w:w="26" w:type="pct"/>
            <w:shd w:val="clear" w:color="auto" w:fill="auto"/>
          </w:tcPr>
          <w:p w14:paraId="7E784F85" w14:textId="77777777" w:rsidR="00A82082" w:rsidRDefault="00A82082">
            <w:pPr>
              <w:rPr>
                <w:rFonts w:ascii="宋体"/>
              </w:rPr>
            </w:pPr>
          </w:p>
        </w:tc>
        <w:tc>
          <w:tcPr>
            <w:tcW w:w="5" w:type="pct"/>
            <w:shd w:val="clear" w:color="auto" w:fill="auto"/>
          </w:tcPr>
          <w:p w14:paraId="7E784F86" w14:textId="77777777" w:rsidR="00A82082" w:rsidRDefault="00A82082">
            <w:pPr>
              <w:rPr>
                <w:rFonts w:ascii="宋体"/>
              </w:rPr>
            </w:pPr>
          </w:p>
        </w:tc>
        <w:tc>
          <w:tcPr>
            <w:tcW w:w="50" w:type="pct"/>
            <w:shd w:val="clear" w:color="auto" w:fill="auto"/>
          </w:tcPr>
          <w:p w14:paraId="7E784F87" w14:textId="77777777" w:rsidR="00A82082" w:rsidRDefault="00A82082">
            <w:pPr>
              <w:rPr>
                <w:rFonts w:ascii="宋体"/>
              </w:rPr>
            </w:pPr>
          </w:p>
        </w:tc>
        <w:tc>
          <w:tcPr>
            <w:tcW w:w="413" w:type="pct"/>
            <w:shd w:val="clear" w:color="auto" w:fill="auto"/>
          </w:tcPr>
          <w:p w14:paraId="7E784F88" w14:textId="77777777" w:rsidR="00A82082" w:rsidRDefault="00A82082">
            <w:pPr>
              <w:rPr>
                <w:rFonts w:ascii="宋体"/>
              </w:rPr>
            </w:pPr>
          </w:p>
        </w:tc>
        <w:tc>
          <w:tcPr>
            <w:tcW w:w="5" w:type="pct"/>
            <w:shd w:val="clear" w:color="auto" w:fill="auto"/>
          </w:tcPr>
          <w:p w14:paraId="7E784F89" w14:textId="77777777" w:rsidR="00A82082" w:rsidRDefault="00A82082">
            <w:pPr>
              <w:rPr>
                <w:rFonts w:ascii="宋体"/>
              </w:rPr>
            </w:pPr>
          </w:p>
        </w:tc>
        <w:tc>
          <w:tcPr>
            <w:tcW w:w="5" w:type="pct"/>
            <w:shd w:val="clear" w:color="auto" w:fill="auto"/>
          </w:tcPr>
          <w:p w14:paraId="7E784F8A" w14:textId="77777777" w:rsidR="00A82082" w:rsidRDefault="00A82082">
            <w:pPr>
              <w:rPr>
                <w:rFonts w:ascii="宋体"/>
              </w:rPr>
            </w:pPr>
          </w:p>
        </w:tc>
        <w:tc>
          <w:tcPr>
            <w:tcW w:w="26" w:type="pct"/>
            <w:shd w:val="clear" w:color="auto" w:fill="auto"/>
          </w:tcPr>
          <w:p w14:paraId="7E784F8B" w14:textId="77777777" w:rsidR="00A82082" w:rsidRDefault="00A82082">
            <w:pPr>
              <w:rPr>
                <w:rFonts w:ascii="宋体"/>
              </w:rPr>
            </w:pPr>
          </w:p>
        </w:tc>
        <w:tc>
          <w:tcPr>
            <w:tcW w:w="5" w:type="pct"/>
            <w:shd w:val="clear" w:color="auto" w:fill="auto"/>
          </w:tcPr>
          <w:p w14:paraId="7E784F8C" w14:textId="77777777" w:rsidR="00A82082" w:rsidRDefault="00A82082">
            <w:pPr>
              <w:rPr>
                <w:rFonts w:ascii="宋体"/>
              </w:rPr>
            </w:pPr>
          </w:p>
        </w:tc>
        <w:tc>
          <w:tcPr>
            <w:tcW w:w="50" w:type="pct"/>
            <w:shd w:val="clear" w:color="auto" w:fill="auto"/>
          </w:tcPr>
          <w:p w14:paraId="7E784F8D" w14:textId="77777777" w:rsidR="00A82082" w:rsidRDefault="00A82082">
            <w:pPr>
              <w:rPr>
                <w:rFonts w:ascii="宋体"/>
              </w:rPr>
            </w:pPr>
          </w:p>
        </w:tc>
        <w:tc>
          <w:tcPr>
            <w:tcW w:w="435" w:type="pct"/>
            <w:shd w:val="clear" w:color="auto" w:fill="auto"/>
          </w:tcPr>
          <w:p w14:paraId="7E784F8E" w14:textId="77777777" w:rsidR="00A82082" w:rsidRDefault="00A82082">
            <w:pPr>
              <w:rPr>
                <w:rFonts w:ascii="宋体"/>
              </w:rPr>
            </w:pPr>
          </w:p>
        </w:tc>
        <w:tc>
          <w:tcPr>
            <w:tcW w:w="5" w:type="pct"/>
            <w:shd w:val="clear" w:color="auto" w:fill="auto"/>
          </w:tcPr>
          <w:p w14:paraId="7E784F8F" w14:textId="77777777" w:rsidR="00A82082" w:rsidRDefault="00A82082">
            <w:pPr>
              <w:rPr>
                <w:rFonts w:ascii="宋体"/>
              </w:rPr>
            </w:pPr>
          </w:p>
        </w:tc>
        <w:tc>
          <w:tcPr>
            <w:tcW w:w="5" w:type="pct"/>
            <w:shd w:val="clear" w:color="auto" w:fill="auto"/>
          </w:tcPr>
          <w:p w14:paraId="7E784F90" w14:textId="77777777" w:rsidR="00A82082" w:rsidRDefault="00A82082">
            <w:pPr>
              <w:rPr>
                <w:rFonts w:ascii="宋体"/>
              </w:rPr>
            </w:pPr>
          </w:p>
        </w:tc>
        <w:tc>
          <w:tcPr>
            <w:tcW w:w="26" w:type="pct"/>
            <w:shd w:val="clear" w:color="auto" w:fill="auto"/>
          </w:tcPr>
          <w:p w14:paraId="7E784F91" w14:textId="77777777" w:rsidR="00A82082" w:rsidRDefault="00A82082">
            <w:pPr>
              <w:rPr>
                <w:rFonts w:ascii="宋体"/>
              </w:rPr>
            </w:pPr>
          </w:p>
        </w:tc>
        <w:tc>
          <w:tcPr>
            <w:tcW w:w="5" w:type="pct"/>
            <w:shd w:val="clear" w:color="auto" w:fill="auto"/>
          </w:tcPr>
          <w:p w14:paraId="7E784F92" w14:textId="77777777" w:rsidR="00A82082" w:rsidRDefault="00A82082">
            <w:pPr>
              <w:rPr>
                <w:rFonts w:ascii="宋体"/>
              </w:rPr>
            </w:pPr>
          </w:p>
        </w:tc>
        <w:tc>
          <w:tcPr>
            <w:tcW w:w="50" w:type="pct"/>
            <w:shd w:val="clear" w:color="auto" w:fill="auto"/>
          </w:tcPr>
          <w:p w14:paraId="7E784F93" w14:textId="77777777" w:rsidR="00A82082" w:rsidRDefault="00A82082">
            <w:pPr>
              <w:rPr>
                <w:rFonts w:ascii="宋体"/>
              </w:rPr>
            </w:pPr>
          </w:p>
        </w:tc>
        <w:tc>
          <w:tcPr>
            <w:tcW w:w="384" w:type="pct"/>
            <w:shd w:val="clear" w:color="auto" w:fill="auto"/>
          </w:tcPr>
          <w:p w14:paraId="7E784F94" w14:textId="77777777" w:rsidR="00A82082" w:rsidRDefault="00A82082">
            <w:pPr>
              <w:rPr>
                <w:rFonts w:ascii="宋体"/>
              </w:rPr>
            </w:pPr>
          </w:p>
        </w:tc>
        <w:tc>
          <w:tcPr>
            <w:tcW w:w="5" w:type="pct"/>
            <w:shd w:val="clear" w:color="auto" w:fill="auto"/>
          </w:tcPr>
          <w:p w14:paraId="7E784F95" w14:textId="77777777" w:rsidR="00A82082" w:rsidRDefault="00A82082">
            <w:pPr>
              <w:rPr>
                <w:rFonts w:ascii="宋体"/>
              </w:rPr>
            </w:pPr>
          </w:p>
        </w:tc>
      </w:tr>
      <w:tr w:rsidR="00A82082" w14:paraId="7E784FA2" w14:textId="77777777">
        <w:tc>
          <w:tcPr>
            <w:tcW w:w="0" w:type="auto"/>
            <w:gridSpan w:val="3"/>
            <w:shd w:val="clear" w:color="auto" w:fill="auto"/>
            <w:tcMar>
              <w:top w:w="40" w:type="dxa"/>
              <w:left w:w="20" w:type="dxa"/>
              <w:bottom w:w="40" w:type="dxa"/>
              <w:right w:w="20" w:type="dxa"/>
            </w:tcMar>
            <w:vAlign w:val="bottom"/>
          </w:tcPr>
          <w:p w14:paraId="7E784F97" w14:textId="77777777" w:rsidR="00A82082" w:rsidRDefault="00E946F9">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tcPr>
          <w:p w14:paraId="7E784F98"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F99" w14:textId="77777777" w:rsidR="00A82082" w:rsidRDefault="00E946F9">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tcPr>
          <w:p w14:paraId="7E784F9A"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F9B" w14:textId="77777777" w:rsidR="00A82082" w:rsidRDefault="00E946F9">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tcPr>
          <w:p w14:paraId="7E784F9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F9D" w14:textId="77777777" w:rsidR="00A82082" w:rsidRDefault="00E946F9">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tcPr>
          <w:p w14:paraId="7E784F9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F9F" w14:textId="77777777" w:rsidR="00A82082" w:rsidRDefault="00E946F9">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r>
            <w:r>
              <w:rPr>
                <w:rFonts w:ascii="Times New Roman" w:eastAsia="宋体" w:hAnsi="Times New Roman"/>
                <w:b/>
                <w:bCs/>
                <w:color w:val="000000"/>
                <w:sz w:val="16"/>
                <w:szCs w:val="16"/>
              </w:rP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tcPr>
          <w:p w14:paraId="7E784FA0"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4FA1" w14:textId="77777777" w:rsidR="00A82082" w:rsidRDefault="00E946F9">
            <w:pPr>
              <w:jc w:val="center"/>
              <w:textAlignment w:val="bottom"/>
            </w:pPr>
            <w:r>
              <w:rPr>
                <w:rFonts w:ascii="Times New Roman" w:eastAsia="宋体" w:hAnsi="Times New Roman"/>
                <w:b/>
                <w:bCs/>
                <w:color w:val="000000"/>
                <w:sz w:val="16"/>
                <w:szCs w:val="16"/>
              </w:rPr>
              <w:t>Total</w:t>
            </w:r>
          </w:p>
        </w:tc>
      </w:tr>
      <w:tr w:rsidR="00A82082" w14:paraId="7E784FB8" w14:textId="77777777">
        <w:tc>
          <w:tcPr>
            <w:tcW w:w="0" w:type="auto"/>
            <w:gridSpan w:val="3"/>
            <w:shd w:val="clear" w:color="auto" w:fill="CCEEFF"/>
            <w:tcMar>
              <w:top w:w="40" w:type="dxa"/>
              <w:left w:w="20" w:type="dxa"/>
              <w:bottom w:w="40" w:type="dxa"/>
              <w:right w:w="20" w:type="dxa"/>
            </w:tcMar>
            <w:vAlign w:val="center"/>
          </w:tcPr>
          <w:p w14:paraId="7E784FA3" w14:textId="77777777" w:rsidR="00A82082" w:rsidRDefault="00E946F9">
            <w:pPr>
              <w:textAlignment w:val="center"/>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tcPr>
          <w:p w14:paraId="7E784FA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FA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FA6" w14:textId="77777777" w:rsidR="00A82082" w:rsidRDefault="00E946F9">
            <w:pPr>
              <w:jc w:val="right"/>
              <w:textAlignment w:val="center"/>
            </w:pPr>
            <w:r>
              <w:rPr>
                <w:rFonts w:ascii="Times New Roman" w:eastAsia="宋体" w:hAnsi="Times New Roman"/>
                <w:color w:val="000000"/>
                <w:sz w:val="16"/>
                <w:szCs w:val="16"/>
              </w:rPr>
              <w:t>(11,827)</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FA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A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FA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FAA" w14:textId="77777777" w:rsidR="00A82082" w:rsidRDefault="00E946F9">
            <w:pPr>
              <w:jc w:val="right"/>
              <w:textAlignment w:val="center"/>
            </w:pPr>
            <w:r>
              <w:rPr>
                <w:rFonts w:ascii="Times New Roman" w:eastAsia="宋体" w:hAnsi="Times New Roman"/>
                <w:color w:val="000000"/>
                <w:sz w:val="16"/>
                <w:szCs w:val="16"/>
              </w:rPr>
              <w:t>1,517 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FA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A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FA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FAE" w14:textId="77777777" w:rsidR="00A82082" w:rsidRDefault="00E946F9">
            <w:pPr>
              <w:jc w:val="right"/>
              <w:textAlignment w:val="center"/>
            </w:pPr>
            <w:r>
              <w:rPr>
                <w:rFonts w:ascii="Times New Roman" w:eastAsia="宋体" w:hAnsi="Times New Roman"/>
                <w:color w:val="000000"/>
                <w:sz w:val="16"/>
                <w:szCs w:val="16"/>
              </w:rPr>
              <w:t>(539)</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FA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B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FB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FB2" w14:textId="77777777" w:rsidR="00A82082" w:rsidRDefault="00E946F9">
            <w:pPr>
              <w:jc w:val="right"/>
              <w:textAlignment w:val="center"/>
            </w:pPr>
            <w:r>
              <w:rPr>
                <w:rFonts w:ascii="Times New Roman" w:eastAsia="宋体" w:hAnsi="Times New Roman"/>
                <w:color w:val="000000"/>
                <w:sz w:val="16"/>
                <w:szCs w:val="16"/>
              </w:rPr>
              <w:t>(1,956)</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FB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B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4FB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4FB6" w14:textId="77777777" w:rsidR="00A82082" w:rsidRDefault="00E946F9">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4FB7" w14:textId="77777777" w:rsidR="00A82082" w:rsidRDefault="00A82082">
            <w:pPr>
              <w:jc w:val="right"/>
              <w:rPr>
                <w:rFonts w:ascii="宋体"/>
              </w:rPr>
            </w:pPr>
          </w:p>
        </w:tc>
      </w:tr>
      <w:tr w:rsidR="00A82082" w14:paraId="7E784FC4" w14:textId="77777777">
        <w:trPr>
          <w:hidden/>
        </w:trPr>
        <w:tc>
          <w:tcPr>
            <w:tcW w:w="0" w:type="auto"/>
            <w:gridSpan w:val="3"/>
            <w:shd w:val="clear" w:color="auto" w:fill="auto"/>
          </w:tcPr>
          <w:p w14:paraId="7E784FB9" w14:textId="77777777" w:rsidR="00A82082" w:rsidRDefault="00A82082">
            <w:pPr>
              <w:rPr>
                <w:rFonts w:ascii="宋体"/>
                <w:vanish/>
              </w:rPr>
            </w:pPr>
          </w:p>
        </w:tc>
        <w:tc>
          <w:tcPr>
            <w:tcW w:w="0" w:type="auto"/>
            <w:gridSpan w:val="3"/>
            <w:shd w:val="clear" w:color="auto" w:fill="auto"/>
          </w:tcPr>
          <w:p w14:paraId="7E784FBA" w14:textId="77777777" w:rsidR="00A82082" w:rsidRDefault="00A82082">
            <w:pPr>
              <w:rPr>
                <w:rFonts w:ascii="宋体"/>
                <w:vanish/>
              </w:rPr>
            </w:pPr>
          </w:p>
        </w:tc>
        <w:tc>
          <w:tcPr>
            <w:tcW w:w="0" w:type="auto"/>
            <w:gridSpan w:val="3"/>
            <w:shd w:val="clear" w:color="auto" w:fill="auto"/>
          </w:tcPr>
          <w:p w14:paraId="7E784FBB" w14:textId="77777777" w:rsidR="00A82082" w:rsidRDefault="00A82082">
            <w:pPr>
              <w:rPr>
                <w:rFonts w:ascii="宋体"/>
                <w:vanish/>
              </w:rPr>
            </w:pPr>
          </w:p>
        </w:tc>
        <w:tc>
          <w:tcPr>
            <w:tcW w:w="0" w:type="auto"/>
            <w:gridSpan w:val="3"/>
            <w:shd w:val="clear" w:color="auto" w:fill="auto"/>
          </w:tcPr>
          <w:p w14:paraId="7E784FBC" w14:textId="77777777" w:rsidR="00A82082" w:rsidRDefault="00A82082">
            <w:pPr>
              <w:rPr>
                <w:rFonts w:ascii="宋体"/>
                <w:vanish/>
              </w:rPr>
            </w:pPr>
          </w:p>
        </w:tc>
        <w:tc>
          <w:tcPr>
            <w:tcW w:w="0" w:type="auto"/>
            <w:gridSpan w:val="3"/>
            <w:shd w:val="clear" w:color="auto" w:fill="auto"/>
          </w:tcPr>
          <w:p w14:paraId="7E784FBD" w14:textId="77777777" w:rsidR="00A82082" w:rsidRDefault="00A82082">
            <w:pPr>
              <w:rPr>
                <w:rFonts w:ascii="宋体"/>
                <w:vanish/>
              </w:rPr>
            </w:pPr>
          </w:p>
        </w:tc>
        <w:tc>
          <w:tcPr>
            <w:tcW w:w="0" w:type="auto"/>
            <w:gridSpan w:val="3"/>
            <w:shd w:val="clear" w:color="auto" w:fill="auto"/>
          </w:tcPr>
          <w:p w14:paraId="7E784FBE" w14:textId="77777777" w:rsidR="00A82082" w:rsidRDefault="00A82082">
            <w:pPr>
              <w:rPr>
                <w:rFonts w:ascii="宋体"/>
                <w:vanish/>
              </w:rPr>
            </w:pPr>
          </w:p>
        </w:tc>
        <w:tc>
          <w:tcPr>
            <w:tcW w:w="0" w:type="auto"/>
            <w:gridSpan w:val="3"/>
            <w:shd w:val="clear" w:color="auto" w:fill="auto"/>
          </w:tcPr>
          <w:p w14:paraId="7E784FBF" w14:textId="77777777" w:rsidR="00A82082" w:rsidRDefault="00A82082">
            <w:pPr>
              <w:rPr>
                <w:rFonts w:ascii="宋体"/>
                <w:vanish/>
              </w:rPr>
            </w:pPr>
          </w:p>
        </w:tc>
        <w:tc>
          <w:tcPr>
            <w:tcW w:w="0" w:type="auto"/>
            <w:gridSpan w:val="3"/>
            <w:shd w:val="clear" w:color="auto" w:fill="auto"/>
          </w:tcPr>
          <w:p w14:paraId="7E784FC0" w14:textId="77777777" w:rsidR="00A82082" w:rsidRDefault="00A82082">
            <w:pPr>
              <w:rPr>
                <w:rFonts w:ascii="宋体"/>
                <w:vanish/>
              </w:rPr>
            </w:pPr>
          </w:p>
        </w:tc>
        <w:tc>
          <w:tcPr>
            <w:tcW w:w="0" w:type="auto"/>
            <w:gridSpan w:val="3"/>
            <w:shd w:val="clear" w:color="auto" w:fill="auto"/>
          </w:tcPr>
          <w:p w14:paraId="7E784FC1" w14:textId="77777777" w:rsidR="00A82082" w:rsidRDefault="00A82082">
            <w:pPr>
              <w:rPr>
                <w:rFonts w:ascii="宋体"/>
                <w:vanish/>
              </w:rPr>
            </w:pPr>
          </w:p>
        </w:tc>
        <w:tc>
          <w:tcPr>
            <w:tcW w:w="0" w:type="auto"/>
            <w:gridSpan w:val="3"/>
            <w:shd w:val="clear" w:color="auto" w:fill="auto"/>
          </w:tcPr>
          <w:p w14:paraId="7E784FC2" w14:textId="77777777" w:rsidR="00A82082" w:rsidRDefault="00A82082">
            <w:pPr>
              <w:rPr>
                <w:rFonts w:ascii="宋体"/>
                <w:vanish/>
              </w:rPr>
            </w:pPr>
          </w:p>
        </w:tc>
        <w:tc>
          <w:tcPr>
            <w:tcW w:w="0" w:type="auto"/>
            <w:gridSpan w:val="3"/>
            <w:shd w:val="clear" w:color="auto" w:fill="auto"/>
          </w:tcPr>
          <w:p w14:paraId="7E784FC3" w14:textId="77777777" w:rsidR="00A82082" w:rsidRDefault="00A82082">
            <w:pPr>
              <w:rPr>
                <w:rFonts w:ascii="宋体"/>
                <w:vanish/>
              </w:rPr>
            </w:pPr>
          </w:p>
        </w:tc>
      </w:tr>
      <w:tr w:rsidR="00A82082" w14:paraId="7E784FD5" w14:textId="77777777">
        <w:tc>
          <w:tcPr>
            <w:tcW w:w="0" w:type="auto"/>
            <w:gridSpan w:val="3"/>
            <w:shd w:val="clear" w:color="auto" w:fill="FFFFFF"/>
            <w:tcMar>
              <w:top w:w="40" w:type="dxa"/>
              <w:left w:w="20" w:type="dxa"/>
              <w:bottom w:w="40" w:type="dxa"/>
              <w:right w:w="20" w:type="dxa"/>
            </w:tcMar>
            <w:vAlign w:val="center"/>
          </w:tcPr>
          <w:p w14:paraId="7E784FC5" w14:textId="77777777" w:rsidR="00A82082" w:rsidRDefault="00E946F9">
            <w:pPr>
              <w:textAlignment w:val="center"/>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FFFFFF"/>
            <w:tcMar>
              <w:top w:w="0" w:type="dxa"/>
              <w:left w:w="20" w:type="dxa"/>
              <w:bottom w:w="0" w:type="dxa"/>
              <w:right w:w="20" w:type="dxa"/>
            </w:tcMar>
          </w:tcPr>
          <w:p w14:paraId="7E784FC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C7" w14:textId="77777777" w:rsidR="00A82082" w:rsidRDefault="00E946F9">
            <w:pPr>
              <w:jc w:val="right"/>
              <w:textAlignment w:val="center"/>
            </w:pPr>
            <w:r>
              <w:rPr>
                <w:rFonts w:ascii="Times New Roman" w:eastAsia="宋体" w:hAnsi="Times New Roman"/>
                <w:color w:val="000000"/>
                <w:sz w:val="16"/>
                <w:szCs w:val="16"/>
              </w:rPr>
              <w:t>(3,256)</w:t>
            </w:r>
          </w:p>
        </w:tc>
        <w:tc>
          <w:tcPr>
            <w:tcW w:w="0" w:type="auto"/>
            <w:shd w:val="clear" w:color="auto" w:fill="FFFFFF"/>
            <w:tcMar>
              <w:top w:w="40" w:type="dxa"/>
              <w:left w:w="0" w:type="dxa"/>
              <w:bottom w:w="40" w:type="dxa"/>
              <w:right w:w="20" w:type="dxa"/>
            </w:tcMar>
            <w:vAlign w:val="center"/>
          </w:tcPr>
          <w:p w14:paraId="7E784FC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C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CA" w14:textId="77777777" w:rsidR="00A82082" w:rsidRDefault="00E946F9">
            <w:pPr>
              <w:jc w:val="right"/>
              <w:textAlignment w:val="center"/>
            </w:pPr>
            <w:r>
              <w:rPr>
                <w:rFonts w:ascii="Times New Roman" w:eastAsia="宋体" w:hAnsi="Times New Roman"/>
                <w:color w:val="000000"/>
                <w:sz w:val="16"/>
                <w:szCs w:val="16"/>
              </w:rPr>
              <w:t>157 </w:t>
            </w:r>
          </w:p>
        </w:tc>
        <w:tc>
          <w:tcPr>
            <w:tcW w:w="0" w:type="auto"/>
            <w:shd w:val="clear" w:color="auto" w:fill="FFFFFF"/>
            <w:tcMar>
              <w:top w:w="40" w:type="dxa"/>
              <w:left w:w="0" w:type="dxa"/>
              <w:bottom w:w="40" w:type="dxa"/>
              <w:right w:w="20" w:type="dxa"/>
            </w:tcMar>
            <w:vAlign w:val="center"/>
          </w:tcPr>
          <w:p w14:paraId="7E784FC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C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CD" w14:textId="77777777" w:rsidR="00A82082" w:rsidRDefault="00E946F9">
            <w:pPr>
              <w:jc w:val="right"/>
              <w:textAlignment w:val="center"/>
            </w:pPr>
            <w:r>
              <w:rPr>
                <w:rFonts w:ascii="Times New Roman" w:eastAsia="宋体" w:hAnsi="Times New Roman"/>
                <w:color w:val="000000"/>
                <w:sz w:val="16"/>
                <w:szCs w:val="16"/>
              </w:rPr>
              <w:t>(295)</w:t>
            </w:r>
          </w:p>
        </w:tc>
        <w:tc>
          <w:tcPr>
            <w:tcW w:w="0" w:type="auto"/>
            <w:shd w:val="clear" w:color="auto" w:fill="FFFFFF"/>
            <w:tcMar>
              <w:top w:w="40" w:type="dxa"/>
              <w:left w:w="0" w:type="dxa"/>
              <w:bottom w:w="40" w:type="dxa"/>
              <w:right w:w="20" w:type="dxa"/>
            </w:tcMar>
            <w:vAlign w:val="center"/>
          </w:tcPr>
          <w:p w14:paraId="7E784FC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C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D0" w14:textId="77777777" w:rsidR="00A82082" w:rsidRDefault="00E946F9">
            <w:pPr>
              <w:jc w:val="right"/>
              <w:textAlignment w:val="center"/>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center"/>
          </w:tcPr>
          <w:p w14:paraId="7E784FD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D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4FD3" w14:textId="77777777" w:rsidR="00A82082" w:rsidRDefault="00E946F9">
            <w:pPr>
              <w:jc w:val="right"/>
              <w:textAlignment w:val="center"/>
            </w:pPr>
            <w:r>
              <w:rPr>
                <w:rFonts w:ascii="Times New Roman" w:eastAsia="宋体" w:hAnsi="Times New Roman"/>
                <w:color w:val="000000"/>
                <w:sz w:val="16"/>
                <w:szCs w:val="16"/>
              </w:rPr>
              <w:t>(3,398)</w:t>
            </w:r>
          </w:p>
        </w:tc>
        <w:tc>
          <w:tcPr>
            <w:tcW w:w="0" w:type="auto"/>
            <w:shd w:val="clear" w:color="auto" w:fill="FFFFFF"/>
            <w:tcMar>
              <w:top w:w="40" w:type="dxa"/>
              <w:left w:w="0" w:type="dxa"/>
              <w:bottom w:w="40" w:type="dxa"/>
              <w:right w:w="20" w:type="dxa"/>
            </w:tcMar>
            <w:vAlign w:val="center"/>
          </w:tcPr>
          <w:p w14:paraId="7E784FD4" w14:textId="77777777" w:rsidR="00A82082" w:rsidRDefault="00A82082">
            <w:pPr>
              <w:jc w:val="right"/>
              <w:rPr>
                <w:rFonts w:ascii="宋体"/>
              </w:rPr>
            </w:pPr>
          </w:p>
        </w:tc>
      </w:tr>
      <w:tr w:rsidR="00A82082" w14:paraId="7E784FE6" w14:textId="77777777">
        <w:tc>
          <w:tcPr>
            <w:tcW w:w="0" w:type="auto"/>
            <w:gridSpan w:val="3"/>
            <w:shd w:val="clear" w:color="auto" w:fill="CCEEFF"/>
            <w:tcMar>
              <w:top w:w="40" w:type="dxa"/>
              <w:left w:w="20" w:type="dxa"/>
              <w:bottom w:w="40" w:type="dxa"/>
              <w:right w:w="20" w:type="dxa"/>
            </w:tcMar>
            <w:vAlign w:val="center"/>
          </w:tcPr>
          <w:p w14:paraId="7E784FD6" w14:textId="77777777" w:rsidR="00A82082" w:rsidRDefault="00E946F9">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tcPr>
          <w:p w14:paraId="7E784FD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D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FD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D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D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4FD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D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DE" w14:textId="77777777" w:rsidR="00A82082" w:rsidRDefault="00E946F9">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7E784FD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E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E1" w14:textId="77777777" w:rsidR="00A82082" w:rsidRDefault="00E946F9">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7E784FE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4FE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E4" w14:textId="77777777" w:rsidR="00A82082" w:rsidRDefault="00E946F9">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7E784FE5" w14:textId="77777777" w:rsidR="00A82082" w:rsidRDefault="00A82082">
            <w:pPr>
              <w:jc w:val="right"/>
              <w:rPr>
                <w:rFonts w:ascii="宋体"/>
              </w:rPr>
            </w:pPr>
          </w:p>
        </w:tc>
      </w:tr>
      <w:tr w:rsidR="00A82082" w14:paraId="7E784FFC" w14:textId="77777777">
        <w:tc>
          <w:tcPr>
            <w:tcW w:w="0" w:type="auto"/>
            <w:gridSpan w:val="3"/>
            <w:shd w:val="clear" w:color="auto" w:fill="FFFFFF"/>
            <w:tcMar>
              <w:top w:w="40" w:type="dxa"/>
              <w:left w:w="20" w:type="dxa"/>
              <w:bottom w:w="40" w:type="dxa"/>
              <w:right w:w="20" w:type="dxa"/>
            </w:tcMar>
            <w:vAlign w:val="center"/>
          </w:tcPr>
          <w:p w14:paraId="7E784FE7" w14:textId="77777777" w:rsidR="00A82082" w:rsidRDefault="00E946F9">
            <w:pPr>
              <w:textAlignment w:val="center"/>
            </w:pPr>
            <w:r>
              <w:rPr>
                <w:rFonts w:ascii="Times New Roman" w:eastAsia="宋体" w:hAnsi="Times New Roman"/>
                <w:b/>
                <w:bCs/>
                <w:color w:val="000000"/>
                <w:sz w:val="16"/>
                <w:szCs w:val="16"/>
              </w:rPr>
              <w:t>Balances as of April 30, 2020</w:t>
            </w:r>
          </w:p>
        </w:tc>
        <w:tc>
          <w:tcPr>
            <w:tcW w:w="0" w:type="auto"/>
            <w:gridSpan w:val="3"/>
            <w:shd w:val="clear" w:color="auto" w:fill="FFFFFF"/>
            <w:tcMar>
              <w:top w:w="0" w:type="dxa"/>
              <w:left w:w="20" w:type="dxa"/>
              <w:bottom w:w="0" w:type="dxa"/>
              <w:right w:w="20" w:type="dxa"/>
            </w:tcMar>
          </w:tcPr>
          <w:p w14:paraId="7E784FE8"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FE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FEA" w14:textId="77777777" w:rsidR="00A82082" w:rsidRDefault="00E946F9">
            <w:pPr>
              <w:jc w:val="right"/>
              <w:textAlignment w:val="center"/>
            </w:pPr>
            <w:r>
              <w:rPr>
                <w:rFonts w:ascii="Times New Roman" w:eastAsia="宋体" w:hAnsi="Times New Roman"/>
                <w:color w:val="000000"/>
                <w:sz w:val="16"/>
                <w:szCs w:val="16"/>
              </w:rPr>
              <w:t>(15,083)</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E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EC"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FE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FEE" w14:textId="77777777" w:rsidR="00A82082" w:rsidRDefault="00E946F9">
            <w:pPr>
              <w:jc w:val="right"/>
              <w:textAlignment w:val="center"/>
            </w:pPr>
            <w:r>
              <w:rPr>
                <w:rFonts w:ascii="Times New Roman" w:eastAsia="宋体" w:hAnsi="Times New Roman"/>
                <w:color w:val="000000"/>
                <w:sz w:val="16"/>
                <w:szCs w:val="16"/>
              </w:rPr>
              <w:t>1,674 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E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F0"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FF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FF2" w14:textId="77777777" w:rsidR="00A82082" w:rsidRDefault="00E946F9">
            <w:pPr>
              <w:jc w:val="right"/>
              <w:textAlignment w:val="center"/>
            </w:pPr>
            <w:r>
              <w:rPr>
                <w:rFonts w:ascii="Times New Roman" w:eastAsia="宋体" w:hAnsi="Times New Roman"/>
                <w:color w:val="000000"/>
                <w:sz w:val="16"/>
                <w:szCs w:val="16"/>
              </w:rPr>
              <w:t>(818)</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F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F4"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FF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FF6" w14:textId="77777777" w:rsidR="00A82082" w:rsidRDefault="00E946F9">
            <w:pPr>
              <w:jc w:val="right"/>
              <w:textAlignment w:val="center"/>
            </w:pPr>
            <w:r>
              <w:rPr>
                <w:rFonts w:ascii="Times New Roman" w:eastAsia="宋体" w:hAnsi="Times New Roman"/>
                <w:color w:val="000000"/>
                <w:sz w:val="16"/>
                <w:szCs w:val="16"/>
              </w:rPr>
              <w:t>(1,941)</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F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4FF8"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4FF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4FFA" w14:textId="77777777" w:rsidR="00A82082" w:rsidRDefault="00E946F9">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4FFB" w14:textId="77777777" w:rsidR="00A82082" w:rsidRDefault="00A82082">
            <w:pPr>
              <w:jc w:val="right"/>
              <w:rPr>
                <w:rFonts w:ascii="宋体"/>
              </w:rPr>
            </w:pPr>
          </w:p>
        </w:tc>
      </w:tr>
      <w:tr w:rsidR="00A82082" w14:paraId="7E78500D" w14:textId="77777777">
        <w:tc>
          <w:tcPr>
            <w:tcW w:w="0" w:type="auto"/>
            <w:gridSpan w:val="3"/>
            <w:shd w:val="clear" w:color="auto" w:fill="CCEEFF"/>
            <w:tcMar>
              <w:top w:w="40" w:type="dxa"/>
              <w:left w:w="20" w:type="dxa"/>
              <w:bottom w:w="40" w:type="dxa"/>
              <w:right w:w="20" w:type="dxa"/>
            </w:tcMar>
            <w:vAlign w:val="center"/>
          </w:tcPr>
          <w:p w14:paraId="7E784FFD" w14:textId="77777777" w:rsidR="00A82082" w:rsidRDefault="00E946F9">
            <w:pPr>
              <w:textAlignment w:val="center"/>
            </w:pPr>
            <w:r>
              <w:rPr>
                <w:rFonts w:ascii="Times New Roman" w:eastAsia="宋体" w:hAnsi="Times New Roman"/>
                <w:color w:val="000000"/>
                <w:sz w:val="16"/>
                <w:szCs w:val="16"/>
              </w:rPr>
              <w:t>Other comprehensive inc</w:t>
            </w:r>
            <w:r>
              <w:rPr>
                <w:rFonts w:ascii="Times New Roman" w:eastAsia="宋体" w:hAnsi="Times New Roman"/>
                <w:color w:val="000000"/>
                <w:sz w:val="16"/>
                <w:szCs w:val="16"/>
              </w:rPr>
              <w:t>ome (loss) before reclassifications, net</w:t>
            </w:r>
          </w:p>
        </w:tc>
        <w:tc>
          <w:tcPr>
            <w:tcW w:w="0" w:type="auto"/>
            <w:gridSpan w:val="3"/>
            <w:shd w:val="clear" w:color="auto" w:fill="CCEEFF"/>
            <w:tcMar>
              <w:top w:w="0" w:type="dxa"/>
              <w:left w:w="20" w:type="dxa"/>
              <w:bottom w:w="0" w:type="dxa"/>
              <w:right w:w="20" w:type="dxa"/>
            </w:tcMar>
          </w:tcPr>
          <w:p w14:paraId="7E784FF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4FFF" w14:textId="77777777" w:rsidR="00A82082" w:rsidRDefault="00E946F9">
            <w:pPr>
              <w:jc w:val="right"/>
              <w:textAlignment w:val="center"/>
            </w:pPr>
            <w:r>
              <w:rPr>
                <w:rFonts w:ascii="Times New Roman" w:eastAsia="宋体" w:hAnsi="Times New Roman"/>
                <w:color w:val="000000"/>
                <w:sz w:val="16"/>
                <w:szCs w:val="16"/>
              </w:rPr>
              <w:t>246 </w:t>
            </w:r>
          </w:p>
        </w:tc>
        <w:tc>
          <w:tcPr>
            <w:tcW w:w="0" w:type="auto"/>
            <w:shd w:val="clear" w:color="auto" w:fill="CCEEFF"/>
            <w:tcMar>
              <w:top w:w="40" w:type="dxa"/>
              <w:left w:w="0" w:type="dxa"/>
              <w:bottom w:w="40" w:type="dxa"/>
              <w:right w:w="20" w:type="dxa"/>
            </w:tcMar>
            <w:vAlign w:val="center"/>
          </w:tcPr>
          <w:p w14:paraId="7E78500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0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02" w14:textId="77777777" w:rsidR="00A82082" w:rsidRDefault="00E946F9">
            <w:pPr>
              <w:jc w:val="right"/>
              <w:textAlignment w:val="center"/>
            </w:pPr>
            <w:r>
              <w:rPr>
                <w:rFonts w:ascii="Times New Roman" w:eastAsia="宋体" w:hAnsi="Times New Roman"/>
                <w:color w:val="000000"/>
                <w:sz w:val="16"/>
                <w:szCs w:val="16"/>
              </w:rPr>
              <w:t>(191)</w:t>
            </w:r>
          </w:p>
        </w:tc>
        <w:tc>
          <w:tcPr>
            <w:tcW w:w="0" w:type="auto"/>
            <w:shd w:val="clear" w:color="auto" w:fill="CCEEFF"/>
            <w:tcMar>
              <w:top w:w="40" w:type="dxa"/>
              <w:left w:w="0" w:type="dxa"/>
              <w:bottom w:w="40" w:type="dxa"/>
              <w:right w:w="20" w:type="dxa"/>
            </w:tcMar>
            <w:vAlign w:val="center"/>
          </w:tcPr>
          <w:p w14:paraId="7E78500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0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05" w14:textId="77777777" w:rsidR="00A82082" w:rsidRDefault="00E946F9">
            <w:pPr>
              <w:jc w:val="right"/>
              <w:textAlignment w:val="center"/>
            </w:pPr>
            <w:r>
              <w:rPr>
                <w:rFonts w:ascii="Times New Roman" w:eastAsia="宋体" w:hAnsi="Times New Roman"/>
                <w:color w:val="000000"/>
                <w:sz w:val="16"/>
                <w:szCs w:val="16"/>
              </w:rPr>
              <w:t>303 </w:t>
            </w:r>
          </w:p>
        </w:tc>
        <w:tc>
          <w:tcPr>
            <w:tcW w:w="0" w:type="auto"/>
            <w:shd w:val="clear" w:color="auto" w:fill="CCEEFF"/>
            <w:tcMar>
              <w:top w:w="40" w:type="dxa"/>
              <w:left w:w="0" w:type="dxa"/>
              <w:bottom w:w="40" w:type="dxa"/>
              <w:right w:w="20" w:type="dxa"/>
            </w:tcMar>
            <w:vAlign w:val="center"/>
          </w:tcPr>
          <w:p w14:paraId="7E78500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0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08" w14:textId="77777777" w:rsidR="00A82082" w:rsidRDefault="00E946F9">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7E78500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0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0B" w14:textId="77777777" w:rsidR="00A82082" w:rsidRDefault="00E946F9">
            <w:pPr>
              <w:jc w:val="right"/>
              <w:textAlignment w:val="center"/>
            </w:pPr>
            <w:r>
              <w:rPr>
                <w:rFonts w:ascii="Times New Roman" w:eastAsia="宋体" w:hAnsi="Times New Roman"/>
                <w:color w:val="000000"/>
                <w:sz w:val="16"/>
                <w:szCs w:val="16"/>
              </w:rPr>
              <w:t>356 </w:t>
            </w:r>
          </w:p>
        </w:tc>
        <w:tc>
          <w:tcPr>
            <w:tcW w:w="0" w:type="auto"/>
            <w:shd w:val="clear" w:color="auto" w:fill="CCEEFF"/>
            <w:tcMar>
              <w:top w:w="40" w:type="dxa"/>
              <w:left w:w="0" w:type="dxa"/>
              <w:bottom w:w="40" w:type="dxa"/>
              <w:right w:w="20" w:type="dxa"/>
            </w:tcMar>
            <w:vAlign w:val="center"/>
          </w:tcPr>
          <w:p w14:paraId="7E78500C" w14:textId="77777777" w:rsidR="00A82082" w:rsidRDefault="00A82082">
            <w:pPr>
              <w:jc w:val="right"/>
              <w:rPr>
                <w:rFonts w:ascii="宋体"/>
              </w:rPr>
            </w:pPr>
          </w:p>
        </w:tc>
      </w:tr>
      <w:tr w:rsidR="00A82082" w14:paraId="7E78501E" w14:textId="77777777">
        <w:tc>
          <w:tcPr>
            <w:tcW w:w="0" w:type="auto"/>
            <w:gridSpan w:val="3"/>
            <w:shd w:val="clear" w:color="auto" w:fill="FFFFFF"/>
            <w:tcMar>
              <w:top w:w="40" w:type="dxa"/>
              <w:left w:w="20" w:type="dxa"/>
              <w:bottom w:w="40" w:type="dxa"/>
              <w:right w:w="20" w:type="dxa"/>
            </w:tcMar>
            <w:vAlign w:val="center"/>
          </w:tcPr>
          <w:p w14:paraId="7E78500E" w14:textId="77777777" w:rsidR="00A82082" w:rsidRDefault="00E946F9">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tcPr>
          <w:p w14:paraId="7E78500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10"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501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1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1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501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1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16" w14:textId="77777777" w:rsidR="00A82082" w:rsidRDefault="00E946F9">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7E78501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1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19" w14:textId="77777777" w:rsidR="00A82082" w:rsidRDefault="00E946F9">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7E78501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1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1C" w14:textId="77777777" w:rsidR="00A82082" w:rsidRDefault="00E946F9">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7E78501D" w14:textId="77777777" w:rsidR="00A82082" w:rsidRDefault="00A82082">
            <w:pPr>
              <w:jc w:val="right"/>
              <w:rPr>
                <w:rFonts w:ascii="宋体"/>
              </w:rPr>
            </w:pPr>
          </w:p>
        </w:tc>
      </w:tr>
      <w:tr w:rsidR="00A82082" w14:paraId="7E785034" w14:textId="77777777">
        <w:tc>
          <w:tcPr>
            <w:tcW w:w="0" w:type="auto"/>
            <w:gridSpan w:val="3"/>
            <w:shd w:val="clear" w:color="auto" w:fill="CCEEFF"/>
            <w:tcMar>
              <w:top w:w="40" w:type="dxa"/>
              <w:left w:w="20" w:type="dxa"/>
              <w:bottom w:w="40" w:type="dxa"/>
              <w:right w:w="20" w:type="dxa"/>
            </w:tcMar>
            <w:vAlign w:val="center"/>
          </w:tcPr>
          <w:p w14:paraId="7E78501F" w14:textId="77777777" w:rsidR="00A82082" w:rsidRDefault="00E946F9">
            <w:pPr>
              <w:textAlignment w:val="center"/>
            </w:pPr>
            <w:r>
              <w:rPr>
                <w:rFonts w:ascii="Times New Roman" w:eastAsia="宋体" w:hAnsi="Times New Roman"/>
                <w:b/>
                <w:bCs/>
                <w:color w:val="000000"/>
                <w:sz w:val="16"/>
                <w:szCs w:val="16"/>
              </w:rPr>
              <w:t>Balances as of July 31, 2020</w:t>
            </w:r>
          </w:p>
        </w:tc>
        <w:tc>
          <w:tcPr>
            <w:tcW w:w="0" w:type="auto"/>
            <w:gridSpan w:val="3"/>
            <w:shd w:val="clear" w:color="auto" w:fill="CCEEFF"/>
            <w:tcMar>
              <w:top w:w="0" w:type="dxa"/>
              <w:left w:w="20" w:type="dxa"/>
              <w:bottom w:w="0" w:type="dxa"/>
              <w:right w:w="20" w:type="dxa"/>
            </w:tcMar>
          </w:tcPr>
          <w:p w14:paraId="7E78502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02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022" w14:textId="77777777" w:rsidR="00A82082" w:rsidRDefault="00E946F9">
            <w:pPr>
              <w:jc w:val="right"/>
              <w:textAlignment w:val="center"/>
            </w:pPr>
            <w:r>
              <w:rPr>
                <w:rFonts w:ascii="Times New Roman" w:eastAsia="宋体" w:hAnsi="Times New Roman"/>
                <w:color w:val="000000"/>
                <w:sz w:val="16"/>
                <w:szCs w:val="16"/>
              </w:rPr>
              <w:t>(14,837)</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02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2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02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026" w14:textId="77777777" w:rsidR="00A82082" w:rsidRDefault="00E946F9">
            <w:pPr>
              <w:jc w:val="right"/>
              <w:textAlignment w:val="center"/>
            </w:pPr>
            <w:r>
              <w:rPr>
                <w:rFonts w:ascii="Times New Roman" w:eastAsia="宋体" w:hAnsi="Times New Roman"/>
                <w:color w:val="000000"/>
                <w:sz w:val="16"/>
                <w:szCs w:val="16"/>
              </w:rPr>
              <w:t>1,483 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02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2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02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02A" w14:textId="77777777" w:rsidR="00A82082" w:rsidRDefault="00E946F9">
            <w:pPr>
              <w:jc w:val="right"/>
              <w:textAlignment w:val="center"/>
            </w:pPr>
            <w:r>
              <w:rPr>
                <w:rFonts w:ascii="Times New Roman" w:eastAsia="宋体" w:hAnsi="Times New Roman"/>
                <w:color w:val="000000"/>
                <w:sz w:val="16"/>
                <w:szCs w:val="16"/>
              </w:rPr>
              <w:t>(505)</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02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2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02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02E" w14:textId="77777777" w:rsidR="00A82082" w:rsidRDefault="00E946F9">
            <w:pPr>
              <w:jc w:val="right"/>
              <w:textAlignment w:val="center"/>
            </w:pPr>
            <w:r>
              <w:rPr>
                <w:rFonts w:ascii="Times New Roman" w:eastAsia="宋体" w:hAnsi="Times New Roman"/>
                <w:color w:val="000000"/>
                <w:sz w:val="16"/>
                <w:szCs w:val="16"/>
              </w:rPr>
              <w:t>(1,925)</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02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3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03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032" w14:textId="77777777" w:rsidR="00A82082" w:rsidRDefault="00E946F9">
            <w:pPr>
              <w:jc w:val="right"/>
              <w:textAlignment w:val="center"/>
            </w:pPr>
            <w:r>
              <w:rPr>
                <w:rFonts w:ascii="Times New Roman" w:eastAsia="宋体" w:hAnsi="Times New Roman"/>
                <w:color w:val="000000"/>
                <w:sz w:val="16"/>
                <w:szCs w:val="16"/>
              </w:rPr>
              <w:t>(15,784)</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033" w14:textId="77777777" w:rsidR="00A82082" w:rsidRDefault="00A82082">
            <w:pPr>
              <w:jc w:val="right"/>
              <w:rPr>
                <w:rFonts w:ascii="宋体"/>
              </w:rPr>
            </w:pPr>
          </w:p>
        </w:tc>
      </w:tr>
      <w:tr w:rsidR="00A82082" w14:paraId="7E785045" w14:textId="77777777">
        <w:tc>
          <w:tcPr>
            <w:tcW w:w="0" w:type="auto"/>
            <w:gridSpan w:val="3"/>
            <w:shd w:val="clear" w:color="auto" w:fill="FFFFFF"/>
            <w:tcMar>
              <w:top w:w="40" w:type="dxa"/>
              <w:left w:w="20" w:type="dxa"/>
              <w:bottom w:w="40" w:type="dxa"/>
              <w:right w:w="20" w:type="dxa"/>
            </w:tcMar>
            <w:vAlign w:val="center"/>
          </w:tcPr>
          <w:p w14:paraId="7E785035" w14:textId="77777777" w:rsidR="00A82082" w:rsidRDefault="00E946F9">
            <w:pPr>
              <w:textAlignment w:val="center"/>
            </w:pPr>
            <w:r>
              <w:rPr>
                <w:rFonts w:ascii="Times New Roman" w:eastAsia="宋体" w:hAnsi="Times New Roman"/>
                <w:color w:val="000000"/>
                <w:sz w:val="16"/>
                <w:szCs w:val="16"/>
              </w:rPr>
              <w:t>Other comprehensive inc</w:t>
            </w:r>
            <w:r>
              <w:rPr>
                <w:rFonts w:ascii="Times New Roman" w:eastAsia="宋体" w:hAnsi="Times New Roman"/>
                <w:color w:val="000000"/>
                <w:sz w:val="16"/>
                <w:szCs w:val="16"/>
              </w:rPr>
              <w:t>ome (loss) before reclassifications, net</w:t>
            </w:r>
          </w:p>
        </w:tc>
        <w:tc>
          <w:tcPr>
            <w:tcW w:w="0" w:type="auto"/>
            <w:gridSpan w:val="3"/>
            <w:shd w:val="clear" w:color="auto" w:fill="FFFFFF"/>
            <w:tcMar>
              <w:top w:w="0" w:type="dxa"/>
              <w:left w:w="20" w:type="dxa"/>
              <w:bottom w:w="0" w:type="dxa"/>
              <w:right w:w="20" w:type="dxa"/>
            </w:tcMar>
          </w:tcPr>
          <w:p w14:paraId="7E78503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37" w14:textId="77777777" w:rsidR="00A82082" w:rsidRDefault="00E946F9">
            <w:pPr>
              <w:jc w:val="right"/>
              <w:textAlignment w:val="center"/>
            </w:pPr>
            <w:r>
              <w:rPr>
                <w:rFonts w:ascii="Times New Roman" w:eastAsia="宋体" w:hAnsi="Times New Roman"/>
                <w:color w:val="000000"/>
                <w:sz w:val="16"/>
                <w:szCs w:val="16"/>
              </w:rPr>
              <w:t>1,153 </w:t>
            </w:r>
          </w:p>
        </w:tc>
        <w:tc>
          <w:tcPr>
            <w:tcW w:w="0" w:type="auto"/>
            <w:shd w:val="clear" w:color="auto" w:fill="FFFFFF"/>
            <w:tcMar>
              <w:top w:w="40" w:type="dxa"/>
              <w:left w:w="0" w:type="dxa"/>
              <w:bottom w:w="40" w:type="dxa"/>
              <w:right w:w="20" w:type="dxa"/>
            </w:tcMar>
            <w:vAlign w:val="center"/>
          </w:tcPr>
          <w:p w14:paraId="7E78503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3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3A" w14:textId="77777777" w:rsidR="00A82082" w:rsidRDefault="00E946F9">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7E78503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3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3D" w14:textId="77777777" w:rsidR="00A82082" w:rsidRDefault="00E946F9">
            <w:pPr>
              <w:jc w:val="right"/>
              <w:textAlignment w:val="center"/>
            </w:pPr>
            <w:r>
              <w:rPr>
                <w:rFonts w:ascii="Times New Roman" w:eastAsia="宋体" w:hAnsi="Times New Roman"/>
                <w:color w:val="000000"/>
                <w:sz w:val="16"/>
                <w:szCs w:val="16"/>
              </w:rPr>
              <w:t>(13)</w:t>
            </w:r>
          </w:p>
        </w:tc>
        <w:tc>
          <w:tcPr>
            <w:tcW w:w="0" w:type="auto"/>
            <w:shd w:val="clear" w:color="auto" w:fill="FFFFFF"/>
            <w:tcMar>
              <w:top w:w="40" w:type="dxa"/>
              <w:left w:w="0" w:type="dxa"/>
              <w:bottom w:w="40" w:type="dxa"/>
              <w:right w:w="20" w:type="dxa"/>
            </w:tcMar>
            <w:vAlign w:val="center"/>
          </w:tcPr>
          <w:p w14:paraId="7E78503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3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40" w14:textId="77777777" w:rsidR="00A82082" w:rsidRDefault="00E946F9">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7E78504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4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043" w14:textId="77777777" w:rsidR="00A82082" w:rsidRDefault="00E946F9">
            <w:pPr>
              <w:jc w:val="right"/>
              <w:textAlignment w:val="center"/>
            </w:pPr>
            <w:r>
              <w:rPr>
                <w:rFonts w:ascii="Times New Roman" w:eastAsia="宋体" w:hAnsi="Times New Roman"/>
                <w:color w:val="000000"/>
                <w:sz w:val="16"/>
                <w:szCs w:val="16"/>
              </w:rPr>
              <w:t>1,136 </w:t>
            </w:r>
          </w:p>
        </w:tc>
        <w:tc>
          <w:tcPr>
            <w:tcW w:w="0" w:type="auto"/>
            <w:shd w:val="clear" w:color="auto" w:fill="FFFFFF"/>
            <w:tcMar>
              <w:top w:w="40" w:type="dxa"/>
              <w:left w:w="0" w:type="dxa"/>
              <w:bottom w:w="40" w:type="dxa"/>
              <w:right w:w="20" w:type="dxa"/>
            </w:tcMar>
            <w:vAlign w:val="center"/>
          </w:tcPr>
          <w:p w14:paraId="7E785044" w14:textId="77777777" w:rsidR="00A82082" w:rsidRDefault="00A82082">
            <w:pPr>
              <w:jc w:val="right"/>
              <w:rPr>
                <w:rFonts w:ascii="宋体"/>
              </w:rPr>
            </w:pPr>
          </w:p>
        </w:tc>
      </w:tr>
      <w:tr w:rsidR="00A82082" w14:paraId="7E785056" w14:textId="77777777">
        <w:tc>
          <w:tcPr>
            <w:tcW w:w="0" w:type="auto"/>
            <w:gridSpan w:val="3"/>
            <w:shd w:val="clear" w:color="auto" w:fill="CCEEFF"/>
            <w:tcMar>
              <w:top w:w="40" w:type="dxa"/>
              <w:left w:w="20" w:type="dxa"/>
              <w:bottom w:w="40" w:type="dxa"/>
              <w:right w:w="20" w:type="dxa"/>
            </w:tcMar>
            <w:vAlign w:val="center"/>
          </w:tcPr>
          <w:p w14:paraId="7E785046" w14:textId="77777777" w:rsidR="00A82082" w:rsidRDefault="00E946F9">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tcPr>
          <w:p w14:paraId="7E78504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48"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504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4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4B"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504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4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4E"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7E78504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51" w14:textId="77777777" w:rsidR="00A82082" w:rsidRDefault="00E946F9">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7E78505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5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054" w14:textId="77777777" w:rsidR="00A82082" w:rsidRDefault="00E946F9">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7E785055" w14:textId="77777777" w:rsidR="00A82082" w:rsidRDefault="00A82082">
            <w:pPr>
              <w:jc w:val="right"/>
              <w:rPr>
                <w:rFonts w:ascii="宋体"/>
              </w:rPr>
            </w:pPr>
          </w:p>
        </w:tc>
      </w:tr>
      <w:tr w:rsidR="00A82082" w14:paraId="7E78506C" w14:textId="77777777">
        <w:tc>
          <w:tcPr>
            <w:tcW w:w="0" w:type="auto"/>
            <w:gridSpan w:val="3"/>
            <w:shd w:val="clear" w:color="auto" w:fill="FFFFFF"/>
            <w:tcMar>
              <w:top w:w="40" w:type="dxa"/>
              <w:left w:w="20" w:type="dxa"/>
              <w:bottom w:w="40" w:type="dxa"/>
              <w:right w:w="20" w:type="dxa"/>
            </w:tcMar>
            <w:vAlign w:val="center"/>
          </w:tcPr>
          <w:p w14:paraId="7E785057" w14:textId="77777777" w:rsidR="00A82082" w:rsidRDefault="00E946F9">
            <w:pPr>
              <w:textAlignment w:val="center"/>
            </w:pPr>
            <w:r>
              <w:rPr>
                <w:rFonts w:ascii="Times New Roman" w:eastAsia="宋体" w:hAnsi="Times New Roman"/>
                <w:b/>
                <w:bCs/>
                <w:color w:val="000000"/>
                <w:sz w:val="16"/>
                <w:szCs w:val="16"/>
              </w:rPr>
              <w:t>Balances as of October 31, 2020</w:t>
            </w:r>
          </w:p>
        </w:tc>
        <w:tc>
          <w:tcPr>
            <w:tcW w:w="0" w:type="auto"/>
            <w:gridSpan w:val="3"/>
            <w:shd w:val="clear" w:color="auto" w:fill="FFFFFF"/>
            <w:tcMar>
              <w:top w:w="0" w:type="dxa"/>
              <w:left w:w="20" w:type="dxa"/>
              <w:bottom w:w="0" w:type="dxa"/>
              <w:right w:w="20" w:type="dxa"/>
            </w:tcMar>
          </w:tcPr>
          <w:p w14:paraId="7E785058"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05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05A" w14:textId="77777777" w:rsidR="00A82082" w:rsidRDefault="00E946F9">
            <w:pPr>
              <w:jc w:val="right"/>
              <w:textAlignment w:val="center"/>
            </w:pPr>
            <w:r>
              <w:rPr>
                <w:rFonts w:ascii="Times New Roman" w:eastAsia="宋体" w:hAnsi="Times New Roman"/>
                <w:color w:val="000000"/>
                <w:sz w:val="16"/>
                <w:szCs w:val="16"/>
              </w:rPr>
              <w:t>(13,684)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05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5C"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05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05E" w14:textId="77777777" w:rsidR="00A82082" w:rsidRDefault="00E946F9">
            <w:pPr>
              <w:jc w:val="right"/>
              <w:textAlignment w:val="center"/>
            </w:pPr>
            <w:r>
              <w:rPr>
                <w:rFonts w:ascii="Times New Roman" w:eastAsia="宋体" w:hAnsi="Times New Roman"/>
                <w:color w:val="000000"/>
                <w:sz w:val="16"/>
                <w:szCs w:val="16"/>
              </w:rPr>
              <w:t>1,482 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05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60"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06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062" w14:textId="77777777" w:rsidR="00A82082" w:rsidRDefault="00E946F9">
            <w:pPr>
              <w:jc w:val="right"/>
              <w:textAlignment w:val="center"/>
            </w:pPr>
            <w:r>
              <w:rPr>
                <w:rFonts w:ascii="Times New Roman" w:eastAsia="宋体" w:hAnsi="Times New Roman"/>
                <w:color w:val="000000"/>
                <w:sz w:val="16"/>
                <w:szCs w:val="16"/>
              </w:rPr>
              <w:t>(505)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06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64"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06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066" w14:textId="77777777" w:rsidR="00A82082" w:rsidRDefault="00E946F9">
            <w:pPr>
              <w:jc w:val="right"/>
              <w:textAlignment w:val="center"/>
            </w:pPr>
            <w:r>
              <w:rPr>
                <w:rFonts w:ascii="Times New Roman" w:eastAsia="宋体" w:hAnsi="Times New Roman"/>
                <w:color w:val="000000"/>
                <w:sz w:val="16"/>
                <w:szCs w:val="16"/>
              </w:rPr>
              <w:t>(1,909)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06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68"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06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06A" w14:textId="77777777" w:rsidR="00A82082" w:rsidRDefault="00E946F9">
            <w:pPr>
              <w:jc w:val="right"/>
              <w:textAlignment w:val="center"/>
            </w:pPr>
            <w:r>
              <w:rPr>
                <w:rFonts w:ascii="Times New Roman" w:eastAsia="宋体" w:hAnsi="Times New Roman"/>
                <w:color w:val="000000"/>
                <w:sz w:val="16"/>
                <w:szCs w:val="16"/>
              </w:rPr>
              <w:t>(14,616)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06B" w14:textId="77777777" w:rsidR="00A82082" w:rsidRDefault="00A82082">
            <w:pPr>
              <w:jc w:val="right"/>
              <w:rPr>
                <w:rFonts w:ascii="宋体"/>
              </w:rPr>
            </w:pPr>
          </w:p>
        </w:tc>
      </w:tr>
    </w:tbl>
    <w:p w14:paraId="7E78506D" w14:textId="77777777" w:rsidR="00A82082" w:rsidRDefault="00E946F9">
      <w:pPr>
        <w:spacing w:before="180" w:after="60"/>
      </w:pPr>
      <w:r>
        <w:rPr>
          <w:rFonts w:ascii="Times New Roman" w:eastAsia="宋体" w:hAnsi="Times New Roman"/>
          <w:color w:val="000000"/>
          <w:sz w:val="20"/>
          <w:szCs w:val="20"/>
        </w:rPr>
        <w:t>The following table provides the changes in the composition of total accumulated other comprehensive loss for the three months ended April 30, 2019, July 31, 2019 and October 31, 2019:</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A82082" w14:paraId="7E78508F" w14:textId="77777777">
        <w:tc>
          <w:tcPr>
            <w:tcW w:w="50" w:type="pct"/>
            <w:shd w:val="clear" w:color="auto" w:fill="auto"/>
          </w:tcPr>
          <w:p w14:paraId="7E78506E" w14:textId="77777777" w:rsidR="00A82082" w:rsidRDefault="00A82082">
            <w:pPr>
              <w:rPr>
                <w:rFonts w:ascii="宋体"/>
              </w:rPr>
            </w:pPr>
          </w:p>
        </w:tc>
        <w:tc>
          <w:tcPr>
            <w:tcW w:w="2192" w:type="pct"/>
            <w:shd w:val="clear" w:color="auto" w:fill="auto"/>
          </w:tcPr>
          <w:p w14:paraId="7E78506F" w14:textId="77777777" w:rsidR="00A82082" w:rsidRDefault="00A82082">
            <w:pPr>
              <w:rPr>
                <w:rFonts w:ascii="宋体"/>
              </w:rPr>
            </w:pPr>
          </w:p>
        </w:tc>
        <w:tc>
          <w:tcPr>
            <w:tcW w:w="5" w:type="pct"/>
            <w:shd w:val="clear" w:color="auto" w:fill="auto"/>
          </w:tcPr>
          <w:p w14:paraId="7E785070" w14:textId="77777777" w:rsidR="00A82082" w:rsidRDefault="00A82082">
            <w:pPr>
              <w:rPr>
                <w:rFonts w:ascii="宋体"/>
              </w:rPr>
            </w:pPr>
          </w:p>
        </w:tc>
        <w:tc>
          <w:tcPr>
            <w:tcW w:w="5" w:type="pct"/>
            <w:shd w:val="clear" w:color="auto" w:fill="auto"/>
          </w:tcPr>
          <w:p w14:paraId="7E785071" w14:textId="77777777" w:rsidR="00A82082" w:rsidRDefault="00A82082">
            <w:pPr>
              <w:rPr>
                <w:rFonts w:ascii="宋体"/>
              </w:rPr>
            </w:pPr>
          </w:p>
        </w:tc>
        <w:tc>
          <w:tcPr>
            <w:tcW w:w="26" w:type="pct"/>
            <w:shd w:val="clear" w:color="auto" w:fill="auto"/>
          </w:tcPr>
          <w:p w14:paraId="7E785072" w14:textId="77777777" w:rsidR="00A82082" w:rsidRDefault="00A82082">
            <w:pPr>
              <w:rPr>
                <w:rFonts w:ascii="宋体"/>
              </w:rPr>
            </w:pPr>
          </w:p>
        </w:tc>
        <w:tc>
          <w:tcPr>
            <w:tcW w:w="5" w:type="pct"/>
            <w:shd w:val="clear" w:color="auto" w:fill="auto"/>
          </w:tcPr>
          <w:p w14:paraId="7E785073" w14:textId="77777777" w:rsidR="00A82082" w:rsidRDefault="00A82082">
            <w:pPr>
              <w:rPr>
                <w:rFonts w:ascii="宋体"/>
              </w:rPr>
            </w:pPr>
          </w:p>
        </w:tc>
        <w:tc>
          <w:tcPr>
            <w:tcW w:w="50" w:type="pct"/>
            <w:shd w:val="clear" w:color="auto" w:fill="auto"/>
          </w:tcPr>
          <w:p w14:paraId="7E785074" w14:textId="77777777" w:rsidR="00A82082" w:rsidRDefault="00A82082">
            <w:pPr>
              <w:rPr>
                <w:rFonts w:ascii="宋体"/>
              </w:rPr>
            </w:pPr>
          </w:p>
        </w:tc>
        <w:tc>
          <w:tcPr>
            <w:tcW w:w="530" w:type="pct"/>
            <w:shd w:val="clear" w:color="auto" w:fill="auto"/>
          </w:tcPr>
          <w:p w14:paraId="7E785075" w14:textId="77777777" w:rsidR="00A82082" w:rsidRDefault="00A82082">
            <w:pPr>
              <w:rPr>
                <w:rFonts w:ascii="宋体"/>
              </w:rPr>
            </w:pPr>
          </w:p>
        </w:tc>
        <w:tc>
          <w:tcPr>
            <w:tcW w:w="5" w:type="pct"/>
            <w:shd w:val="clear" w:color="auto" w:fill="auto"/>
          </w:tcPr>
          <w:p w14:paraId="7E785076" w14:textId="77777777" w:rsidR="00A82082" w:rsidRDefault="00A82082">
            <w:pPr>
              <w:rPr>
                <w:rFonts w:ascii="宋体"/>
              </w:rPr>
            </w:pPr>
          </w:p>
        </w:tc>
        <w:tc>
          <w:tcPr>
            <w:tcW w:w="5" w:type="pct"/>
            <w:shd w:val="clear" w:color="auto" w:fill="auto"/>
          </w:tcPr>
          <w:p w14:paraId="7E785077" w14:textId="77777777" w:rsidR="00A82082" w:rsidRDefault="00A82082">
            <w:pPr>
              <w:rPr>
                <w:rFonts w:ascii="宋体"/>
              </w:rPr>
            </w:pPr>
          </w:p>
        </w:tc>
        <w:tc>
          <w:tcPr>
            <w:tcW w:w="26" w:type="pct"/>
            <w:shd w:val="clear" w:color="auto" w:fill="auto"/>
          </w:tcPr>
          <w:p w14:paraId="7E785078" w14:textId="77777777" w:rsidR="00A82082" w:rsidRDefault="00A82082">
            <w:pPr>
              <w:rPr>
                <w:rFonts w:ascii="宋体"/>
              </w:rPr>
            </w:pPr>
          </w:p>
        </w:tc>
        <w:tc>
          <w:tcPr>
            <w:tcW w:w="5" w:type="pct"/>
            <w:shd w:val="clear" w:color="auto" w:fill="auto"/>
          </w:tcPr>
          <w:p w14:paraId="7E785079" w14:textId="77777777" w:rsidR="00A82082" w:rsidRDefault="00A82082">
            <w:pPr>
              <w:rPr>
                <w:rFonts w:ascii="宋体"/>
              </w:rPr>
            </w:pPr>
          </w:p>
        </w:tc>
        <w:tc>
          <w:tcPr>
            <w:tcW w:w="50" w:type="pct"/>
            <w:shd w:val="clear" w:color="auto" w:fill="auto"/>
          </w:tcPr>
          <w:p w14:paraId="7E78507A" w14:textId="77777777" w:rsidR="00A82082" w:rsidRDefault="00A82082">
            <w:pPr>
              <w:rPr>
                <w:rFonts w:ascii="宋体"/>
              </w:rPr>
            </w:pPr>
          </w:p>
        </w:tc>
        <w:tc>
          <w:tcPr>
            <w:tcW w:w="530" w:type="pct"/>
            <w:shd w:val="clear" w:color="auto" w:fill="auto"/>
          </w:tcPr>
          <w:p w14:paraId="7E78507B" w14:textId="77777777" w:rsidR="00A82082" w:rsidRDefault="00A82082">
            <w:pPr>
              <w:rPr>
                <w:rFonts w:ascii="宋体"/>
              </w:rPr>
            </w:pPr>
          </w:p>
        </w:tc>
        <w:tc>
          <w:tcPr>
            <w:tcW w:w="5" w:type="pct"/>
            <w:shd w:val="clear" w:color="auto" w:fill="auto"/>
          </w:tcPr>
          <w:p w14:paraId="7E78507C" w14:textId="77777777" w:rsidR="00A82082" w:rsidRDefault="00A82082">
            <w:pPr>
              <w:rPr>
                <w:rFonts w:ascii="宋体"/>
              </w:rPr>
            </w:pPr>
          </w:p>
        </w:tc>
        <w:tc>
          <w:tcPr>
            <w:tcW w:w="5" w:type="pct"/>
            <w:shd w:val="clear" w:color="auto" w:fill="auto"/>
          </w:tcPr>
          <w:p w14:paraId="7E78507D" w14:textId="77777777" w:rsidR="00A82082" w:rsidRDefault="00A82082">
            <w:pPr>
              <w:rPr>
                <w:rFonts w:ascii="宋体"/>
              </w:rPr>
            </w:pPr>
          </w:p>
        </w:tc>
        <w:tc>
          <w:tcPr>
            <w:tcW w:w="26" w:type="pct"/>
            <w:shd w:val="clear" w:color="auto" w:fill="auto"/>
          </w:tcPr>
          <w:p w14:paraId="7E78507E" w14:textId="77777777" w:rsidR="00A82082" w:rsidRDefault="00A82082">
            <w:pPr>
              <w:rPr>
                <w:rFonts w:ascii="宋体"/>
              </w:rPr>
            </w:pPr>
          </w:p>
        </w:tc>
        <w:tc>
          <w:tcPr>
            <w:tcW w:w="5" w:type="pct"/>
            <w:shd w:val="clear" w:color="auto" w:fill="auto"/>
          </w:tcPr>
          <w:p w14:paraId="7E78507F" w14:textId="77777777" w:rsidR="00A82082" w:rsidRDefault="00A82082">
            <w:pPr>
              <w:rPr>
                <w:rFonts w:ascii="宋体"/>
              </w:rPr>
            </w:pPr>
          </w:p>
        </w:tc>
        <w:tc>
          <w:tcPr>
            <w:tcW w:w="50" w:type="pct"/>
            <w:shd w:val="clear" w:color="auto" w:fill="auto"/>
          </w:tcPr>
          <w:p w14:paraId="7E785080" w14:textId="77777777" w:rsidR="00A82082" w:rsidRDefault="00A82082">
            <w:pPr>
              <w:rPr>
                <w:rFonts w:ascii="宋体"/>
              </w:rPr>
            </w:pPr>
          </w:p>
        </w:tc>
        <w:tc>
          <w:tcPr>
            <w:tcW w:w="413" w:type="pct"/>
            <w:shd w:val="clear" w:color="auto" w:fill="auto"/>
          </w:tcPr>
          <w:p w14:paraId="7E785081" w14:textId="77777777" w:rsidR="00A82082" w:rsidRDefault="00A82082">
            <w:pPr>
              <w:rPr>
                <w:rFonts w:ascii="宋体"/>
              </w:rPr>
            </w:pPr>
          </w:p>
        </w:tc>
        <w:tc>
          <w:tcPr>
            <w:tcW w:w="5" w:type="pct"/>
            <w:shd w:val="clear" w:color="auto" w:fill="auto"/>
          </w:tcPr>
          <w:p w14:paraId="7E785082" w14:textId="77777777" w:rsidR="00A82082" w:rsidRDefault="00A82082">
            <w:pPr>
              <w:rPr>
                <w:rFonts w:ascii="宋体"/>
              </w:rPr>
            </w:pPr>
          </w:p>
        </w:tc>
        <w:tc>
          <w:tcPr>
            <w:tcW w:w="5" w:type="pct"/>
            <w:shd w:val="clear" w:color="auto" w:fill="auto"/>
          </w:tcPr>
          <w:p w14:paraId="7E785083" w14:textId="77777777" w:rsidR="00A82082" w:rsidRDefault="00A82082">
            <w:pPr>
              <w:rPr>
                <w:rFonts w:ascii="宋体"/>
              </w:rPr>
            </w:pPr>
          </w:p>
        </w:tc>
        <w:tc>
          <w:tcPr>
            <w:tcW w:w="26" w:type="pct"/>
            <w:shd w:val="clear" w:color="auto" w:fill="auto"/>
          </w:tcPr>
          <w:p w14:paraId="7E785084" w14:textId="77777777" w:rsidR="00A82082" w:rsidRDefault="00A82082">
            <w:pPr>
              <w:rPr>
                <w:rFonts w:ascii="宋体"/>
              </w:rPr>
            </w:pPr>
          </w:p>
        </w:tc>
        <w:tc>
          <w:tcPr>
            <w:tcW w:w="5" w:type="pct"/>
            <w:shd w:val="clear" w:color="auto" w:fill="auto"/>
          </w:tcPr>
          <w:p w14:paraId="7E785085" w14:textId="77777777" w:rsidR="00A82082" w:rsidRDefault="00A82082">
            <w:pPr>
              <w:rPr>
                <w:rFonts w:ascii="宋体"/>
              </w:rPr>
            </w:pPr>
          </w:p>
        </w:tc>
        <w:tc>
          <w:tcPr>
            <w:tcW w:w="50" w:type="pct"/>
            <w:shd w:val="clear" w:color="auto" w:fill="auto"/>
          </w:tcPr>
          <w:p w14:paraId="7E785086" w14:textId="77777777" w:rsidR="00A82082" w:rsidRDefault="00A82082">
            <w:pPr>
              <w:rPr>
                <w:rFonts w:ascii="宋体"/>
              </w:rPr>
            </w:pPr>
          </w:p>
        </w:tc>
        <w:tc>
          <w:tcPr>
            <w:tcW w:w="435" w:type="pct"/>
            <w:shd w:val="clear" w:color="auto" w:fill="auto"/>
          </w:tcPr>
          <w:p w14:paraId="7E785087" w14:textId="77777777" w:rsidR="00A82082" w:rsidRDefault="00A82082">
            <w:pPr>
              <w:rPr>
                <w:rFonts w:ascii="宋体"/>
              </w:rPr>
            </w:pPr>
          </w:p>
        </w:tc>
        <w:tc>
          <w:tcPr>
            <w:tcW w:w="5" w:type="pct"/>
            <w:shd w:val="clear" w:color="auto" w:fill="auto"/>
          </w:tcPr>
          <w:p w14:paraId="7E785088" w14:textId="77777777" w:rsidR="00A82082" w:rsidRDefault="00A82082">
            <w:pPr>
              <w:rPr>
                <w:rFonts w:ascii="宋体"/>
              </w:rPr>
            </w:pPr>
          </w:p>
        </w:tc>
        <w:tc>
          <w:tcPr>
            <w:tcW w:w="5" w:type="pct"/>
            <w:shd w:val="clear" w:color="auto" w:fill="auto"/>
          </w:tcPr>
          <w:p w14:paraId="7E785089" w14:textId="77777777" w:rsidR="00A82082" w:rsidRDefault="00A82082">
            <w:pPr>
              <w:rPr>
                <w:rFonts w:ascii="宋体"/>
              </w:rPr>
            </w:pPr>
          </w:p>
        </w:tc>
        <w:tc>
          <w:tcPr>
            <w:tcW w:w="26" w:type="pct"/>
            <w:shd w:val="clear" w:color="auto" w:fill="auto"/>
          </w:tcPr>
          <w:p w14:paraId="7E78508A" w14:textId="77777777" w:rsidR="00A82082" w:rsidRDefault="00A82082">
            <w:pPr>
              <w:rPr>
                <w:rFonts w:ascii="宋体"/>
              </w:rPr>
            </w:pPr>
          </w:p>
        </w:tc>
        <w:tc>
          <w:tcPr>
            <w:tcW w:w="5" w:type="pct"/>
            <w:shd w:val="clear" w:color="auto" w:fill="auto"/>
          </w:tcPr>
          <w:p w14:paraId="7E78508B" w14:textId="77777777" w:rsidR="00A82082" w:rsidRDefault="00A82082">
            <w:pPr>
              <w:rPr>
                <w:rFonts w:ascii="宋体"/>
              </w:rPr>
            </w:pPr>
          </w:p>
        </w:tc>
        <w:tc>
          <w:tcPr>
            <w:tcW w:w="50" w:type="pct"/>
            <w:shd w:val="clear" w:color="auto" w:fill="auto"/>
          </w:tcPr>
          <w:p w14:paraId="7E78508C" w14:textId="77777777" w:rsidR="00A82082" w:rsidRDefault="00A82082">
            <w:pPr>
              <w:rPr>
                <w:rFonts w:ascii="宋体"/>
              </w:rPr>
            </w:pPr>
          </w:p>
        </w:tc>
        <w:tc>
          <w:tcPr>
            <w:tcW w:w="384" w:type="pct"/>
            <w:shd w:val="clear" w:color="auto" w:fill="auto"/>
          </w:tcPr>
          <w:p w14:paraId="7E78508D" w14:textId="77777777" w:rsidR="00A82082" w:rsidRDefault="00A82082">
            <w:pPr>
              <w:rPr>
                <w:rFonts w:ascii="宋体"/>
              </w:rPr>
            </w:pPr>
          </w:p>
        </w:tc>
        <w:tc>
          <w:tcPr>
            <w:tcW w:w="5" w:type="pct"/>
            <w:shd w:val="clear" w:color="auto" w:fill="auto"/>
          </w:tcPr>
          <w:p w14:paraId="7E78508E" w14:textId="77777777" w:rsidR="00A82082" w:rsidRDefault="00A82082">
            <w:pPr>
              <w:rPr>
                <w:rFonts w:ascii="宋体"/>
              </w:rPr>
            </w:pPr>
          </w:p>
        </w:tc>
      </w:tr>
      <w:tr w:rsidR="00A82082" w14:paraId="7E78509B" w14:textId="77777777">
        <w:tc>
          <w:tcPr>
            <w:tcW w:w="0" w:type="auto"/>
            <w:gridSpan w:val="3"/>
            <w:shd w:val="clear" w:color="auto" w:fill="auto"/>
            <w:tcMar>
              <w:top w:w="40" w:type="dxa"/>
              <w:left w:w="20" w:type="dxa"/>
              <w:bottom w:w="40" w:type="dxa"/>
              <w:right w:w="20" w:type="dxa"/>
            </w:tcMar>
            <w:vAlign w:val="bottom"/>
          </w:tcPr>
          <w:p w14:paraId="7E785090" w14:textId="77777777" w:rsidR="00A82082" w:rsidRDefault="00E946F9">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tcPr>
          <w:p w14:paraId="7E78509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092" w14:textId="77777777" w:rsidR="00A82082" w:rsidRDefault="00E946F9">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tcPr>
          <w:p w14:paraId="7E78509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094" w14:textId="77777777" w:rsidR="00A82082" w:rsidRDefault="00E946F9">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tcPr>
          <w:p w14:paraId="7E78509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096" w14:textId="77777777" w:rsidR="00A82082" w:rsidRDefault="00E946F9">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tcPr>
          <w:p w14:paraId="7E78509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098" w14:textId="77777777" w:rsidR="00A82082" w:rsidRDefault="00E946F9">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r>
            <w:r>
              <w:rPr>
                <w:rFonts w:ascii="Times New Roman" w:eastAsia="宋体" w:hAnsi="Times New Roman"/>
                <w:b/>
                <w:bCs/>
                <w:color w:val="000000"/>
                <w:sz w:val="16"/>
                <w:szCs w:val="16"/>
              </w:rP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tcPr>
          <w:p w14:paraId="7E78509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09A" w14:textId="77777777" w:rsidR="00A82082" w:rsidRDefault="00E946F9">
            <w:pPr>
              <w:jc w:val="center"/>
              <w:textAlignment w:val="bottom"/>
            </w:pPr>
            <w:r>
              <w:rPr>
                <w:rFonts w:ascii="Times New Roman" w:eastAsia="宋体" w:hAnsi="Times New Roman"/>
                <w:b/>
                <w:bCs/>
                <w:color w:val="000000"/>
                <w:sz w:val="16"/>
                <w:szCs w:val="16"/>
              </w:rPr>
              <w:t>Total</w:t>
            </w:r>
          </w:p>
        </w:tc>
      </w:tr>
      <w:tr w:rsidR="00A82082" w14:paraId="7E7850B1" w14:textId="77777777">
        <w:tc>
          <w:tcPr>
            <w:tcW w:w="0" w:type="auto"/>
            <w:gridSpan w:val="3"/>
            <w:shd w:val="clear" w:color="auto" w:fill="CCEEFF"/>
            <w:tcMar>
              <w:top w:w="40" w:type="dxa"/>
              <w:left w:w="20" w:type="dxa"/>
              <w:bottom w:w="40" w:type="dxa"/>
              <w:right w:w="20" w:type="dxa"/>
            </w:tcMar>
            <w:vAlign w:val="bottom"/>
          </w:tcPr>
          <w:p w14:paraId="7E78509C" w14:textId="77777777" w:rsidR="00A82082" w:rsidRDefault="00E946F9">
            <w:pPr>
              <w:textAlignment w:val="bottom"/>
            </w:pPr>
            <w:r>
              <w:rPr>
                <w:rFonts w:ascii="Times New Roman" w:eastAsia="宋体" w:hAnsi="Times New Roman"/>
                <w:b/>
                <w:bCs/>
                <w:color w:val="000000"/>
                <w:sz w:val="16"/>
                <w:szCs w:val="16"/>
              </w:rPr>
              <w:t>Balances as of February 1, 2019</w:t>
            </w:r>
          </w:p>
        </w:tc>
        <w:tc>
          <w:tcPr>
            <w:tcW w:w="0" w:type="auto"/>
            <w:gridSpan w:val="3"/>
            <w:shd w:val="clear" w:color="auto" w:fill="CCEEFF"/>
            <w:tcMar>
              <w:top w:w="0" w:type="dxa"/>
              <w:left w:w="20" w:type="dxa"/>
              <w:bottom w:w="0" w:type="dxa"/>
              <w:right w:w="20" w:type="dxa"/>
            </w:tcMar>
          </w:tcPr>
          <w:p w14:paraId="7E78509D"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09E"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09F" w14:textId="77777777" w:rsidR="00A82082" w:rsidRDefault="00E946F9">
            <w:pPr>
              <w:jc w:val="right"/>
              <w:textAlignment w:val="bottom"/>
            </w:pPr>
            <w:r>
              <w:rPr>
                <w:rFonts w:ascii="Times New Roman" w:eastAsia="宋体" w:hAnsi="Times New Roman"/>
                <w:color w:val="000000"/>
                <w:sz w:val="16"/>
                <w:szCs w:val="16"/>
              </w:rPr>
              <w:t>(12,085)</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0A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A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0A2"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0A3" w14:textId="77777777" w:rsidR="00A82082" w:rsidRDefault="00E946F9">
            <w:pPr>
              <w:jc w:val="right"/>
              <w:textAlignment w:val="bottom"/>
            </w:pPr>
            <w:r>
              <w:rPr>
                <w:rFonts w:ascii="Times New Roman" w:eastAsia="宋体" w:hAnsi="Times New Roman"/>
                <w:color w:val="000000"/>
                <w:sz w:val="16"/>
                <w:szCs w:val="16"/>
              </w:rPr>
              <w:t>1,395 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0A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A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0A6"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0A7" w14:textId="77777777" w:rsidR="00A82082" w:rsidRDefault="00E946F9">
            <w:pPr>
              <w:jc w:val="right"/>
              <w:textAlignment w:val="bottom"/>
            </w:pPr>
            <w:r>
              <w:rPr>
                <w:rFonts w:ascii="Times New Roman" w:eastAsia="宋体" w:hAnsi="Times New Roman"/>
                <w:color w:val="000000"/>
                <w:sz w:val="16"/>
                <w:szCs w:val="16"/>
              </w:rPr>
              <w:t>(140)</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0A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A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0AA"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0AB" w14:textId="77777777" w:rsidR="00A82082" w:rsidRDefault="00E946F9">
            <w:pPr>
              <w:jc w:val="right"/>
              <w:textAlignment w:val="bottom"/>
            </w:pPr>
            <w:r>
              <w:rPr>
                <w:rFonts w:ascii="Times New Roman" w:eastAsia="宋体" w:hAnsi="Times New Roman"/>
                <w:color w:val="000000"/>
                <w:sz w:val="16"/>
                <w:szCs w:val="16"/>
              </w:rPr>
              <w:t>(712)</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0A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AD"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0AE"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0AF" w14:textId="77777777" w:rsidR="00A82082" w:rsidRDefault="00E946F9">
            <w:pPr>
              <w:jc w:val="right"/>
              <w:textAlignment w:val="bottom"/>
            </w:pPr>
            <w:r>
              <w:rPr>
                <w:rFonts w:ascii="Times New Roman" w:eastAsia="宋体" w:hAnsi="Times New Roman"/>
                <w:color w:val="000000"/>
                <w:sz w:val="16"/>
                <w:szCs w:val="16"/>
              </w:rPr>
              <w:t>(11,542)</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0B0" w14:textId="77777777" w:rsidR="00A82082" w:rsidRDefault="00A82082">
            <w:pPr>
              <w:jc w:val="right"/>
              <w:rPr>
                <w:rFonts w:ascii="宋体"/>
              </w:rPr>
            </w:pPr>
          </w:p>
        </w:tc>
      </w:tr>
      <w:tr w:rsidR="00A82082" w14:paraId="7E7850C2" w14:textId="77777777">
        <w:tc>
          <w:tcPr>
            <w:tcW w:w="0" w:type="auto"/>
            <w:gridSpan w:val="3"/>
            <w:shd w:val="clear" w:color="auto" w:fill="FFFFFF"/>
            <w:tcMar>
              <w:top w:w="40" w:type="dxa"/>
              <w:left w:w="20" w:type="dxa"/>
              <w:bottom w:w="40" w:type="dxa"/>
              <w:right w:w="20" w:type="dxa"/>
            </w:tcMar>
            <w:vAlign w:val="bottom"/>
          </w:tcPr>
          <w:p w14:paraId="7E7850B2" w14:textId="77777777" w:rsidR="00A82082" w:rsidRDefault="00E946F9">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FFFFFF"/>
            <w:tcMar>
              <w:top w:w="0" w:type="dxa"/>
              <w:left w:w="20" w:type="dxa"/>
              <w:bottom w:w="0" w:type="dxa"/>
              <w:right w:w="20" w:type="dxa"/>
            </w:tcMar>
          </w:tcPr>
          <w:p w14:paraId="7E7850B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0B4" w14:textId="77777777" w:rsidR="00A82082" w:rsidRDefault="00E946F9">
            <w:pPr>
              <w:jc w:val="right"/>
              <w:textAlignment w:val="bottom"/>
            </w:pPr>
            <w:r>
              <w:rPr>
                <w:rFonts w:ascii="Times New Roman" w:eastAsia="宋体" w:hAnsi="Times New Roman"/>
                <w:color w:val="000000"/>
                <w:sz w:val="16"/>
                <w:szCs w:val="16"/>
              </w:rPr>
              <w:t>496 </w:t>
            </w:r>
          </w:p>
        </w:tc>
        <w:tc>
          <w:tcPr>
            <w:tcW w:w="0" w:type="auto"/>
            <w:shd w:val="clear" w:color="auto" w:fill="FFFFFF"/>
            <w:tcMar>
              <w:top w:w="40" w:type="dxa"/>
              <w:left w:w="0" w:type="dxa"/>
              <w:bottom w:w="40" w:type="dxa"/>
              <w:right w:w="20" w:type="dxa"/>
            </w:tcMar>
            <w:vAlign w:val="bottom"/>
          </w:tcPr>
          <w:p w14:paraId="7E7850B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B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0B7" w14:textId="77777777" w:rsidR="00A82082" w:rsidRDefault="00E946F9">
            <w:pPr>
              <w:jc w:val="right"/>
              <w:textAlignment w:val="bottom"/>
            </w:pPr>
            <w:r>
              <w:rPr>
                <w:rFonts w:ascii="Times New Roman" w:eastAsia="宋体" w:hAnsi="Times New Roman"/>
                <w:color w:val="000000"/>
                <w:sz w:val="16"/>
                <w:szCs w:val="16"/>
              </w:rPr>
              <w:t>108 </w:t>
            </w:r>
          </w:p>
        </w:tc>
        <w:tc>
          <w:tcPr>
            <w:tcW w:w="0" w:type="auto"/>
            <w:shd w:val="clear" w:color="auto" w:fill="FFFFFF"/>
            <w:tcMar>
              <w:top w:w="40" w:type="dxa"/>
              <w:left w:w="0" w:type="dxa"/>
              <w:bottom w:w="40" w:type="dxa"/>
              <w:right w:w="20" w:type="dxa"/>
            </w:tcMar>
            <w:vAlign w:val="bottom"/>
          </w:tcPr>
          <w:p w14:paraId="7E7850B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B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0BA" w14:textId="77777777" w:rsidR="00A82082" w:rsidRDefault="00E946F9">
            <w:pPr>
              <w:jc w:val="right"/>
              <w:textAlignment w:val="bottom"/>
            </w:pPr>
            <w:r>
              <w:rPr>
                <w:rFonts w:ascii="Times New Roman" w:eastAsia="宋体" w:hAnsi="Times New Roman"/>
                <w:color w:val="000000"/>
                <w:sz w:val="16"/>
                <w:szCs w:val="16"/>
              </w:rPr>
              <w:t>(145)</w:t>
            </w:r>
          </w:p>
        </w:tc>
        <w:tc>
          <w:tcPr>
            <w:tcW w:w="0" w:type="auto"/>
            <w:shd w:val="clear" w:color="auto" w:fill="FFFFFF"/>
            <w:tcMar>
              <w:top w:w="40" w:type="dxa"/>
              <w:left w:w="0" w:type="dxa"/>
              <w:bottom w:w="40" w:type="dxa"/>
              <w:right w:w="20" w:type="dxa"/>
            </w:tcMar>
            <w:vAlign w:val="bottom"/>
          </w:tcPr>
          <w:p w14:paraId="7E7850B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B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0BD" w14:textId="77777777" w:rsidR="00A82082" w:rsidRDefault="00E946F9">
            <w:pPr>
              <w:jc w:val="right"/>
              <w:textAlignment w:val="bottom"/>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bottom"/>
          </w:tcPr>
          <w:p w14:paraId="7E7850B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B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0C0" w14:textId="77777777" w:rsidR="00A82082" w:rsidRDefault="00E946F9">
            <w:pPr>
              <w:jc w:val="right"/>
              <w:textAlignment w:val="bottom"/>
            </w:pPr>
            <w:r>
              <w:rPr>
                <w:rFonts w:ascii="Times New Roman" w:eastAsia="宋体" w:hAnsi="Times New Roman"/>
                <w:color w:val="000000"/>
                <w:sz w:val="16"/>
                <w:szCs w:val="16"/>
              </w:rPr>
              <w:t>452 </w:t>
            </w:r>
          </w:p>
        </w:tc>
        <w:tc>
          <w:tcPr>
            <w:tcW w:w="0" w:type="auto"/>
            <w:shd w:val="clear" w:color="auto" w:fill="FFFFFF"/>
            <w:tcMar>
              <w:top w:w="40" w:type="dxa"/>
              <w:left w:w="0" w:type="dxa"/>
              <w:bottom w:w="40" w:type="dxa"/>
              <w:right w:w="20" w:type="dxa"/>
            </w:tcMar>
            <w:vAlign w:val="bottom"/>
          </w:tcPr>
          <w:p w14:paraId="7E7850C1" w14:textId="77777777" w:rsidR="00A82082" w:rsidRDefault="00A82082">
            <w:pPr>
              <w:jc w:val="right"/>
              <w:rPr>
                <w:rFonts w:ascii="宋体"/>
              </w:rPr>
            </w:pPr>
          </w:p>
        </w:tc>
      </w:tr>
      <w:tr w:rsidR="00A82082" w14:paraId="7E7850D3" w14:textId="77777777">
        <w:tc>
          <w:tcPr>
            <w:tcW w:w="0" w:type="auto"/>
            <w:gridSpan w:val="3"/>
            <w:shd w:val="clear" w:color="auto" w:fill="CCEEFF"/>
            <w:tcMar>
              <w:top w:w="40" w:type="dxa"/>
              <w:left w:w="20" w:type="dxa"/>
              <w:bottom w:w="40" w:type="dxa"/>
              <w:right w:w="20" w:type="dxa"/>
            </w:tcMar>
            <w:vAlign w:val="bottom"/>
          </w:tcPr>
          <w:p w14:paraId="7E7850C3" w14:textId="77777777" w:rsidR="00A82082" w:rsidRDefault="00E946F9">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tcPr>
          <w:p w14:paraId="7E7850C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C5" w14:textId="77777777" w:rsidR="00A82082" w:rsidRDefault="00E946F9">
            <w:pPr>
              <w:jc w:val="right"/>
              <w:textAlignment w:val="bottom"/>
            </w:pPr>
            <w:r>
              <w:rPr>
                <w:rFonts w:ascii="Times New Roman" w:eastAsia="宋体" w:hAnsi="Times New Roman"/>
                <w:color w:val="000000"/>
                <w:sz w:val="16"/>
                <w:szCs w:val="16"/>
              </w:rPr>
              <w:t>(23)</w:t>
            </w:r>
          </w:p>
        </w:tc>
        <w:tc>
          <w:tcPr>
            <w:tcW w:w="0" w:type="auto"/>
            <w:shd w:val="clear" w:color="auto" w:fill="CCEEFF"/>
            <w:tcMar>
              <w:top w:w="40" w:type="dxa"/>
              <w:left w:w="0" w:type="dxa"/>
              <w:bottom w:w="40" w:type="dxa"/>
              <w:right w:w="20" w:type="dxa"/>
            </w:tcMar>
            <w:vAlign w:val="bottom"/>
          </w:tcPr>
          <w:p w14:paraId="7E7850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C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C8"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7E7850C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C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CB" w14:textId="77777777" w:rsidR="00A82082" w:rsidRDefault="00E946F9">
            <w:pPr>
              <w:jc w:val="right"/>
              <w:textAlignment w:val="bottom"/>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bottom"/>
          </w:tcPr>
          <w:p w14:paraId="7E7850C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C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CE" w14:textId="77777777" w:rsidR="00A82082" w:rsidRDefault="00E946F9">
            <w:pPr>
              <w:jc w:val="right"/>
              <w:textAlignment w:val="bottom"/>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bottom"/>
          </w:tcPr>
          <w:p w14:paraId="7E7850C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D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D1" w14:textId="77777777" w:rsidR="00A82082" w:rsidRDefault="00E946F9">
            <w:pPr>
              <w:jc w:val="right"/>
              <w:textAlignment w:val="bottom"/>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bottom"/>
          </w:tcPr>
          <w:p w14:paraId="7E7850D2" w14:textId="77777777" w:rsidR="00A82082" w:rsidRDefault="00A82082">
            <w:pPr>
              <w:jc w:val="right"/>
              <w:rPr>
                <w:rFonts w:ascii="宋体"/>
              </w:rPr>
            </w:pPr>
          </w:p>
        </w:tc>
      </w:tr>
      <w:tr w:rsidR="00A82082" w14:paraId="7E7850E9" w14:textId="77777777">
        <w:tc>
          <w:tcPr>
            <w:tcW w:w="0" w:type="auto"/>
            <w:gridSpan w:val="3"/>
            <w:shd w:val="clear" w:color="auto" w:fill="FFFFFF"/>
            <w:tcMar>
              <w:top w:w="40" w:type="dxa"/>
              <w:left w:w="20" w:type="dxa"/>
              <w:bottom w:w="40" w:type="dxa"/>
              <w:right w:w="20" w:type="dxa"/>
            </w:tcMar>
            <w:vAlign w:val="bottom"/>
          </w:tcPr>
          <w:p w14:paraId="7E7850D4" w14:textId="77777777" w:rsidR="00A82082" w:rsidRDefault="00E946F9">
            <w:pPr>
              <w:textAlignment w:val="bottom"/>
            </w:pPr>
            <w:r>
              <w:rPr>
                <w:rFonts w:ascii="Times New Roman" w:eastAsia="宋体" w:hAnsi="Times New Roman"/>
                <w:b/>
                <w:bCs/>
                <w:color w:val="000000"/>
                <w:sz w:val="16"/>
                <w:szCs w:val="16"/>
              </w:rPr>
              <w:t>Balances as of April 30, 2019</w:t>
            </w:r>
          </w:p>
        </w:tc>
        <w:tc>
          <w:tcPr>
            <w:tcW w:w="0" w:type="auto"/>
            <w:gridSpan w:val="3"/>
            <w:shd w:val="clear" w:color="auto" w:fill="FFFFFF"/>
            <w:tcMar>
              <w:top w:w="0" w:type="dxa"/>
              <w:left w:w="20" w:type="dxa"/>
              <w:bottom w:w="0" w:type="dxa"/>
              <w:right w:w="20" w:type="dxa"/>
            </w:tcMar>
          </w:tcPr>
          <w:p w14:paraId="7E7850D5"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0D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0D7" w14:textId="77777777" w:rsidR="00A82082" w:rsidRDefault="00E946F9">
            <w:pPr>
              <w:jc w:val="right"/>
              <w:textAlignment w:val="center"/>
            </w:pPr>
            <w:r>
              <w:rPr>
                <w:rFonts w:ascii="Times New Roman" w:eastAsia="宋体" w:hAnsi="Times New Roman"/>
                <w:color w:val="000000"/>
                <w:sz w:val="16"/>
                <w:szCs w:val="16"/>
              </w:rPr>
              <w:t>(11,612)</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0D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D9"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0D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0DB" w14:textId="77777777" w:rsidR="00A82082" w:rsidRDefault="00E946F9">
            <w:pPr>
              <w:jc w:val="right"/>
              <w:textAlignment w:val="center"/>
            </w:pPr>
            <w:r>
              <w:rPr>
                <w:rFonts w:ascii="Times New Roman" w:eastAsia="宋体" w:hAnsi="Times New Roman"/>
                <w:color w:val="000000"/>
                <w:sz w:val="16"/>
                <w:szCs w:val="16"/>
              </w:rPr>
              <w:t>1,503 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0D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DD"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0D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0DF" w14:textId="77777777" w:rsidR="00A82082" w:rsidRDefault="00E946F9">
            <w:pPr>
              <w:jc w:val="right"/>
              <w:textAlignment w:val="center"/>
            </w:pPr>
            <w:r>
              <w:rPr>
                <w:rFonts w:ascii="Times New Roman" w:eastAsia="宋体" w:hAnsi="Times New Roman"/>
                <w:color w:val="000000"/>
                <w:sz w:val="16"/>
                <w:szCs w:val="16"/>
              </w:rPr>
              <w:t>(271)</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0E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E1"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0E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0E3" w14:textId="77777777" w:rsidR="00A82082" w:rsidRDefault="00E946F9">
            <w:pPr>
              <w:jc w:val="right"/>
              <w:textAlignment w:val="center"/>
            </w:pPr>
            <w:r>
              <w:rPr>
                <w:rFonts w:ascii="Times New Roman" w:eastAsia="宋体" w:hAnsi="Times New Roman"/>
                <w:color w:val="000000"/>
                <w:sz w:val="16"/>
                <w:szCs w:val="16"/>
              </w:rPr>
              <w:t>(711)</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0E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0E5"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0E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0E7" w14:textId="77777777" w:rsidR="00A82082" w:rsidRDefault="00E946F9">
            <w:pPr>
              <w:jc w:val="right"/>
              <w:textAlignment w:val="center"/>
            </w:pPr>
            <w:r>
              <w:rPr>
                <w:rFonts w:ascii="Times New Roman" w:eastAsia="宋体" w:hAnsi="Times New Roman"/>
                <w:color w:val="000000"/>
                <w:sz w:val="16"/>
                <w:szCs w:val="16"/>
              </w:rPr>
              <w:t>(11,091)</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0E8" w14:textId="77777777" w:rsidR="00A82082" w:rsidRDefault="00A82082">
            <w:pPr>
              <w:jc w:val="right"/>
              <w:rPr>
                <w:rFonts w:ascii="宋体"/>
              </w:rPr>
            </w:pPr>
          </w:p>
        </w:tc>
      </w:tr>
      <w:tr w:rsidR="00A82082" w14:paraId="7E7850F5" w14:textId="77777777">
        <w:trPr>
          <w:hidden/>
        </w:trPr>
        <w:tc>
          <w:tcPr>
            <w:tcW w:w="0" w:type="auto"/>
            <w:gridSpan w:val="3"/>
            <w:shd w:val="clear" w:color="auto" w:fill="auto"/>
          </w:tcPr>
          <w:p w14:paraId="7E7850EA" w14:textId="77777777" w:rsidR="00A82082" w:rsidRDefault="00A82082">
            <w:pPr>
              <w:rPr>
                <w:rFonts w:ascii="宋体"/>
                <w:vanish/>
              </w:rPr>
            </w:pPr>
          </w:p>
        </w:tc>
        <w:tc>
          <w:tcPr>
            <w:tcW w:w="0" w:type="auto"/>
            <w:gridSpan w:val="3"/>
            <w:shd w:val="clear" w:color="auto" w:fill="auto"/>
          </w:tcPr>
          <w:p w14:paraId="7E7850EB" w14:textId="77777777" w:rsidR="00A82082" w:rsidRDefault="00A82082">
            <w:pPr>
              <w:rPr>
                <w:rFonts w:ascii="宋体"/>
                <w:vanish/>
              </w:rPr>
            </w:pPr>
          </w:p>
        </w:tc>
        <w:tc>
          <w:tcPr>
            <w:tcW w:w="0" w:type="auto"/>
            <w:gridSpan w:val="3"/>
            <w:shd w:val="clear" w:color="auto" w:fill="auto"/>
          </w:tcPr>
          <w:p w14:paraId="7E7850EC" w14:textId="77777777" w:rsidR="00A82082" w:rsidRDefault="00A82082">
            <w:pPr>
              <w:rPr>
                <w:rFonts w:ascii="宋体"/>
                <w:vanish/>
              </w:rPr>
            </w:pPr>
          </w:p>
        </w:tc>
        <w:tc>
          <w:tcPr>
            <w:tcW w:w="0" w:type="auto"/>
            <w:gridSpan w:val="3"/>
            <w:shd w:val="clear" w:color="auto" w:fill="auto"/>
          </w:tcPr>
          <w:p w14:paraId="7E7850ED" w14:textId="77777777" w:rsidR="00A82082" w:rsidRDefault="00A82082">
            <w:pPr>
              <w:rPr>
                <w:rFonts w:ascii="宋体"/>
                <w:vanish/>
              </w:rPr>
            </w:pPr>
          </w:p>
        </w:tc>
        <w:tc>
          <w:tcPr>
            <w:tcW w:w="0" w:type="auto"/>
            <w:gridSpan w:val="3"/>
            <w:shd w:val="clear" w:color="auto" w:fill="auto"/>
          </w:tcPr>
          <w:p w14:paraId="7E7850EE" w14:textId="77777777" w:rsidR="00A82082" w:rsidRDefault="00A82082">
            <w:pPr>
              <w:rPr>
                <w:rFonts w:ascii="宋体"/>
                <w:vanish/>
              </w:rPr>
            </w:pPr>
          </w:p>
        </w:tc>
        <w:tc>
          <w:tcPr>
            <w:tcW w:w="0" w:type="auto"/>
            <w:gridSpan w:val="3"/>
            <w:shd w:val="clear" w:color="auto" w:fill="auto"/>
          </w:tcPr>
          <w:p w14:paraId="7E7850EF" w14:textId="77777777" w:rsidR="00A82082" w:rsidRDefault="00A82082">
            <w:pPr>
              <w:rPr>
                <w:rFonts w:ascii="宋体"/>
                <w:vanish/>
              </w:rPr>
            </w:pPr>
          </w:p>
        </w:tc>
        <w:tc>
          <w:tcPr>
            <w:tcW w:w="0" w:type="auto"/>
            <w:gridSpan w:val="3"/>
            <w:shd w:val="clear" w:color="auto" w:fill="auto"/>
          </w:tcPr>
          <w:p w14:paraId="7E7850F0" w14:textId="77777777" w:rsidR="00A82082" w:rsidRDefault="00A82082">
            <w:pPr>
              <w:rPr>
                <w:rFonts w:ascii="宋体"/>
                <w:vanish/>
              </w:rPr>
            </w:pPr>
          </w:p>
        </w:tc>
        <w:tc>
          <w:tcPr>
            <w:tcW w:w="0" w:type="auto"/>
            <w:gridSpan w:val="3"/>
            <w:shd w:val="clear" w:color="auto" w:fill="auto"/>
          </w:tcPr>
          <w:p w14:paraId="7E7850F1" w14:textId="77777777" w:rsidR="00A82082" w:rsidRDefault="00A82082">
            <w:pPr>
              <w:rPr>
                <w:rFonts w:ascii="宋体"/>
                <w:vanish/>
              </w:rPr>
            </w:pPr>
          </w:p>
        </w:tc>
        <w:tc>
          <w:tcPr>
            <w:tcW w:w="0" w:type="auto"/>
            <w:gridSpan w:val="3"/>
            <w:shd w:val="clear" w:color="auto" w:fill="auto"/>
          </w:tcPr>
          <w:p w14:paraId="7E7850F2" w14:textId="77777777" w:rsidR="00A82082" w:rsidRDefault="00A82082">
            <w:pPr>
              <w:rPr>
                <w:rFonts w:ascii="宋体"/>
                <w:vanish/>
              </w:rPr>
            </w:pPr>
          </w:p>
        </w:tc>
        <w:tc>
          <w:tcPr>
            <w:tcW w:w="0" w:type="auto"/>
            <w:gridSpan w:val="3"/>
            <w:shd w:val="clear" w:color="auto" w:fill="auto"/>
          </w:tcPr>
          <w:p w14:paraId="7E7850F3" w14:textId="77777777" w:rsidR="00A82082" w:rsidRDefault="00A82082">
            <w:pPr>
              <w:rPr>
                <w:rFonts w:ascii="宋体"/>
                <w:vanish/>
              </w:rPr>
            </w:pPr>
          </w:p>
        </w:tc>
        <w:tc>
          <w:tcPr>
            <w:tcW w:w="0" w:type="auto"/>
            <w:gridSpan w:val="3"/>
            <w:shd w:val="clear" w:color="auto" w:fill="auto"/>
          </w:tcPr>
          <w:p w14:paraId="7E7850F4" w14:textId="77777777" w:rsidR="00A82082" w:rsidRDefault="00A82082">
            <w:pPr>
              <w:rPr>
                <w:rFonts w:ascii="宋体"/>
                <w:vanish/>
              </w:rPr>
            </w:pPr>
          </w:p>
        </w:tc>
      </w:tr>
      <w:tr w:rsidR="00A82082" w14:paraId="7E785106" w14:textId="77777777">
        <w:tc>
          <w:tcPr>
            <w:tcW w:w="0" w:type="auto"/>
            <w:gridSpan w:val="3"/>
            <w:shd w:val="clear" w:color="auto" w:fill="CCEEFF"/>
            <w:tcMar>
              <w:top w:w="40" w:type="dxa"/>
              <w:left w:w="20" w:type="dxa"/>
              <w:bottom w:w="40" w:type="dxa"/>
              <w:right w:w="20" w:type="dxa"/>
            </w:tcMar>
            <w:vAlign w:val="bottom"/>
          </w:tcPr>
          <w:p w14:paraId="7E7850F6" w14:textId="77777777" w:rsidR="00A82082" w:rsidRDefault="00E946F9">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CCEEFF"/>
            <w:tcMar>
              <w:top w:w="0" w:type="dxa"/>
              <w:left w:w="20" w:type="dxa"/>
              <w:bottom w:w="0" w:type="dxa"/>
              <w:right w:w="20" w:type="dxa"/>
            </w:tcMar>
          </w:tcPr>
          <w:p w14:paraId="7E7850F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F8" w14:textId="77777777" w:rsidR="00A82082" w:rsidRDefault="00E946F9">
            <w:pPr>
              <w:jc w:val="right"/>
              <w:textAlignment w:val="bottom"/>
            </w:pPr>
            <w:r>
              <w:rPr>
                <w:rFonts w:ascii="Times New Roman" w:eastAsia="宋体" w:hAnsi="Times New Roman"/>
                <w:color w:val="000000"/>
                <w:sz w:val="16"/>
                <w:szCs w:val="16"/>
              </w:rPr>
              <w:t>(165)</w:t>
            </w:r>
          </w:p>
        </w:tc>
        <w:tc>
          <w:tcPr>
            <w:tcW w:w="0" w:type="auto"/>
            <w:shd w:val="clear" w:color="auto" w:fill="CCEEFF"/>
            <w:tcMar>
              <w:top w:w="40" w:type="dxa"/>
              <w:left w:w="0" w:type="dxa"/>
              <w:bottom w:w="40" w:type="dxa"/>
              <w:right w:w="20" w:type="dxa"/>
            </w:tcMar>
            <w:vAlign w:val="bottom"/>
          </w:tcPr>
          <w:p w14:paraId="7E7850F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F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FB" w14:textId="77777777" w:rsidR="00A82082" w:rsidRDefault="00E946F9">
            <w:pPr>
              <w:jc w:val="right"/>
              <w:textAlignment w:val="bottom"/>
            </w:pPr>
            <w:r>
              <w:rPr>
                <w:rFonts w:ascii="Times New Roman" w:eastAsia="宋体" w:hAnsi="Times New Roman"/>
                <w:color w:val="000000"/>
                <w:sz w:val="16"/>
                <w:szCs w:val="16"/>
              </w:rPr>
              <w:t>140 </w:t>
            </w:r>
          </w:p>
        </w:tc>
        <w:tc>
          <w:tcPr>
            <w:tcW w:w="0" w:type="auto"/>
            <w:shd w:val="clear" w:color="auto" w:fill="CCEEFF"/>
            <w:tcMar>
              <w:top w:w="40" w:type="dxa"/>
              <w:left w:w="0" w:type="dxa"/>
              <w:bottom w:w="40" w:type="dxa"/>
              <w:right w:w="20" w:type="dxa"/>
            </w:tcMar>
            <w:vAlign w:val="bottom"/>
          </w:tcPr>
          <w:p w14:paraId="7E7850F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0F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0FE" w14:textId="77777777" w:rsidR="00A82082" w:rsidRDefault="00E946F9">
            <w:pPr>
              <w:jc w:val="right"/>
              <w:textAlignment w:val="bottom"/>
            </w:pPr>
            <w:r>
              <w:rPr>
                <w:rFonts w:ascii="Times New Roman" w:eastAsia="宋体" w:hAnsi="Times New Roman"/>
                <w:color w:val="000000"/>
                <w:sz w:val="16"/>
                <w:szCs w:val="16"/>
              </w:rPr>
              <w:t>(172)</w:t>
            </w:r>
          </w:p>
        </w:tc>
        <w:tc>
          <w:tcPr>
            <w:tcW w:w="0" w:type="auto"/>
            <w:shd w:val="clear" w:color="auto" w:fill="CCEEFF"/>
            <w:tcMar>
              <w:top w:w="40" w:type="dxa"/>
              <w:left w:w="0" w:type="dxa"/>
              <w:bottom w:w="40" w:type="dxa"/>
              <w:right w:w="20" w:type="dxa"/>
            </w:tcMar>
            <w:vAlign w:val="bottom"/>
          </w:tcPr>
          <w:p w14:paraId="7E7850F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0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01" w14:textId="77777777" w:rsidR="00A82082" w:rsidRDefault="00E946F9">
            <w:pPr>
              <w:jc w:val="right"/>
              <w:textAlignment w:val="bottom"/>
            </w:pPr>
            <w:r>
              <w:rPr>
                <w:rFonts w:ascii="Times New Roman" w:eastAsia="宋体" w:hAnsi="Times New Roman"/>
                <w:color w:val="000000"/>
                <w:sz w:val="16"/>
                <w:szCs w:val="16"/>
              </w:rPr>
              <w:t>(5)</w:t>
            </w:r>
          </w:p>
        </w:tc>
        <w:tc>
          <w:tcPr>
            <w:tcW w:w="0" w:type="auto"/>
            <w:shd w:val="clear" w:color="auto" w:fill="CCEEFF"/>
            <w:tcMar>
              <w:top w:w="40" w:type="dxa"/>
              <w:left w:w="0" w:type="dxa"/>
              <w:bottom w:w="40" w:type="dxa"/>
              <w:right w:w="20" w:type="dxa"/>
            </w:tcMar>
            <w:vAlign w:val="bottom"/>
          </w:tcPr>
          <w:p w14:paraId="7E78510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0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04" w14:textId="77777777" w:rsidR="00A82082" w:rsidRDefault="00E946F9">
            <w:pPr>
              <w:jc w:val="right"/>
              <w:textAlignment w:val="bottom"/>
            </w:pPr>
            <w:r>
              <w:rPr>
                <w:rFonts w:ascii="Times New Roman" w:eastAsia="宋体" w:hAnsi="Times New Roman"/>
                <w:color w:val="000000"/>
                <w:sz w:val="16"/>
                <w:szCs w:val="16"/>
              </w:rPr>
              <w:t>(202)</w:t>
            </w:r>
          </w:p>
        </w:tc>
        <w:tc>
          <w:tcPr>
            <w:tcW w:w="0" w:type="auto"/>
            <w:shd w:val="clear" w:color="auto" w:fill="CCEEFF"/>
            <w:tcMar>
              <w:top w:w="40" w:type="dxa"/>
              <w:left w:w="0" w:type="dxa"/>
              <w:bottom w:w="40" w:type="dxa"/>
              <w:right w:w="20" w:type="dxa"/>
            </w:tcMar>
            <w:vAlign w:val="bottom"/>
          </w:tcPr>
          <w:p w14:paraId="7E785105" w14:textId="77777777" w:rsidR="00A82082" w:rsidRDefault="00A82082">
            <w:pPr>
              <w:jc w:val="right"/>
              <w:rPr>
                <w:rFonts w:ascii="宋体"/>
              </w:rPr>
            </w:pPr>
          </w:p>
        </w:tc>
      </w:tr>
      <w:tr w:rsidR="00A82082" w14:paraId="7E785117" w14:textId="77777777">
        <w:tc>
          <w:tcPr>
            <w:tcW w:w="0" w:type="auto"/>
            <w:gridSpan w:val="3"/>
            <w:shd w:val="clear" w:color="auto" w:fill="FFFFFF"/>
            <w:tcMar>
              <w:top w:w="40" w:type="dxa"/>
              <w:left w:w="20" w:type="dxa"/>
              <w:bottom w:w="40" w:type="dxa"/>
              <w:right w:w="20" w:type="dxa"/>
            </w:tcMar>
            <w:vAlign w:val="bottom"/>
          </w:tcPr>
          <w:p w14:paraId="7E785107" w14:textId="77777777" w:rsidR="00A82082" w:rsidRDefault="00E946F9">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tcPr>
          <w:p w14:paraId="7E78510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09"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7E78510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0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0C"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7E78510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0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0F" w14:textId="77777777" w:rsidR="00A82082" w:rsidRDefault="00E946F9">
            <w:pPr>
              <w:jc w:val="right"/>
              <w:textAlignment w:val="bottom"/>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bottom"/>
          </w:tcPr>
          <w:p w14:paraId="7E78511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1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12" w14:textId="77777777" w:rsidR="00A82082" w:rsidRDefault="00E946F9">
            <w:pPr>
              <w:jc w:val="right"/>
              <w:textAlignment w:val="bottom"/>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bottom"/>
          </w:tcPr>
          <w:p w14:paraId="7E78511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1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15" w14:textId="77777777" w:rsidR="00A82082" w:rsidRDefault="00E946F9">
            <w:pPr>
              <w:jc w:val="right"/>
              <w:textAlignment w:val="bottom"/>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bottom"/>
          </w:tcPr>
          <w:p w14:paraId="7E785116" w14:textId="77777777" w:rsidR="00A82082" w:rsidRDefault="00A82082">
            <w:pPr>
              <w:jc w:val="right"/>
              <w:rPr>
                <w:rFonts w:ascii="宋体"/>
              </w:rPr>
            </w:pPr>
          </w:p>
        </w:tc>
      </w:tr>
      <w:tr w:rsidR="00A82082" w14:paraId="7E78512D" w14:textId="77777777">
        <w:tc>
          <w:tcPr>
            <w:tcW w:w="0" w:type="auto"/>
            <w:gridSpan w:val="3"/>
            <w:shd w:val="clear" w:color="auto" w:fill="CCEEFF"/>
            <w:tcMar>
              <w:top w:w="40" w:type="dxa"/>
              <w:left w:w="20" w:type="dxa"/>
              <w:bottom w:w="40" w:type="dxa"/>
              <w:right w:w="20" w:type="dxa"/>
            </w:tcMar>
            <w:vAlign w:val="bottom"/>
          </w:tcPr>
          <w:p w14:paraId="7E785118" w14:textId="77777777" w:rsidR="00A82082" w:rsidRDefault="00E946F9">
            <w:pPr>
              <w:textAlignment w:val="bottom"/>
            </w:pPr>
            <w:r>
              <w:rPr>
                <w:rFonts w:ascii="Times New Roman" w:eastAsia="宋体" w:hAnsi="Times New Roman"/>
                <w:b/>
                <w:bCs/>
                <w:color w:val="000000"/>
                <w:sz w:val="16"/>
                <w:szCs w:val="16"/>
              </w:rPr>
              <w:t>Balances as of July 31, 2019</w:t>
            </w:r>
          </w:p>
        </w:tc>
        <w:tc>
          <w:tcPr>
            <w:tcW w:w="0" w:type="auto"/>
            <w:gridSpan w:val="3"/>
            <w:shd w:val="clear" w:color="auto" w:fill="CCEEFF"/>
            <w:tcMar>
              <w:top w:w="0" w:type="dxa"/>
              <w:left w:w="20" w:type="dxa"/>
              <w:bottom w:w="0" w:type="dxa"/>
              <w:right w:w="20" w:type="dxa"/>
            </w:tcMar>
          </w:tcPr>
          <w:p w14:paraId="7E78511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11A"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11B" w14:textId="77777777" w:rsidR="00A82082" w:rsidRDefault="00E946F9">
            <w:pPr>
              <w:jc w:val="right"/>
              <w:textAlignment w:val="bottom"/>
            </w:pPr>
            <w:r>
              <w:rPr>
                <w:rFonts w:ascii="Times New Roman" w:eastAsia="宋体" w:hAnsi="Times New Roman"/>
                <w:color w:val="000000"/>
                <w:sz w:val="16"/>
                <w:szCs w:val="16"/>
              </w:rPr>
              <w:t>(11,777)</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11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1D"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11E"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11F" w14:textId="77777777" w:rsidR="00A82082" w:rsidRDefault="00E946F9">
            <w:pPr>
              <w:jc w:val="right"/>
              <w:textAlignment w:val="bottom"/>
            </w:pPr>
            <w:r>
              <w:rPr>
                <w:rFonts w:ascii="Times New Roman" w:eastAsia="宋体" w:hAnsi="Times New Roman"/>
                <w:color w:val="000000"/>
                <w:sz w:val="16"/>
                <w:szCs w:val="16"/>
              </w:rPr>
              <w:t>1,643 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12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2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122"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123" w14:textId="77777777" w:rsidR="00A82082" w:rsidRDefault="00E946F9">
            <w:pPr>
              <w:jc w:val="right"/>
              <w:textAlignment w:val="bottom"/>
            </w:pPr>
            <w:r>
              <w:rPr>
                <w:rFonts w:ascii="Times New Roman" w:eastAsia="宋体" w:hAnsi="Times New Roman"/>
                <w:color w:val="000000"/>
                <w:sz w:val="16"/>
                <w:szCs w:val="16"/>
              </w:rPr>
              <w:t>(429)</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12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2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126"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127" w14:textId="77777777" w:rsidR="00A82082" w:rsidRDefault="00E946F9">
            <w:pPr>
              <w:jc w:val="right"/>
              <w:textAlignment w:val="bottom"/>
            </w:pPr>
            <w:r>
              <w:rPr>
                <w:rFonts w:ascii="Times New Roman" w:eastAsia="宋体" w:hAnsi="Times New Roman"/>
                <w:color w:val="000000"/>
                <w:sz w:val="16"/>
                <w:szCs w:val="16"/>
              </w:rPr>
              <w:t>(707)</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12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2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12A"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12B" w14:textId="77777777" w:rsidR="00A82082" w:rsidRDefault="00E946F9">
            <w:pPr>
              <w:jc w:val="right"/>
              <w:textAlignment w:val="bottom"/>
            </w:pPr>
            <w:r>
              <w:rPr>
                <w:rFonts w:ascii="Times New Roman" w:eastAsia="宋体" w:hAnsi="Times New Roman"/>
                <w:color w:val="000000"/>
                <w:sz w:val="16"/>
                <w:szCs w:val="16"/>
              </w:rPr>
              <w:t>(11,270)</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12C" w14:textId="77777777" w:rsidR="00A82082" w:rsidRDefault="00A82082">
            <w:pPr>
              <w:jc w:val="right"/>
              <w:rPr>
                <w:rFonts w:ascii="宋体"/>
              </w:rPr>
            </w:pPr>
          </w:p>
        </w:tc>
      </w:tr>
      <w:tr w:rsidR="00A82082" w14:paraId="7E78513E" w14:textId="77777777">
        <w:tc>
          <w:tcPr>
            <w:tcW w:w="0" w:type="auto"/>
            <w:gridSpan w:val="3"/>
            <w:shd w:val="clear" w:color="auto" w:fill="FFFFFF"/>
            <w:tcMar>
              <w:top w:w="40" w:type="dxa"/>
              <w:left w:w="20" w:type="dxa"/>
              <w:bottom w:w="40" w:type="dxa"/>
              <w:right w:w="20" w:type="dxa"/>
            </w:tcMar>
            <w:vAlign w:val="bottom"/>
          </w:tcPr>
          <w:p w14:paraId="7E78512E" w14:textId="77777777" w:rsidR="00A82082" w:rsidRDefault="00E946F9">
            <w:pPr>
              <w:textAlignment w:val="bottom"/>
            </w:pPr>
            <w:r>
              <w:rPr>
                <w:rFonts w:ascii="Times New Roman" w:eastAsia="宋体" w:hAnsi="Times New Roman"/>
                <w:color w:val="000000"/>
                <w:sz w:val="16"/>
                <w:szCs w:val="16"/>
              </w:rPr>
              <w:t>Other comprehensive inc</w:t>
            </w:r>
            <w:r>
              <w:rPr>
                <w:rFonts w:ascii="Times New Roman" w:eastAsia="宋体" w:hAnsi="Times New Roman"/>
                <w:color w:val="000000"/>
                <w:sz w:val="16"/>
                <w:szCs w:val="16"/>
              </w:rPr>
              <w:t>ome (loss) before reclassifications, net</w:t>
            </w:r>
          </w:p>
        </w:tc>
        <w:tc>
          <w:tcPr>
            <w:tcW w:w="0" w:type="auto"/>
            <w:gridSpan w:val="3"/>
            <w:shd w:val="clear" w:color="auto" w:fill="FFFFFF"/>
            <w:tcMar>
              <w:top w:w="0" w:type="dxa"/>
              <w:left w:w="20" w:type="dxa"/>
              <w:bottom w:w="0" w:type="dxa"/>
              <w:right w:w="20" w:type="dxa"/>
            </w:tcMar>
          </w:tcPr>
          <w:p w14:paraId="7E78512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30" w14:textId="77777777" w:rsidR="00A82082" w:rsidRDefault="00E946F9">
            <w:pPr>
              <w:jc w:val="right"/>
              <w:textAlignment w:val="bottom"/>
            </w:pPr>
            <w:r>
              <w:rPr>
                <w:rFonts w:ascii="Times New Roman" w:eastAsia="宋体" w:hAnsi="Times New Roman"/>
                <w:color w:val="000000"/>
                <w:sz w:val="16"/>
                <w:szCs w:val="16"/>
              </w:rPr>
              <w:t>(995)</w:t>
            </w:r>
          </w:p>
        </w:tc>
        <w:tc>
          <w:tcPr>
            <w:tcW w:w="0" w:type="auto"/>
            <w:shd w:val="clear" w:color="auto" w:fill="FFFFFF"/>
            <w:tcMar>
              <w:top w:w="40" w:type="dxa"/>
              <w:left w:w="0" w:type="dxa"/>
              <w:bottom w:w="40" w:type="dxa"/>
              <w:right w:w="20" w:type="dxa"/>
            </w:tcMar>
            <w:vAlign w:val="bottom"/>
          </w:tcPr>
          <w:p w14:paraId="7E78513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3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33" w14:textId="77777777" w:rsidR="00A82082" w:rsidRDefault="00E946F9">
            <w:pPr>
              <w:jc w:val="right"/>
              <w:textAlignment w:val="bottom"/>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bottom"/>
          </w:tcPr>
          <w:p w14:paraId="7E78513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3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36" w14:textId="77777777" w:rsidR="00A82082" w:rsidRDefault="00E946F9">
            <w:pPr>
              <w:jc w:val="right"/>
              <w:textAlignment w:val="bottom"/>
            </w:pPr>
            <w:r>
              <w:rPr>
                <w:rFonts w:ascii="Times New Roman" w:eastAsia="宋体" w:hAnsi="Times New Roman"/>
                <w:color w:val="000000"/>
                <w:sz w:val="16"/>
                <w:szCs w:val="16"/>
              </w:rPr>
              <w:t>(12)</w:t>
            </w:r>
          </w:p>
        </w:tc>
        <w:tc>
          <w:tcPr>
            <w:tcW w:w="0" w:type="auto"/>
            <w:shd w:val="clear" w:color="auto" w:fill="FFFFFF"/>
            <w:tcMar>
              <w:top w:w="40" w:type="dxa"/>
              <w:left w:w="0" w:type="dxa"/>
              <w:bottom w:w="40" w:type="dxa"/>
              <w:right w:w="20" w:type="dxa"/>
            </w:tcMar>
            <w:vAlign w:val="bottom"/>
          </w:tcPr>
          <w:p w14:paraId="7E78513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3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39" w14:textId="77777777" w:rsidR="00A82082" w:rsidRDefault="00E946F9">
            <w:pPr>
              <w:jc w:val="right"/>
              <w:textAlignment w:val="bottom"/>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bottom"/>
          </w:tcPr>
          <w:p w14:paraId="7E78513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3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13C" w14:textId="77777777" w:rsidR="00A82082" w:rsidRDefault="00E946F9">
            <w:pPr>
              <w:jc w:val="right"/>
              <w:textAlignment w:val="bottom"/>
            </w:pPr>
            <w:r>
              <w:rPr>
                <w:rFonts w:ascii="Times New Roman" w:eastAsia="宋体" w:hAnsi="Times New Roman"/>
                <w:color w:val="000000"/>
                <w:sz w:val="16"/>
                <w:szCs w:val="16"/>
              </w:rPr>
              <w:t>(1,114)</w:t>
            </w:r>
          </w:p>
        </w:tc>
        <w:tc>
          <w:tcPr>
            <w:tcW w:w="0" w:type="auto"/>
            <w:shd w:val="clear" w:color="auto" w:fill="FFFFFF"/>
            <w:tcMar>
              <w:top w:w="40" w:type="dxa"/>
              <w:left w:w="0" w:type="dxa"/>
              <w:bottom w:w="40" w:type="dxa"/>
              <w:right w:w="20" w:type="dxa"/>
            </w:tcMar>
            <w:vAlign w:val="bottom"/>
          </w:tcPr>
          <w:p w14:paraId="7E78513D" w14:textId="77777777" w:rsidR="00A82082" w:rsidRDefault="00A82082">
            <w:pPr>
              <w:jc w:val="right"/>
              <w:rPr>
                <w:rFonts w:ascii="宋体"/>
              </w:rPr>
            </w:pPr>
          </w:p>
        </w:tc>
      </w:tr>
      <w:tr w:rsidR="00A82082" w14:paraId="7E78514F" w14:textId="77777777">
        <w:tc>
          <w:tcPr>
            <w:tcW w:w="0" w:type="auto"/>
            <w:gridSpan w:val="3"/>
            <w:shd w:val="clear" w:color="auto" w:fill="CCEEFF"/>
            <w:tcMar>
              <w:top w:w="40" w:type="dxa"/>
              <w:left w:w="20" w:type="dxa"/>
              <w:bottom w:w="40" w:type="dxa"/>
              <w:right w:w="20" w:type="dxa"/>
            </w:tcMar>
            <w:vAlign w:val="bottom"/>
          </w:tcPr>
          <w:p w14:paraId="7E78513F" w14:textId="77777777" w:rsidR="00A82082" w:rsidRDefault="00E946F9">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tcPr>
          <w:p w14:paraId="7E78514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41"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7E78514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4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44"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7E78514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4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47" w14:textId="77777777" w:rsidR="00A82082" w:rsidRDefault="00E946F9">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7E78514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4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4A" w14:textId="77777777" w:rsidR="00A82082" w:rsidRDefault="00E946F9">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7E78514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4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14D" w14:textId="77777777" w:rsidR="00A82082" w:rsidRDefault="00E946F9">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7E78514E" w14:textId="77777777" w:rsidR="00A82082" w:rsidRDefault="00A82082">
            <w:pPr>
              <w:jc w:val="right"/>
              <w:rPr>
                <w:rFonts w:ascii="宋体"/>
              </w:rPr>
            </w:pPr>
          </w:p>
        </w:tc>
      </w:tr>
      <w:tr w:rsidR="00A82082" w14:paraId="7E785165" w14:textId="77777777">
        <w:tc>
          <w:tcPr>
            <w:tcW w:w="0" w:type="auto"/>
            <w:gridSpan w:val="3"/>
            <w:shd w:val="clear" w:color="auto" w:fill="auto"/>
            <w:tcMar>
              <w:top w:w="40" w:type="dxa"/>
              <w:left w:w="20" w:type="dxa"/>
              <w:bottom w:w="40" w:type="dxa"/>
              <w:right w:w="20" w:type="dxa"/>
            </w:tcMar>
            <w:vAlign w:val="bottom"/>
          </w:tcPr>
          <w:p w14:paraId="7E785150" w14:textId="77777777" w:rsidR="00A82082" w:rsidRDefault="00E946F9">
            <w:pPr>
              <w:textAlignment w:val="bottom"/>
            </w:pPr>
            <w:r>
              <w:rPr>
                <w:rFonts w:ascii="Times New Roman" w:eastAsia="宋体" w:hAnsi="Times New Roman"/>
                <w:b/>
                <w:bCs/>
                <w:color w:val="000000"/>
                <w:sz w:val="16"/>
                <w:szCs w:val="16"/>
              </w:rPr>
              <w:t>Balances as of October 31, 2019</w:t>
            </w:r>
          </w:p>
        </w:tc>
        <w:tc>
          <w:tcPr>
            <w:tcW w:w="0" w:type="auto"/>
            <w:gridSpan w:val="3"/>
            <w:shd w:val="clear" w:color="auto" w:fill="FFFFFF"/>
            <w:tcMar>
              <w:top w:w="0" w:type="dxa"/>
              <w:left w:w="20" w:type="dxa"/>
              <w:bottom w:w="0" w:type="dxa"/>
              <w:right w:w="20" w:type="dxa"/>
            </w:tcMar>
          </w:tcPr>
          <w:p w14:paraId="7E785151"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152"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153" w14:textId="77777777" w:rsidR="00A82082" w:rsidRDefault="00E946F9">
            <w:pPr>
              <w:jc w:val="right"/>
              <w:textAlignment w:val="bottom"/>
            </w:pPr>
            <w:r>
              <w:rPr>
                <w:rFonts w:ascii="Times New Roman" w:eastAsia="宋体" w:hAnsi="Times New Roman"/>
                <w:color w:val="000000"/>
                <w:sz w:val="16"/>
                <w:szCs w:val="16"/>
              </w:rPr>
              <w:t>(12,772)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15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55"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156"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157" w14:textId="77777777" w:rsidR="00A82082" w:rsidRDefault="00E946F9">
            <w:pPr>
              <w:jc w:val="right"/>
              <w:textAlignment w:val="bottom"/>
            </w:pPr>
            <w:r>
              <w:rPr>
                <w:rFonts w:ascii="Times New Roman" w:eastAsia="宋体" w:hAnsi="Times New Roman"/>
                <w:color w:val="000000"/>
                <w:sz w:val="16"/>
                <w:szCs w:val="16"/>
              </w:rPr>
              <w:t>1,530 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15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59"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15A"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15B" w14:textId="77777777" w:rsidR="00A82082" w:rsidRDefault="00E946F9">
            <w:pPr>
              <w:jc w:val="right"/>
              <w:textAlignment w:val="bottom"/>
            </w:pPr>
            <w:r>
              <w:rPr>
                <w:rFonts w:ascii="Times New Roman" w:eastAsia="宋体" w:hAnsi="Times New Roman"/>
                <w:color w:val="000000"/>
                <w:sz w:val="16"/>
                <w:szCs w:val="16"/>
              </w:rPr>
              <w:t>(441)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15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5D"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15E"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15F" w14:textId="77777777" w:rsidR="00A82082" w:rsidRDefault="00E946F9">
            <w:pPr>
              <w:jc w:val="right"/>
              <w:textAlignment w:val="bottom"/>
            </w:pPr>
            <w:r>
              <w:rPr>
                <w:rFonts w:ascii="Times New Roman" w:eastAsia="宋体" w:hAnsi="Times New Roman"/>
                <w:color w:val="000000"/>
                <w:sz w:val="16"/>
                <w:szCs w:val="16"/>
              </w:rPr>
              <w:t>(699)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16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61"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162"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163" w14:textId="77777777" w:rsidR="00A82082" w:rsidRDefault="00E946F9">
            <w:pPr>
              <w:jc w:val="right"/>
              <w:textAlignment w:val="bottom"/>
            </w:pPr>
            <w:r>
              <w:rPr>
                <w:rFonts w:ascii="Times New Roman" w:eastAsia="宋体" w:hAnsi="Times New Roman"/>
                <w:color w:val="000000"/>
                <w:sz w:val="16"/>
                <w:szCs w:val="16"/>
              </w:rPr>
              <w:t>(12,382)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164" w14:textId="77777777" w:rsidR="00A82082" w:rsidRDefault="00A82082">
            <w:pPr>
              <w:jc w:val="right"/>
              <w:rPr>
                <w:rFonts w:ascii="宋体"/>
              </w:rPr>
            </w:pPr>
          </w:p>
        </w:tc>
      </w:tr>
    </w:tbl>
    <w:p w14:paraId="7E785166" w14:textId="77777777" w:rsidR="00A82082" w:rsidRDefault="00E946F9">
      <w:pPr>
        <w:jc w:val="center"/>
      </w:pPr>
      <w:r>
        <w:rPr>
          <w:rFonts w:ascii="Times New Roman" w:eastAsia="宋体" w:hAnsi="Times New Roman"/>
          <w:color w:val="000000"/>
          <w:sz w:val="20"/>
          <w:szCs w:val="20"/>
        </w:rPr>
        <w:t>10</w:t>
      </w:r>
    </w:p>
    <w:p w14:paraId="7E785167" w14:textId="77777777" w:rsidR="00A82082" w:rsidRDefault="00E946F9">
      <w:r>
        <w:pict w14:anchorId="7E786152">
          <v:rect id="_x0000_i1034" style="width:415.3pt;height:1.5pt" o:hralign="center" o:hrstd="t" o:hr="t" fillcolor="#a0a0a0" stroked="f"/>
        </w:pict>
      </w:r>
    </w:p>
    <w:p w14:paraId="7E785168" w14:textId="77777777" w:rsidR="00A82082" w:rsidRDefault="00E946F9">
      <w:hyperlink r:id="rId57" w:anchor="i5c815528a95c4409b9043de534639b9a_7" w:history="1">
        <w:r>
          <w:rPr>
            <w:rStyle w:val="a5"/>
            <w:rFonts w:ascii="Times New Roman" w:eastAsia="宋体" w:hAnsi="Times New Roman"/>
            <w:sz w:val="20"/>
            <w:szCs w:val="20"/>
          </w:rPr>
          <w:t>Table of C</w:t>
        </w:r>
      </w:hyperlink>
      <w:hyperlink r:id="rId58" w:anchor="i5c815528a95c4409b9043de534639b9a_7" w:history="1">
        <w:r>
          <w:rPr>
            <w:rStyle w:val="a5"/>
            <w:rFonts w:ascii="Times New Roman" w:eastAsia="宋体" w:hAnsi="Times New Roman"/>
            <w:sz w:val="20"/>
            <w:szCs w:val="20"/>
          </w:rPr>
          <w:t>ontents</w:t>
        </w:r>
      </w:hyperlink>
    </w:p>
    <w:p w14:paraId="7E785169" w14:textId="77777777" w:rsidR="00A82082" w:rsidRDefault="00E946F9">
      <w:pPr>
        <w:spacing w:before="180" w:after="100"/>
      </w:pPr>
      <w:r>
        <w:rPr>
          <w:rFonts w:ascii="Times New Roman" w:eastAsia="宋体" w:hAnsi="Times New Roman"/>
          <w:color w:val="000000"/>
          <w:sz w:val="20"/>
          <w:szCs w:val="20"/>
        </w:rPr>
        <w:t>Amounts reclassified from accumulated other comprehensive loss to net income for derivative instruments are recorded in interest, net, in the Company's Condensed Consolidated Statements of I</w:t>
      </w:r>
      <w:r>
        <w:rPr>
          <w:rFonts w:ascii="Times New Roman" w:eastAsia="宋体" w:hAnsi="Times New Roman"/>
          <w:color w:val="000000"/>
          <w:sz w:val="20"/>
          <w:szCs w:val="20"/>
        </w:rPr>
        <w:t>ncome. Amounts reclassified from accumulated other comprehensive loss to net income for the minimum pension liability, as well as the cumulative translation resulting from a disposition of a business, are recorded in other gains and losses in the Company's</w:t>
      </w:r>
      <w:r>
        <w:rPr>
          <w:rFonts w:ascii="Times New Roman" w:eastAsia="宋体" w:hAnsi="Times New Roman"/>
          <w:color w:val="000000"/>
          <w:sz w:val="20"/>
          <w:szCs w:val="20"/>
        </w:rPr>
        <w:t xml:space="preserve"> Condensed Consolidated Statements of Income. Amounts related to the Company's derivatives expected to be reclassified from accumulated other comprehensive loss to net income during the next 12 months are not significant.</w:t>
      </w:r>
    </w:p>
    <w:p w14:paraId="7E78516A" w14:textId="77777777" w:rsidR="00A82082" w:rsidRDefault="00E946F9">
      <w:pPr>
        <w:spacing w:before="240"/>
      </w:pPr>
      <w:r>
        <w:rPr>
          <w:rFonts w:ascii="Times New Roman" w:eastAsia="宋体" w:hAnsi="Times New Roman"/>
          <w:b/>
          <w:bCs/>
          <w:color w:val="000000"/>
          <w:sz w:val="20"/>
          <w:szCs w:val="20"/>
        </w:rPr>
        <w:t xml:space="preserve">Note 4. Short-term Borrowings and </w:t>
      </w:r>
      <w:r>
        <w:rPr>
          <w:rFonts w:ascii="Times New Roman" w:eastAsia="宋体" w:hAnsi="Times New Roman"/>
          <w:b/>
          <w:bCs/>
          <w:color w:val="000000"/>
          <w:sz w:val="20"/>
          <w:szCs w:val="20"/>
        </w:rPr>
        <w:t>Long-term Debt</w:t>
      </w:r>
    </w:p>
    <w:p w14:paraId="7E78516B" w14:textId="77777777" w:rsidR="00A82082" w:rsidRDefault="00E946F9">
      <w:pPr>
        <w:spacing w:before="60" w:after="100"/>
      </w:pPr>
      <w:r>
        <w:rPr>
          <w:rFonts w:ascii="Times New Roman" w:eastAsia="宋体" w:hAnsi="Times New Roman"/>
          <w:color w:val="000000"/>
          <w:sz w:val="20"/>
          <w:szCs w:val="20"/>
        </w:rPr>
        <w:t>The Company has various committed lines of credit in the U.S. that are used to support its commercial paper program. In April 2020, the Company renewed and extended its existing 364-day revolving credit facility of $10.0 billion. In total, t</w:t>
      </w:r>
      <w:r>
        <w:rPr>
          <w:rFonts w:ascii="Times New Roman" w:eastAsia="宋体" w:hAnsi="Times New Roman"/>
          <w:color w:val="000000"/>
          <w:sz w:val="20"/>
          <w:szCs w:val="20"/>
        </w:rPr>
        <w:t>he Company had committed lines of credit in the U.S. of $15.0 billion at October 31, 2020 and January 31, 2020, all undrawn.</w:t>
      </w:r>
    </w:p>
    <w:p w14:paraId="7E78516C" w14:textId="77777777" w:rsidR="00A82082" w:rsidRDefault="00E946F9">
      <w:pPr>
        <w:spacing w:before="60" w:after="180"/>
      </w:pPr>
      <w:r>
        <w:rPr>
          <w:rFonts w:ascii="Times New Roman" w:eastAsia="宋体" w:hAnsi="Times New Roman"/>
          <w:color w:val="000000"/>
          <w:sz w:val="20"/>
          <w:szCs w:val="20"/>
        </w:rPr>
        <w:t>The following table provides the changes in the Company's long-term debt for the nine months ended October 31, 2020:</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A82082" w14:paraId="7E785182" w14:textId="77777777">
        <w:tc>
          <w:tcPr>
            <w:tcW w:w="50" w:type="pct"/>
            <w:shd w:val="clear" w:color="auto" w:fill="auto"/>
          </w:tcPr>
          <w:p w14:paraId="7E78516D" w14:textId="77777777" w:rsidR="00A82082" w:rsidRDefault="00A82082">
            <w:pPr>
              <w:rPr>
                <w:rFonts w:ascii="宋体"/>
              </w:rPr>
            </w:pPr>
          </w:p>
        </w:tc>
        <w:tc>
          <w:tcPr>
            <w:tcW w:w="2613" w:type="pct"/>
            <w:shd w:val="clear" w:color="auto" w:fill="auto"/>
          </w:tcPr>
          <w:p w14:paraId="7E78516E" w14:textId="77777777" w:rsidR="00A82082" w:rsidRDefault="00A82082">
            <w:pPr>
              <w:rPr>
                <w:rFonts w:ascii="宋体"/>
              </w:rPr>
            </w:pPr>
          </w:p>
        </w:tc>
        <w:tc>
          <w:tcPr>
            <w:tcW w:w="5" w:type="pct"/>
            <w:shd w:val="clear" w:color="auto" w:fill="auto"/>
          </w:tcPr>
          <w:p w14:paraId="7E78516F" w14:textId="77777777" w:rsidR="00A82082" w:rsidRDefault="00A82082">
            <w:pPr>
              <w:rPr>
                <w:rFonts w:ascii="宋体"/>
              </w:rPr>
            </w:pPr>
          </w:p>
        </w:tc>
        <w:tc>
          <w:tcPr>
            <w:tcW w:w="5" w:type="pct"/>
            <w:shd w:val="clear" w:color="auto" w:fill="auto"/>
          </w:tcPr>
          <w:p w14:paraId="7E785170" w14:textId="77777777" w:rsidR="00A82082" w:rsidRDefault="00A82082">
            <w:pPr>
              <w:rPr>
                <w:rFonts w:ascii="宋体"/>
              </w:rPr>
            </w:pPr>
          </w:p>
        </w:tc>
        <w:tc>
          <w:tcPr>
            <w:tcW w:w="26" w:type="pct"/>
            <w:shd w:val="clear" w:color="auto" w:fill="auto"/>
          </w:tcPr>
          <w:p w14:paraId="7E785171" w14:textId="77777777" w:rsidR="00A82082" w:rsidRDefault="00A82082">
            <w:pPr>
              <w:rPr>
                <w:rFonts w:ascii="宋体"/>
              </w:rPr>
            </w:pPr>
          </w:p>
        </w:tc>
        <w:tc>
          <w:tcPr>
            <w:tcW w:w="5" w:type="pct"/>
            <w:shd w:val="clear" w:color="auto" w:fill="auto"/>
          </w:tcPr>
          <w:p w14:paraId="7E785172" w14:textId="77777777" w:rsidR="00A82082" w:rsidRDefault="00A82082">
            <w:pPr>
              <w:rPr>
                <w:rFonts w:ascii="宋体"/>
              </w:rPr>
            </w:pPr>
          </w:p>
        </w:tc>
        <w:tc>
          <w:tcPr>
            <w:tcW w:w="50" w:type="pct"/>
            <w:shd w:val="clear" w:color="auto" w:fill="auto"/>
          </w:tcPr>
          <w:p w14:paraId="7E785173" w14:textId="77777777" w:rsidR="00A82082" w:rsidRDefault="00A82082">
            <w:pPr>
              <w:rPr>
                <w:rFonts w:ascii="宋体"/>
              </w:rPr>
            </w:pPr>
          </w:p>
        </w:tc>
        <w:tc>
          <w:tcPr>
            <w:tcW w:w="685" w:type="pct"/>
            <w:shd w:val="clear" w:color="auto" w:fill="auto"/>
          </w:tcPr>
          <w:p w14:paraId="7E785174" w14:textId="77777777" w:rsidR="00A82082" w:rsidRDefault="00A82082">
            <w:pPr>
              <w:rPr>
                <w:rFonts w:ascii="宋体"/>
              </w:rPr>
            </w:pPr>
          </w:p>
        </w:tc>
        <w:tc>
          <w:tcPr>
            <w:tcW w:w="5" w:type="pct"/>
            <w:shd w:val="clear" w:color="auto" w:fill="auto"/>
          </w:tcPr>
          <w:p w14:paraId="7E785175" w14:textId="77777777" w:rsidR="00A82082" w:rsidRDefault="00A82082">
            <w:pPr>
              <w:rPr>
                <w:rFonts w:ascii="宋体"/>
              </w:rPr>
            </w:pPr>
          </w:p>
        </w:tc>
        <w:tc>
          <w:tcPr>
            <w:tcW w:w="5" w:type="pct"/>
            <w:shd w:val="clear" w:color="auto" w:fill="auto"/>
          </w:tcPr>
          <w:p w14:paraId="7E785176" w14:textId="77777777" w:rsidR="00A82082" w:rsidRDefault="00A82082">
            <w:pPr>
              <w:rPr>
                <w:rFonts w:ascii="宋体"/>
              </w:rPr>
            </w:pPr>
          </w:p>
        </w:tc>
        <w:tc>
          <w:tcPr>
            <w:tcW w:w="26" w:type="pct"/>
            <w:shd w:val="clear" w:color="auto" w:fill="auto"/>
          </w:tcPr>
          <w:p w14:paraId="7E785177" w14:textId="77777777" w:rsidR="00A82082" w:rsidRDefault="00A82082">
            <w:pPr>
              <w:rPr>
                <w:rFonts w:ascii="宋体"/>
              </w:rPr>
            </w:pPr>
          </w:p>
        </w:tc>
        <w:tc>
          <w:tcPr>
            <w:tcW w:w="5" w:type="pct"/>
            <w:shd w:val="clear" w:color="auto" w:fill="auto"/>
          </w:tcPr>
          <w:p w14:paraId="7E785178" w14:textId="77777777" w:rsidR="00A82082" w:rsidRDefault="00A82082">
            <w:pPr>
              <w:rPr>
                <w:rFonts w:ascii="宋体"/>
              </w:rPr>
            </w:pPr>
          </w:p>
        </w:tc>
        <w:tc>
          <w:tcPr>
            <w:tcW w:w="50" w:type="pct"/>
            <w:shd w:val="clear" w:color="auto" w:fill="auto"/>
          </w:tcPr>
          <w:p w14:paraId="7E785179" w14:textId="77777777" w:rsidR="00A82082" w:rsidRDefault="00A82082">
            <w:pPr>
              <w:rPr>
                <w:rFonts w:ascii="宋体"/>
              </w:rPr>
            </w:pPr>
          </w:p>
        </w:tc>
        <w:tc>
          <w:tcPr>
            <w:tcW w:w="685" w:type="pct"/>
            <w:shd w:val="clear" w:color="auto" w:fill="auto"/>
          </w:tcPr>
          <w:p w14:paraId="7E78517A" w14:textId="77777777" w:rsidR="00A82082" w:rsidRDefault="00A82082">
            <w:pPr>
              <w:rPr>
                <w:rFonts w:ascii="宋体"/>
              </w:rPr>
            </w:pPr>
          </w:p>
        </w:tc>
        <w:tc>
          <w:tcPr>
            <w:tcW w:w="5" w:type="pct"/>
            <w:shd w:val="clear" w:color="auto" w:fill="auto"/>
          </w:tcPr>
          <w:p w14:paraId="7E78517B" w14:textId="77777777" w:rsidR="00A82082" w:rsidRDefault="00A82082">
            <w:pPr>
              <w:rPr>
                <w:rFonts w:ascii="宋体"/>
              </w:rPr>
            </w:pPr>
          </w:p>
        </w:tc>
        <w:tc>
          <w:tcPr>
            <w:tcW w:w="5" w:type="pct"/>
            <w:shd w:val="clear" w:color="auto" w:fill="auto"/>
          </w:tcPr>
          <w:p w14:paraId="7E78517C" w14:textId="77777777" w:rsidR="00A82082" w:rsidRDefault="00A82082">
            <w:pPr>
              <w:rPr>
                <w:rFonts w:ascii="宋体"/>
              </w:rPr>
            </w:pPr>
          </w:p>
        </w:tc>
        <w:tc>
          <w:tcPr>
            <w:tcW w:w="26" w:type="pct"/>
            <w:shd w:val="clear" w:color="auto" w:fill="auto"/>
          </w:tcPr>
          <w:p w14:paraId="7E78517D" w14:textId="77777777" w:rsidR="00A82082" w:rsidRDefault="00A82082">
            <w:pPr>
              <w:rPr>
                <w:rFonts w:ascii="宋体"/>
              </w:rPr>
            </w:pPr>
          </w:p>
        </w:tc>
        <w:tc>
          <w:tcPr>
            <w:tcW w:w="5" w:type="pct"/>
            <w:shd w:val="clear" w:color="auto" w:fill="auto"/>
          </w:tcPr>
          <w:p w14:paraId="7E78517E" w14:textId="77777777" w:rsidR="00A82082" w:rsidRDefault="00A82082">
            <w:pPr>
              <w:rPr>
                <w:rFonts w:ascii="宋体"/>
              </w:rPr>
            </w:pPr>
          </w:p>
        </w:tc>
        <w:tc>
          <w:tcPr>
            <w:tcW w:w="50" w:type="pct"/>
            <w:shd w:val="clear" w:color="auto" w:fill="auto"/>
          </w:tcPr>
          <w:p w14:paraId="7E78517F" w14:textId="77777777" w:rsidR="00A82082" w:rsidRDefault="00A82082">
            <w:pPr>
              <w:rPr>
                <w:rFonts w:ascii="宋体"/>
              </w:rPr>
            </w:pPr>
          </w:p>
        </w:tc>
        <w:tc>
          <w:tcPr>
            <w:tcW w:w="685" w:type="pct"/>
            <w:shd w:val="clear" w:color="auto" w:fill="auto"/>
          </w:tcPr>
          <w:p w14:paraId="7E785180" w14:textId="77777777" w:rsidR="00A82082" w:rsidRDefault="00A82082">
            <w:pPr>
              <w:rPr>
                <w:rFonts w:ascii="宋体"/>
              </w:rPr>
            </w:pPr>
          </w:p>
        </w:tc>
        <w:tc>
          <w:tcPr>
            <w:tcW w:w="5" w:type="pct"/>
            <w:shd w:val="clear" w:color="auto" w:fill="auto"/>
          </w:tcPr>
          <w:p w14:paraId="7E785181" w14:textId="77777777" w:rsidR="00A82082" w:rsidRDefault="00A82082">
            <w:pPr>
              <w:rPr>
                <w:rFonts w:ascii="宋体"/>
              </w:rPr>
            </w:pPr>
          </w:p>
        </w:tc>
      </w:tr>
      <w:tr w:rsidR="00A82082" w14:paraId="7E78518A" w14:textId="77777777">
        <w:tc>
          <w:tcPr>
            <w:tcW w:w="0" w:type="auto"/>
            <w:gridSpan w:val="3"/>
            <w:shd w:val="clear" w:color="auto" w:fill="auto"/>
            <w:tcMar>
              <w:top w:w="40" w:type="dxa"/>
              <w:left w:w="20" w:type="dxa"/>
              <w:bottom w:w="40" w:type="dxa"/>
              <w:right w:w="20" w:type="dxa"/>
            </w:tcMar>
            <w:vAlign w:val="bottom"/>
          </w:tcPr>
          <w:p w14:paraId="7E785183"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184"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185" w14:textId="77777777" w:rsidR="00A82082" w:rsidRDefault="00E946F9">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tcPr>
          <w:p w14:paraId="7E785186"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187" w14:textId="77777777" w:rsidR="00A82082" w:rsidRDefault="00E946F9">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tcPr>
          <w:p w14:paraId="7E785188"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189" w14:textId="77777777" w:rsidR="00A82082" w:rsidRDefault="00E946F9">
            <w:pPr>
              <w:jc w:val="center"/>
              <w:textAlignment w:val="bottom"/>
            </w:pPr>
            <w:r>
              <w:rPr>
                <w:rFonts w:ascii="Times New Roman" w:eastAsia="宋体" w:hAnsi="Times New Roman"/>
                <w:b/>
                <w:bCs/>
                <w:color w:val="000000"/>
                <w:sz w:val="16"/>
                <w:szCs w:val="16"/>
              </w:rPr>
              <w:t>Total</w:t>
            </w:r>
          </w:p>
        </w:tc>
      </w:tr>
      <w:tr w:rsidR="00A82082" w14:paraId="7E785198" w14:textId="77777777">
        <w:tc>
          <w:tcPr>
            <w:tcW w:w="0" w:type="auto"/>
            <w:gridSpan w:val="3"/>
            <w:shd w:val="clear" w:color="auto" w:fill="CCEEFF"/>
            <w:tcMar>
              <w:top w:w="40" w:type="dxa"/>
              <w:left w:w="20" w:type="dxa"/>
              <w:bottom w:w="40" w:type="dxa"/>
              <w:right w:w="20" w:type="dxa"/>
            </w:tcMar>
            <w:vAlign w:val="center"/>
          </w:tcPr>
          <w:p w14:paraId="7E78518B" w14:textId="77777777" w:rsidR="00A82082" w:rsidRDefault="00E946F9">
            <w:pPr>
              <w:textAlignment w:val="center"/>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tcPr>
          <w:p w14:paraId="7E78518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18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18E" w14:textId="77777777" w:rsidR="00A82082" w:rsidRDefault="00E946F9">
            <w:pPr>
              <w:jc w:val="right"/>
              <w:textAlignment w:val="center"/>
            </w:pPr>
            <w:r>
              <w:rPr>
                <w:rFonts w:ascii="Times New Roman" w:eastAsia="宋体" w:hAnsi="Times New Roman"/>
                <w:color w:val="000000"/>
                <w:sz w:val="16"/>
                <w:szCs w:val="16"/>
              </w:rPr>
              <w:t>5,362 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18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9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19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192" w14:textId="77777777" w:rsidR="00A82082" w:rsidRDefault="00E946F9">
            <w:pPr>
              <w:jc w:val="right"/>
              <w:textAlignment w:val="center"/>
            </w:pPr>
            <w:r>
              <w:rPr>
                <w:rFonts w:ascii="Times New Roman" w:eastAsia="宋体" w:hAnsi="Times New Roman"/>
                <w:color w:val="000000"/>
                <w:sz w:val="16"/>
                <w:szCs w:val="16"/>
              </w:rPr>
              <w:t>43,714 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19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9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19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196" w14:textId="77777777" w:rsidR="00A82082" w:rsidRDefault="00E946F9">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197" w14:textId="77777777" w:rsidR="00A82082" w:rsidRDefault="00A82082">
            <w:pPr>
              <w:jc w:val="right"/>
              <w:rPr>
                <w:rFonts w:ascii="宋体"/>
              </w:rPr>
            </w:pPr>
          </w:p>
        </w:tc>
      </w:tr>
      <w:tr w:rsidR="00A82082" w14:paraId="7E7851A0" w14:textId="77777777">
        <w:trPr>
          <w:hidden/>
        </w:trPr>
        <w:tc>
          <w:tcPr>
            <w:tcW w:w="0" w:type="auto"/>
            <w:gridSpan w:val="3"/>
            <w:shd w:val="clear" w:color="auto" w:fill="auto"/>
          </w:tcPr>
          <w:p w14:paraId="7E785199" w14:textId="77777777" w:rsidR="00A82082" w:rsidRDefault="00A82082">
            <w:pPr>
              <w:rPr>
                <w:rFonts w:ascii="宋体"/>
                <w:vanish/>
              </w:rPr>
            </w:pPr>
          </w:p>
        </w:tc>
        <w:tc>
          <w:tcPr>
            <w:tcW w:w="0" w:type="auto"/>
            <w:gridSpan w:val="3"/>
            <w:shd w:val="clear" w:color="auto" w:fill="auto"/>
          </w:tcPr>
          <w:p w14:paraId="7E78519A" w14:textId="77777777" w:rsidR="00A82082" w:rsidRDefault="00A82082">
            <w:pPr>
              <w:rPr>
                <w:rFonts w:ascii="宋体"/>
                <w:vanish/>
              </w:rPr>
            </w:pPr>
          </w:p>
        </w:tc>
        <w:tc>
          <w:tcPr>
            <w:tcW w:w="0" w:type="auto"/>
            <w:gridSpan w:val="3"/>
            <w:shd w:val="clear" w:color="auto" w:fill="auto"/>
          </w:tcPr>
          <w:p w14:paraId="7E78519B" w14:textId="77777777" w:rsidR="00A82082" w:rsidRDefault="00A82082">
            <w:pPr>
              <w:rPr>
                <w:rFonts w:ascii="宋体"/>
                <w:vanish/>
              </w:rPr>
            </w:pPr>
          </w:p>
        </w:tc>
        <w:tc>
          <w:tcPr>
            <w:tcW w:w="0" w:type="auto"/>
            <w:gridSpan w:val="3"/>
            <w:shd w:val="clear" w:color="auto" w:fill="auto"/>
          </w:tcPr>
          <w:p w14:paraId="7E78519C" w14:textId="77777777" w:rsidR="00A82082" w:rsidRDefault="00A82082">
            <w:pPr>
              <w:rPr>
                <w:rFonts w:ascii="宋体"/>
                <w:vanish/>
              </w:rPr>
            </w:pPr>
          </w:p>
        </w:tc>
        <w:tc>
          <w:tcPr>
            <w:tcW w:w="0" w:type="auto"/>
            <w:gridSpan w:val="3"/>
            <w:shd w:val="clear" w:color="auto" w:fill="auto"/>
          </w:tcPr>
          <w:p w14:paraId="7E78519D" w14:textId="77777777" w:rsidR="00A82082" w:rsidRDefault="00A82082">
            <w:pPr>
              <w:rPr>
                <w:rFonts w:ascii="宋体"/>
                <w:vanish/>
              </w:rPr>
            </w:pPr>
          </w:p>
        </w:tc>
        <w:tc>
          <w:tcPr>
            <w:tcW w:w="0" w:type="auto"/>
            <w:gridSpan w:val="3"/>
            <w:shd w:val="clear" w:color="auto" w:fill="auto"/>
          </w:tcPr>
          <w:p w14:paraId="7E78519E" w14:textId="77777777" w:rsidR="00A82082" w:rsidRDefault="00A82082">
            <w:pPr>
              <w:rPr>
                <w:rFonts w:ascii="宋体"/>
                <w:vanish/>
              </w:rPr>
            </w:pPr>
          </w:p>
        </w:tc>
        <w:tc>
          <w:tcPr>
            <w:tcW w:w="0" w:type="auto"/>
            <w:gridSpan w:val="3"/>
            <w:shd w:val="clear" w:color="auto" w:fill="auto"/>
          </w:tcPr>
          <w:p w14:paraId="7E78519F" w14:textId="77777777" w:rsidR="00A82082" w:rsidRDefault="00A82082">
            <w:pPr>
              <w:rPr>
                <w:rFonts w:ascii="宋体"/>
                <w:vanish/>
              </w:rPr>
            </w:pPr>
          </w:p>
        </w:tc>
      </w:tr>
      <w:tr w:rsidR="00A82082" w14:paraId="7E7851AB" w14:textId="77777777">
        <w:tc>
          <w:tcPr>
            <w:tcW w:w="0" w:type="auto"/>
            <w:gridSpan w:val="3"/>
            <w:shd w:val="clear" w:color="auto" w:fill="FFFFFF"/>
            <w:tcMar>
              <w:top w:w="40" w:type="dxa"/>
              <w:left w:w="20" w:type="dxa"/>
              <w:bottom w:w="40" w:type="dxa"/>
              <w:right w:w="20" w:type="dxa"/>
            </w:tcMar>
            <w:vAlign w:val="center"/>
          </w:tcPr>
          <w:p w14:paraId="7E7851A1" w14:textId="77777777" w:rsidR="00A82082" w:rsidRDefault="00E946F9">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7E7851A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A3" w14:textId="77777777" w:rsidR="00A82082" w:rsidRDefault="00E946F9">
            <w:pPr>
              <w:jc w:val="right"/>
              <w:textAlignment w:val="center"/>
            </w:pPr>
            <w:r>
              <w:rPr>
                <w:rFonts w:ascii="Times New Roman" w:eastAsia="宋体" w:hAnsi="Times New Roman"/>
                <w:color w:val="000000"/>
                <w:sz w:val="16"/>
                <w:szCs w:val="16"/>
              </w:rPr>
              <w:t>(4,132)</w:t>
            </w:r>
          </w:p>
        </w:tc>
        <w:tc>
          <w:tcPr>
            <w:tcW w:w="0" w:type="auto"/>
            <w:shd w:val="clear" w:color="auto" w:fill="FFFFFF"/>
            <w:tcMar>
              <w:top w:w="40" w:type="dxa"/>
              <w:left w:w="0" w:type="dxa"/>
              <w:bottom w:w="40" w:type="dxa"/>
              <w:right w:w="20" w:type="dxa"/>
            </w:tcMar>
            <w:vAlign w:val="center"/>
          </w:tcPr>
          <w:p w14:paraId="7E7851A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A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A6"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51A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A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A9" w14:textId="77777777" w:rsidR="00A82082" w:rsidRDefault="00E946F9">
            <w:pPr>
              <w:jc w:val="right"/>
              <w:textAlignment w:val="center"/>
            </w:pPr>
            <w:r>
              <w:rPr>
                <w:rFonts w:ascii="Times New Roman" w:eastAsia="宋体" w:hAnsi="Times New Roman"/>
                <w:color w:val="000000"/>
                <w:sz w:val="16"/>
                <w:szCs w:val="16"/>
              </w:rPr>
              <w:t>(4,132)</w:t>
            </w:r>
          </w:p>
        </w:tc>
        <w:tc>
          <w:tcPr>
            <w:tcW w:w="0" w:type="auto"/>
            <w:shd w:val="clear" w:color="auto" w:fill="FFFFFF"/>
            <w:tcMar>
              <w:top w:w="40" w:type="dxa"/>
              <w:left w:w="0" w:type="dxa"/>
              <w:bottom w:w="40" w:type="dxa"/>
              <w:right w:w="20" w:type="dxa"/>
            </w:tcMar>
            <w:vAlign w:val="center"/>
          </w:tcPr>
          <w:p w14:paraId="7E7851AA" w14:textId="77777777" w:rsidR="00A82082" w:rsidRDefault="00A82082">
            <w:pPr>
              <w:jc w:val="right"/>
              <w:rPr>
                <w:rFonts w:ascii="宋体"/>
              </w:rPr>
            </w:pPr>
          </w:p>
        </w:tc>
      </w:tr>
      <w:tr w:rsidR="00A82082" w14:paraId="7E7851B6" w14:textId="77777777">
        <w:tc>
          <w:tcPr>
            <w:tcW w:w="0" w:type="auto"/>
            <w:gridSpan w:val="3"/>
            <w:shd w:val="clear" w:color="auto" w:fill="CCEEFF"/>
            <w:tcMar>
              <w:top w:w="40" w:type="dxa"/>
              <w:left w:w="20" w:type="dxa"/>
              <w:bottom w:w="40" w:type="dxa"/>
              <w:right w:w="20" w:type="dxa"/>
            </w:tcMar>
            <w:vAlign w:val="center"/>
          </w:tcPr>
          <w:p w14:paraId="7E7851AC" w14:textId="77777777" w:rsidR="00A82082" w:rsidRDefault="00E946F9">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tcPr>
          <w:p w14:paraId="7E7851A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1AE" w14:textId="77777777" w:rsidR="00A82082" w:rsidRDefault="00E946F9">
            <w:pPr>
              <w:jc w:val="right"/>
              <w:textAlignment w:val="center"/>
            </w:pPr>
            <w:r>
              <w:rPr>
                <w:rFonts w:ascii="Times New Roman" w:eastAsia="宋体" w:hAnsi="Times New Roman"/>
                <w:color w:val="000000"/>
                <w:sz w:val="16"/>
                <w:szCs w:val="16"/>
              </w:rPr>
              <w:t>3,126 </w:t>
            </w:r>
          </w:p>
        </w:tc>
        <w:tc>
          <w:tcPr>
            <w:tcW w:w="0" w:type="auto"/>
            <w:shd w:val="clear" w:color="auto" w:fill="CCEEFF"/>
            <w:tcMar>
              <w:top w:w="40" w:type="dxa"/>
              <w:left w:w="0" w:type="dxa"/>
              <w:bottom w:w="40" w:type="dxa"/>
              <w:right w:w="20" w:type="dxa"/>
            </w:tcMar>
            <w:vAlign w:val="center"/>
          </w:tcPr>
          <w:p w14:paraId="7E7851A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B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1B1" w14:textId="77777777" w:rsidR="00A82082" w:rsidRDefault="00E946F9">
            <w:pPr>
              <w:jc w:val="right"/>
              <w:textAlignment w:val="center"/>
            </w:pPr>
            <w:r>
              <w:rPr>
                <w:rFonts w:ascii="Times New Roman" w:eastAsia="宋体" w:hAnsi="Times New Roman"/>
                <w:color w:val="000000"/>
                <w:sz w:val="16"/>
                <w:szCs w:val="16"/>
              </w:rPr>
              <w:t>(3,126)</w:t>
            </w:r>
          </w:p>
        </w:tc>
        <w:tc>
          <w:tcPr>
            <w:tcW w:w="0" w:type="auto"/>
            <w:shd w:val="clear" w:color="auto" w:fill="CCEEFF"/>
            <w:tcMar>
              <w:top w:w="40" w:type="dxa"/>
              <w:left w:w="0" w:type="dxa"/>
              <w:bottom w:w="40" w:type="dxa"/>
              <w:right w:w="20" w:type="dxa"/>
            </w:tcMar>
            <w:vAlign w:val="center"/>
          </w:tcPr>
          <w:p w14:paraId="7E7851B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B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1B4"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51B5" w14:textId="77777777" w:rsidR="00A82082" w:rsidRDefault="00A82082">
            <w:pPr>
              <w:jc w:val="right"/>
              <w:rPr>
                <w:rFonts w:ascii="宋体"/>
              </w:rPr>
            </w:pPr>
          </w:p>
        </w:tc>
      </w:tr>
      <w:tr w:rsidR="00A82082" w14:paraId="7E7851C1" w14:textId="77777777">
        <w:tc>
          <w:tcPr>
            <w:tcW w:w="0" w:type="auto"/>
            <w:gridSpan w:val="3"/>
            <w:shd w:val="clear" w:color="auto" w:fill="FFFFFF"/>
            <w:tcMar>
              <w:top w:w="40" w:type="dxa"/>
              <w:left w:w="20" w:type="dxa"/>
              <w:bottom w:w="40" w:type="dxa"/>
              <w:right w:w="20" w:type="dxa"/>
            </w:tcMar>
            <w:vAlign w:val="bottom"/>
          </w:tcPr>
          <w:p w14:paraId="7E7851B7" w14:textId="77777777" w:rsidR="00A82082" w:rsidRDefault="00E946F9">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7E7851B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B9" w14:textId="77777777" w:rsidR="00A82082" w:rsidRDefault="00E946F9">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7E7851B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B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BC" w14:textId="77777777" w:rsidR="00A82082" w:rsidRDefault="00E946F9">
            <w:pPr>
              <w:jc w:val="right"/>
              <w:textAlignment w:val="center"/>
            </w:pPr>
            <w:r>
              <w:rPr>
                <w:rFonts w:ascii="Times New Roman" w:eastAsia="宋体" w:hAnsi="Times New Roman"/>
                <w:color w:val="000000"/>
                <w:sz w:val="16"/>
                <w:szCs w:val="16"/>
              </w:rPr>
              <w:t>261 </w:t>
            </w:r>
          </w:p>
        </w:tc>
        <w:tc>
          <w:tcPr>
            <w:tcW w:w="0" w:type="auto"/>
            <w:shd w:val="clear" w:color="auto" w:fill="FFFFFF"/>
            <w:tcMar>
              <w:top w:w="40" w:type="dxa"/>
              <w:left w:w="0" w:type="dxa"/>
              <w:bottom w:w="40" w:type="dxa"/>
              <w:right w:w="20" w:type="dxa"/>
            </w:tcMar>
            <w:vAlign w:val="center"/>
          </w:tcPr>
          <w:p w14:paraId="7E7851B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1B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1BF" w14:textId="77777777" w:rsidR="00A82082" w:rsidRDefault="00E946F9">
            <w:pPr>
              <w:jc w:val="right"/>
              <w:textAlignment w:val="center"/>
            </w:pPr>
            <w:r>
              <w:rPr>
                <w:rFonts w:ascii="Times New Roman" w:eastAsia="宋体" w:hAnsi="Times New Roman"/>
                <w:color w:val="000000"/>
                <w:sz w:val="16"/>
                <w:szCs w:val="16"/>
              </w:rPr>
              <w:t>263 </w:t>
            </w:r>
          </w:p>
        </w:tc>
        <w:tc>
          <w:tcPr>
            <w:tcW w:w="0" w:type="auto"/>
            <w:shd w:val="clear" w:color="auto" w:fill="FFFFFF"/>
            <w:tcMar>
              <w:top w:w="40" w:type="dxa"/>
              <w:left w:w="0" w:type="dxa"/>
              <w:bottom w:w="40" w:type="dxa"/>
              <w:right w:w="20" w:type="dxa"/>
            </w:tcMar>
            <w:vAlign w:val="center"/>
          </w:tcPr>
          <w:p w14:paraId="7E7851C0" w14:textId="77777777" w:rsidR="00A82082" w:rsidRDefault="00A82082">
            <w:pPr>
              <w:jc w:val="right"/>
              <w:rPr>
                <w:rFonts w:ascii="宋体"/>
              </w:rPr>
            </w:pPr>
          </w:p>
        </w:tc>
      </w:tr>
      <w:tr w:rsidR="00A82082" w14:paraId="7E7851CF" w14:textId="77777777">
        <w:tc>
          <w:tcPr>
            <w:tcW w:w="0" w:type="auto"/>
            <w:gridSpan w:val="3"/>
            <w:shd w:val="clear" w:color="auto" w:fill="CCEEFF"/>
            <w:tcMar>
              <w:top w:w="40" w:type="dxa"/>
              <w:left w:w="20" w:type="dxa"/>
              <w:bottom w:w="40" w:type="dxa"/>
              <w:right w:w="20" w:type="dxa"/>
            </w:tcMar>
            <w:vAlign w:val="center"/>
          </w:tcPr>
          <w:p w14:paraId="7E7851C2" w14:textId="77777777" w:rsidR="00A82082" w:rsidRDefault="00E946F9">
            <w:pPr>
              <w:textAlignment w:val="center"/>
            </w:pPr>
            <w:r>
              <w:rPr>
                <w:rFonts w:ascii="Times New Roman" w:eastAsia="宋体" w:hAnsi="Times New Roman"/>
                <w:b/>
                <w:bCs/>
                <w:color w:val="000000"/>
                <w:sz w:val="16"/>
                <w:szCs w:val="16"/>
              </w:rPr>
              <w:t>Balances as of October 31, 2020</w:t>
            </w:r>
          </w:p>
        </w:tc>
        <w:tc>
          <w:tcPr>
            <w:tcW w:w="0" w:type="auto"/>
            <w:gridSpan w:val="3"/>
            <w:shd w:val="clear" w:color="auto" w:fill="CCEEFF"/>
            <w:tcMar>
              <w:top w:w="0" w:type="dxa"/>
              <w:left w:w="20" w:type="dxa"/>
              <w:bottom w:w="0" w:type="dxa"/>
              <w:right w:w="20" w:type="dxa"/>
            </w:tcMar>
          </w:tcPr>
          <w:p w14:paraId="7E7851C3"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1C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1C5" w14:textId="77777777" w:rsidR="00A82082" w:rsidRDefault="00E946F9">
            <w:pPr>
              <w:jc w:val="right"/>
              <w:textAlignment w:val="center"/>
            </w:pPr>
            <w:r>
              <w:rPr>
                <w:rFonts w:ascii="Times New Roman" w:eastAsia="宋体" w:hAnsi="Times New Roman"/>
                <w:color w:val="000000"/>
                <w:sz w:val="16"/>
                <w:szCs w:val="16"/>
              </w:rPr>
              <w:t>4,358 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1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C7"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1C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1C9" w14:textId="77777777" w:rsidR="00A82082" w:rsidRDefault="00E946F9">
            <w:pPr>
              <w:jc w:val="right"/>
              <w:textAlignment w:val="center"/>
            </w:pPr>
            <w:r>
              <w:rPr>
                <w:rFonts w:ascii="Times New Roman" w:eastAsia="宋体" w:hAnsi="Times New Roman"/>
                <w:color w:val="000000"/>
                <w:sz w:val="16"/>
                <w:szCs w:val="16"/>
              </w:rPr>
              <w:t>40,849 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1C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1CB"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1C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1CD" w14:textId="77777777" w:rsidR="00A82082" w:rsidRDefault="00E946F9">
            <w:pPr>
              <w:jc w:val="right"/>
              <w:textAlignment w:val="center"/>
            </w:pPr>
            <w:r>
              <w:rPr>
                <w:rFonts w:ascii="Times New Roman" w:eastAsia="宋体" w:hAnsi="Times New Roman"/>
                <w:color w:val="000000"/>
                <w:sz w:val="16"/>
                <w:szCs w:val="16"/>
              </w:rPr>
              <w:t>45,207 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1CE" w14:textId="77777777" w:rsidR="00A82082" w:rsidRDefault="00A82082">
            <w:pPr>
              <w:jc w:val="right"/>
              <w:rPr>
                <w:rFonts w:ascii="宋体"/>
              </w:rPr>
            </w:pPr>
          </w:p>
        </w:tc>
      </w:tr>
    </w:tbl>
    <w:p w14:paraId="7E7851D0" w14:textId="77777777" w:rsidR="00A82082" w:rsidRDefault="00E946F9">
      <w:pPr>
        <w:spacing w:before="240"/>
      </w:pPr>
      <w:r>
        <w:rPr>
          <w:rFonts w:ascii="Times New Roman" w:eastAsia="宋体" w:hAnsi="Times New Roman"/>
          <w:b/>
          <w:bCs/>
          <w:color w:val="000000"/>
          <w:sz w:val="20"/>
          <w:szCs w:val="20"/>
        </w:rPr>
        <w:t>Note 5. Fair Value Measurements</w:t>
      </w:r>
    </w:p>
    <w:p w14:paraId="7E7851D1" w14:textId="77777777" w:rsidR="00A82082" w:rsidRDefault="00E946F9">
      <w:pPr>
        <w:spacing w:before="100"/>
      </w:pPr>
      <w:r>
        <w:rPr>
          <w:rFonts w:ascii="Times New Roman" w:eastAsia="宋体" w:hAnsi="Times New Roman"/>
          <w:color w:val="000000"/>
          <w:sz w:val="20"/>
          <w:szCs w:val="20"/>
        </w:rPr>
        <w:t>Assets and liabilities recorded at fair value are measured using the fair value hierarchy, which prioritizes the inputs use</w:t>
      </w:r>
      <w:r>
        <w:rPr>
          <w:rFonts w:ascii="Times New Roman" w:eastAsia="宋体" w:hAnsi="Times New Roman"/>
          <w:color w:val="000000"/>
          <w:sz w:val="20"/>
          <w:szCs w:val="20"/>
        </w:rPr>
        <w:t>d in measuring fair value. The levels of the fair value hierarchy are:</w:t>
      </w:r>
    </w:p>
    <w:p w14:paraId="7E7851D2" w14:textId="77777777" w:rsidR="00A82082" w:rsidRDefault="00E946F9">
      <w:pPr>
        <w:spacing w:before="100"/>
        <w:ind w:hanging="360"/>
      </w:pPr>
      <w:r>
        <w:rPr>
          <w:rFonts w:ascii="Times New Roman" w:eastAsia="宋体" w:hAnsi="Times New Roman"/>
          <w:color w:val="000000"/>
          <w:sz w:val="20"/>
          <w:szCs w:val="20"/>
        </w:rPr>
        <w:t>•Level 1: observable inputs such as quoted prices in active markets;</w:t>
      </w:r>
    </w:p>
    <w:p w14:paraId="7E7851D3" w14:textId="77777777" w:rsidR="00A82082" w:rsidRDefault="00E946F9">
      <w:pPr>
        <w:spacing w:before="100"/>
        <w:ind w:hanging="360"/>
      </w:pPr>
      <w:r>
        <w:rPr>
          <w:rFonts w:ascii="Times New Roman" w:eastAsia="宋体" w:hAnsi="Times New Roman"/>
          <w:color w:val="000000"/>
          <w:sz w:val="20"/>
          <w:szCs w:val="20"/>
        </w:rPr>
        <w:t>•Level 2: inputs other than quoted prices in active markets that are either directly or indirectly observable; and</w:t>
      </w:r>
    </w:p>
    <w:p w14:paraId="7E7851D4" w14:textId="77777777" w:rsidR="00A82082" w:rsidRDefault="00E946F9">
      <w:pPr>
        <w:spacing w:before="100"/>
        <w:ind w:hanging="360"/>
      </w:pPr>
      <w:r>
        <w:rPr>
          <w:rFonts w:ascii="Times New Roman" w:eastAsia="宋体" w:hAnsi="Times New Roman"/>
          <w:color w:val="000000"/>
          <w:sz w:val="20"/>
          <w:szCs w:val="20"/>
        </w:rPr>
        <w:t>•</w:t>
      </w: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7E7851D5" w14:textId="77777777" w:rsidR="00A82082" w:rsidRDefault="00E946F9">
      <w:pPr>
        <w:spacing w:before="100"/>
      </w:pPr>
      <w:r>
        <w:rPr>
          <w:rFonts w:ascii="Times New Roman" w:eastAsia="宋体" w:hAnsi="Times New Roman"/>
          <w:color w:val="000000"/>
          <w:sz w:val="20"/>
          <w:szCs w:val="20"/>
        </w:rPr>
        <w:t>The Company measures the fair value of equity investments on a recurring basis in the accompanying Condensed Consolidate</w:t>
      </w:r>
      <w:r>
        <w:rPr>
          <w:rFonts w:ascii="Times New Roman" w:eastAsia="宋体" w:hAnsi="Times New Roman"/>
          <w:color w:val="000000"/>
          <w:sz w:val="20"/>
          <w:szCs w:val="20"/>
        </w:rPr>
        <w:t xml:space="preserve">d Balance Sheets. </w:t>
      </w:r>
    </w:p>
    <w:p w14:paraId="7E7851D6" w14:textId="77777777" w:rsidR="00A82082" w:rsidRDefault="00E946F9">
      <w:pPr>
        <w:spacing w:before="100"/>
      </w:pPr>
      <w:r>
        <w:rPr>
          <w:rFonts w:ascii="Times New Roman" w:eastAsia="宋体" w:hAnsi="Times New Roman"/>
          <w:color w:val="000000"/>
          <w:sz w:val="20"/>
          <w:szCs w:val="20"/>
        </w:rPr>
        <w:t>The fair value of the Company's equity investments recorded in other long-term assets are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5795"/>
        <w:gridCol w:w="37"/>
        <w:gridCol w:w="36"/>
        <w:gridCol w:w="36"/>
        <w:gridCol w:w="36"/>
        <w:gridCol w:w="36"/>
        <w:gridCol w:w="36"/>
        <w:gridCol w:w="36"/>
        <w:gridCol w:w="36"/>
        <w:gridCol w:w="36"/>
        <w:gridCol w:w="36"/>
        <w:gridCol w:w="100"/>
        <w:gridCol w:w="842"/>
        <w:gridCol w:w="36"/>
        <w:gridCol w:w="36"/>
        <w:gridCol w:w="36"/>
        <w:gridCol w:w="36"/>
        <w:gridCol w:w="36"/>
        <w:gridCol w:w="101"/>
        <w:gridCol w:w="867"/>
        <w:gridCol w:w="36"/>
      </w:tblGrid>
      <w:tr w:rsidR="00A82082" w14:paraId="7E7851ED" w14:textId="77777777">
        <w:trPr>
          <w:jc w:val="center"/>
        </w:trPr>
        <w:tc>
          <w:tcPr>
            <w:tcW w:w="50" w:type="pct"/>
            <w:shd w:val="clear" w:color="auto" w:fill="auto"/>
          </w:tcPr>
          <w:p w14:paraId="7E7851D7" w14:textId="77777777" w:rsidR="00A82082" w:rsidRDefault="00A82082">
            <w:pPr>
              <w:rPr>
                <w:rFonts w:ascii="宋体"/>
              </w:rPr>
            </w:pPr>
          </w:p>
        </w:tc>
        <w:tc>
          <w:tcPr>
            <w:tcW w:w="3612" w:type="pct"/>
            <w:shd w:val="clear" w:color="auto" w:fill="auto"/>
          </w:tcPr>
          <w:p w14:paraId="7E7851D8" w14:textId="77777777" w:rsidR="00A82082" w:rsidRDefault="00A82082">
            <w:pPr>
              <w:rPr>
                <w:rFonts w:ascii="宋体"/>
              </w:rPr>
            </w:pPr>
          </w:p>
        </w:tc>
        <w:tc>
          <w:tcPr>
            <w:tcW w:w="5" w:type="pct"/>
            <w:shd w:val="clear" w:color="auto" w:fill="auto"/>
          </w:tcPr>
          <w:p w14:paraId="7E7851D9" w14:textId="77777777" w:rsidR="00A82082" w:rsidRDefault="00A82082">
            <w:pPr>
              <w:rPr>
                <w:rFonts w:ascii="宋体"/>
              </w:rPr>
            </w:pPr>
          </w:p>
        </w:tc>
        <w:tc>
          <w:tcPr>
            <w:tcW w:w="0" w:type="auto"/>
            <w:shd w:val="clear" w:color="auto" w:fill="auto"/>
          </w:tcPr>
          <w:p w14:paraId="7E7851DA" w14:textId="77777777" w:rsidR="00A82082" w:rsidRDefault="00A82082">
            <w:pPr>
              <w:rPr>
                <w:rFonts w:ascii="宋体"/>
                <w:vanish/>
              </w:rPr>
            </w:pPr>
          </w:p>
        </w:tc>
        <w:tc>
          <w:tcPr>
            <w:tcW w:w="0" w:type="auto"/>
            <w:shd w:val="clear" w:color="auto" w:fill="auto"/>
          </w:tcPr>
          <w:p w14:paraId="7E7851DB" w14:textId="77777777" w:rsidR="00A82082" w:rsidRDefault="00A82082">
            <w:pPr>
              <w:rPr>
                <w:rFonts w:ascii="宋体"/>
                <w:vanish/>
              </w:rPr>
            </w:pPr>
          </w:p>
        </w:tc>
        <w:tc>
          <w:tcPr>
            <w:tcW w:w="0" w:type="auto"/>
            <w:shd w:val="clear" w:color="auto" w:fill="auto"/>
          </w:tcPr>
          <w:p w14:paraId="7E7851DC" w14:textId="77777777" w:rsidR="00A82082" w:rsidRDefault="00A82082">
            <w:pPr>
              <w:rPr>
                <w:rFonts w:ascii="宋体"/>
                <w:vanish/>
              </w:rPr>
            </w:pPr>
          </w:p>
        </w:tc>
        <w:tc>
          <w:tcPr>
            <w:tcW w:w="0" w:type="auto"/>
            <w:shd w:val="clear" w:color="auto" w:fill="auto"/>
          </w:tcPr>
          <w:p w14:paraId="7E7851DD" w14:textId="77777777" w:rsidR="00A82082" w:rsidRDefault="00A82082">
            <w:pPr>
              <w:rPr>
                <w:rFonts w:ascii="宋体"/>
                <w:vanish/>
              </w:rPr>
            </w:pPr>
          </w:p>
        </w:tc>
        <w:tc>
          <w:tcPr>
            <w:tcW w:w="0" w:type="auto"/>
            <w:shd w:val="clear" w:color="auto" w:fill="auto"/>
          </w:tcPr>
          <w:p w14:paraId="7E7851DE" w14:textId="77777777" w:rsidR="00A82082" w:rsidRDefault="00A82082">
            <w:pPr>
              <w:rPr>
                <w:rFonts w:ascii="宋体"/>
                <w:vanish/>
              </w:rPr>
            </w:pPr>
          </w:p>
        </w:tc>
        <w:tc>
          <w:tcPr>
            <w:tcW w:w="0" w:type="auto"/>
            <w:shd w:val="clear" w:color="auto" w:fill="auto"/>
          </w:tcPr>
          <w:p w14:paraId="7E7851DF" w14:textId="77777777" w:rsidR="00A82082" w:rsidRDefault="00A82082">
            <w:pPr>
              <w:rPr>
                <w:rFonts w:ascii="宋体"/>
                <w:vanish/>
              </w:rPr>
            </w:pPr>
          </w:p>
        </w:tc>
        <w:tc>
          <w:tcPr>
            <w:tcW w:w="5" w:type="pct"/>
            <w:shd w:val="clear" w:color="auto" w:fill="auto"/>
          </w:tcPr>
          <w:p w14:paraId="7E7851E0" w14:textId="77777777" w:rsidR="00A82082" w:rsidRDefault="00A82082">
            <w:pPr>
              <w:rPr>
                <w:rFonts w:ascii="宋体"/>
              </w:rPr>
            </w:pPr>
          </w:p>
        </w:tc>
        <w:tc>
          <w:tcPr>
            <w:tcW w:w="26" w:type="pct"/>
            <w:shd w:val="clear" w:color="auto" w:fill="auto"/>
          </w:tcPr>
          <w:p w14:paraId="7E7851E1" w14:textId="77777777" w:rsidR="00A82082" w:rsidRDefault="00A82082">
            <w:pPr>
              <w:rPr>
                <w:rFonts w:ascii="宋体"/>
              </w:rPr>
            </w:pPr>
          </w:p>
        </w:tc>
        <w:tc>
          <w:tcPr>
            <w:tcW w:w="5" w:type="pct"/>
            <w:shd w:val="clear" w:color="auto" w:fill="auto"/>
          </w:tcPr>
          <w:p w14:paraId="7E7851E2" w14:textId="77777777" w:rsidR="00A82082" w:rsidRDefault="00A82082">
            <w:pPr>
              <w:rPr>
                <w:rFonts w:ascii="宋体"/>
              </w:rPr>
            </w:pPr>
          </w:p>
        </w:tc>
        <w:tc>
          <w:tcPr>
            <w:tcW w:w="50" w:type="pct"/>
            <w:shd w:val="clear" w:color="auto" w:fill="auto"/>
          </w:tcPr>
          <w:p w14:paraId="7E7851E3" w14:textId="77777777" w:rsidR="00A82082" w:rsidRDefault="00A82082">
            <w:pPr>
              <w:rPr>
                <w:rFonts w:ascii="宋体"/>
              </w:rPr>
            </w:pPr>
          </w:p>
        </w:tc>
        <w:tc>
          <w:tcPr>
            <w:tcW w:w="567" w:type="pct"/>
            <w:shd w:val="clear" w:color="auto" w:fill="auto"/>
          </w:tcPr>
          <w:p w14:paraId="7E7851E4" w14:textId="77777777" w:rsidR="00A82082" w:rsidRDefault="00A82082">
            <w:pPr>
              <w:rPr>
                <w:rFonts w:ascii="宋体"/>
              </w:rPr>
            </w:pPr>
          </w:p>
        </w:tc>
        <w:tc>
          <w:tcPr>
            <w:tcW w:w="5" w:type="pct"/>
            <w:shd w:val="clear" w:color="auto" w:fill="auto"/>
          </w:tcPr>
          <w:p w14:paraId="7E7851E5" w14:textId="77777777" w:rsidR="00A82082" w:rsidRDefault="00A82082">
            <w:pPr>
              <w:rPr>
                <w:rFonts w:ascii="宋体"/>
              </w:rPr>
            </w:pPr>
          </w:p>
        </w:tc>
        <w:tc>
          <w:tcPr>
            <w:tcW w:w="5" w:type="pct"/>
            <w:shd w:val="clear" w:color="auto" w:fill="auto"/>
          </w:tcPr>
          <w:p w14:paraId="7E7851E6" w14:textId="77777777" w:rsidR="00A82082" w:rsidRDefault="00A82082">
            <w:pPr>
              <w:rPr>
                <w:rFonts w:ascii="宋体"/>
              </w:rPr>
            </w:pPr>
          </w:p>
        </w:tc>
        <w:tc>
          <w:tcPr>
            <w:tcW w:w="26" w:type="pct"/>
            <w:shd w:val="clear" w:color="auto" w:fill="auto"/>
          </w:tcPr>
          <w:p w14:paraId="7E7851E7" w14:textId="77777777" w:rsidR="00A82082" w:rsidRDefault="00A82082">
            <w:pPr>
              <w:rPr>
                <w:rFonts w:ascii="宋体"/>
              </w:rPr>
            </w:pPr>
          </w:p>
        </w:tc>
        <w:tc>
          <w:tcPr>
            <w:tcW w:w="5" w:type="pct"/>
            <w:shd w:val="clear" w:color="auto" w:fill="auto"/>
          </w:tcPr>
          <w:p w14:paraId="7E7851E8" w14:textId="77777777" w:rsidR="00A82082" w:rsidRDefault="00A82082">
            <w:pPr>
              <w:rPr>
                <w:rFonts w:ascii="宋体"/>
              </w:rPr>
            </w:pPr>
          </w:p>
        </w:tc>
        <w:tc>
          <w:tcPr>
            <w:tcW w:w="0" w:type="auto"/>
            <w:shd w:val="clear" w:color="auto" w:fill="auto"/>
          </w:tcPr>
          <w:p w14:paraId="7E7851E9" w14:textId="77777777" w:rsidR="00A82082" w:rsidRDefault="00A82082">
            <w:pPr>
              <w:rPr>
                <w:rFonts w:ascii="宋体"/>
                <w:vanish/>
              </w:rPr>
            </w:pPr>
          </w:p>
        </w:tc>
        <w:tc>
          <w:tcPr>
            <w:tcW w:w="50" w:type="pct"/>
            <w:shd w:val="clear" w:color="auto" w:fill="auto"/>
          </w:tcPr>
          <w:p w14:paraId="7E7851EA" w14:textId="77777777" w:rsidR="00A82082" w:rsidRDefault="00A82082">
            <w:pPr>
              <w:rPr>
                <w:rFonts w:ascii="宋体"/>
              </w:rPr>
            </w:pPr>
          </w:p>
        </w:tc>
        <w:tc>
          <w:tcPr>
            <w:tcW w:w="581" w:type="pct"/>
            <w:shd w:val="clear" w:color="auto" w:fill="auto"/>
          </w:tcPr>
          <w:p w14:paraId="7E7851EB" w14:textId="77777777" w:rsidR="00A82082" w:rsidRDefault="00A82082">
            <w:pPr>
              <w:rPr>
                <w:rFonts w:ascii="宋体"/>
              </w:rPr>
            </w:pPr>
          </w:p>
        </w:tc>
        <w:tc>
          <w:tcPr>
            <w:tcW w:w="5" w:type="pct"/>
            <w:shd w:val="clear" w:color="auto" w:fill="auto"/>
          </w:tcPr>
          <w:p w14:paraId="7E7851EC" w14:textId="77777777" w:rsidR="00A82082" w:rsidRDefault="00A82082">
            <w:pPr>
              <w:rPr>
                <w:rFonts w:ascii="宋体"/>
              </w:rPr>
            </w:pPr>
          </w:p>
        </w:tc>
      </w:tr>
      <w:tr w:rsidR="00A82082" w14:paraId="7E7851FA" w14:textId="77777777">
        <w:trPr>
          <w:jc w:val="center"/>
        </w:trPr>
        <w:tc>
          <w:tcPr>
            <w:tcW w:w="0" w:type="auto"/>
            <w:gridSpan w:val="3"/>
            <w:shd w:val="clear" w:color="auto" w:fill="auto"/>
            <w:tcMar>
              <w:top w:w="40" w:type="dxa"/>
              <w:left w:w="20" w:type="dxa"/>
              <w:bottom w:w="40" w:type="dxa"/>
              <w:right w:w="20" w:type="dxa"/>
            </w:tcMar>
            <w:vAlign w:val="bottom"/>
          </w:tcPr>
          <w:p w14:paraId="7E7851EE"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shd w:val="clear" w:color="auto" w:fill="auto"/>
          </w:tcPr>
          <w:p w14:paraId="7E7851EF" w14:textId="77777777" w:rsidR="00A82082" w:rsidRDefault="00A82082">
            <w:pPr>
              <w:rPr>
                <w:rFonts w:ascii="宋体"/>
                <w:vanish/>
              </w:rPr>
            </w:pPr>
          </w:p>
        </w:tc>
        <w:tc>
          <w:tcPr>
            <w:tcW w:w="0" w:type="auto"/>
            <w:shd w:val="clear" w:color="auto" w:fill="auto"/>
          </w:tcPr>
          <w:p w14:paraId="7E7851F0" w14:textId="77777777" w:rsidR="00A82082" w:rsidRDefault="00A82082">
            <w:pPr>
              <w:rPr>
                <w:rFonts w:ascii="宋体"/>
                <w:vanish/>
              </w:rPr>
            </w:pPr>
          </w:p>
        </w:tc>
        <w:tc>
          <w:tcPr>
            <w:tcW w:w="0" w:type="auto"/>
            <w:shd w:val="clear" w:color="auto" w:fill="auto"/>
          </w:tcPr>
          <w:p w14:paraId="7E7851F1" w14:textId="77777777" w:rsidR="00A82082" w:rsidRDefault="00A82082">
            <w:pPr>
              <w:rPr>
                <w:rFonts w:ascii="宋体"/>
                <w:vanish/>
              </w:rPr>
            </w:pPr>
          </w:p>
        </w:tc>
        <w:tc>
          <w:tcPr>
            <w:tcW w:w="0" w:type="auto"/>
            <w:shd w:val="clear" w:color="auto" w:fill="auto"/>
          </w:tcPr>
          <w:p w14:paraId="7E7851F2" w14:textId="77777777" w:rsidR="00A82082" w:rsidRDefault="00A82082">
            <w:pPr>
              <w:rPr>
                <w:rFonts w:ascii="宋体"/>
                <w:vanish/>
              </w:rPr>
            </w:pPr>
          </w:p>
        </w:tc>
        <w:tc>
          <w:tcPr>
            <w:tcW w:w="0" w:type="auto"/>
            <w:shd w:val="clear" w:color="auto" w:fill="auto"/>
          </w:tcPr>
          <w:p w14:paraId="7E7851F3" w14:textId="77777777" w:rsidR="00A82082" w:rsidRDefault="00A82082">
            <w:pPr>
              <w:rPr>
                <w:rFonts w:ascii="宋体"/>
                <w:vanish/>
              </w:rPr>
            </w:pPr>
          </w:p>
        </w:tc>
        <w:tc>
          <w:tcPr>
            <w:tcW w:w="0" w:type="auto"/>
            <w:shd w:val="clear" w:color="auto" w:fill="auto"/>
          </w:tcPr>
          <w:p w14:paraId="7E7851F4" w14:textId="77777777" w:rsidR="00A82082" w:rsidRDefault="00A82082">
            <w:pPr>
              <w:rPr>
                <w:rFonts w:ascii="宋体"/>
                <w:vanish/>
              </w:rPr>
            </w:pPr>
          </w:p>
        </w:tc>
        <w:tc>
          <w:tcPr>
            <w:tcW w:w="0" w:type="auto"/>
            <w:gridSpan w:val="3"/>
            <w:shd w:val="clear" w:color="auto" w:fill="auto"/>
            <w:tcMar>
              <w:top w:w="0" w:type="dxa"/>
              <w:left w:w="20" w:type="dxa"/>
              <w:bottom w:w="0" w:type="dxa"/>
              <w:right w:w="20" w:type="dxa"/>
            </w:tcMar>
          </w:tcPr>
          <w:p w14:paraId="7E7851F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1F6" w14:textId="77777777" w:rsidR="00A82082" w:rsidRDefault="00E946F9">
            <w:pPr>
              <w:jc w:val="center"/>
              <w:textAlignment w:val="bottom"/>
            </w:pPr>
            <w:r>
              <w:rPr>
                <w:rFonts w:ascii="Times New Roman" w:eastAsia="宋体" w:hAnsi="Times New Roman"/>
                <w:b/>
                <w:bCs/>
                <w:color w:val="000000"/>
                <w:sz w:val="16"/>
                <w:szCs w:val="16"/>
              </w:rPr>
              <w:t>Fair Value as of October 31, 2020</w:t>
            </w:r>
          </w:p>
        </w:tc>
        <w:tc>
          <w:tcPr>
            <w:tcW w:w="0" w:type="auto"/>
            <w:gridSpan w:val="3"/>
            <w:shd w:val="clear" w:color="auto" w:fill="auto"/>
            <w:tcMar>
              <w:top w:w="0" w:type="dxa"/>
              <w:left w:w="20" w:type="dxa"/>
              <w:bottom w:w="0" w:type="dxa"/>
              <w:right w:w="20" w:type="dxa"/>
            </w:tcMar>
          </w:tcPr>
          <w:p w14:paraId="7E7851F7" w14:textId="77777777" w:rsidR="00A82082" w:rsidRDefault="00A82082">
            <w:pPr>
              <w:rPr>
                <w:rFonts w:ascii="宋体"/>
              </w:rPr>
            </w:pPr>
          </w:p>
        </w:tc>
        <w:tc>
          <w:tcPr>
            <w:tcW w:w="0" w:type="auto"/>
            <w:shd w:val="clear" w:color="auto" w:fill="auto"/>
          </w:tcPr>
          <w:p w14:paraId="7E7851F8" w14:textId="77777777" w:rsidR="00A82082" w:rsidRDefault="00A82082">
            <w:pPr>
              <w:rPr>
                <w:rFonts w:ascii="宋体"/>
                <w:vanish/>
              </w:rPr>
            </w:pPr>
          </w:p>
        </w:tc>
        <w:tc>
          <w:tcPr>
            <w:tcW w:w="0" w:type="auto"/>
            <w:gridSpan w:val="3"/>
            <w:shd w:val="clear" w:color="auto" w:fill="auto"/>
            <w:tcMar>
              <w:top w:w="40" w:type="dxa"/>
              <w:left w:w="20" w:type="dxa"/>
              <w:bottom w:w="40" w:type="dxa"/>
              <w:right w:w="20" w:type="dxa"/>
            </w:tcMar>
            <w:vAlign w:val="bottom"/>
          </w:tcPr>
          <w:p w14:paraId="7E7851F9" w14:textId="77777777" w:rsidR="00A82082" w:rsidRDefault="00E946F9">
            <w:pPr>
              <w:jc w:val="center"/>
              <w:textAlignment w:val="bottom"/>
            </w:pPr>
            <w:r>
              <w:rPr>
                <w:rFonts w:ascii="Times New Roman" w:eastAsia="宋体" w:hAnsi="Times New Roman"/>
                <w:b/>
                <w:bCs/>
                <w:color w:val="000000"/>
                <w:sz w:val="16"/>
                <w:szCs w:val="16"/>
              </w:rPr>
              <w:t>Fair Value as of January 31, 2020</w:t>
            </w:r>
          </w:p>
        </w:tc>
      </w:tr>
      <w:tr w:rsidR="00A82082" w14:paraId="7E78520B" w14:textId="77777777">
        <w:trPr>
          <w:jc w:val="center"/>
        </w:trPr>
        <w:tc>
          <w:tcPr>
            <w:tcW w:w="0" w:type="auto"/>
            <w:gridSpan w:val="3"/>
            <w:shd w:val="clear" w:color="auto" w:fill="CCEEFF"/>
            <w:tcMar>
              <w:top w:w="40" w:type="dxa"/>
              <w:left w:w="20" w:type="dxa"/>
              <w:bottom w:w="40" w:type="dxa"/>
              <w:right w:w="20" w:type="dxa"/>
            </w:tcMar>
            <w:vAlign w:val="bottom"/>
          </w:tcPr>
          <w:p w14:paraId="7E7851FB" w14:textId="77777777" w:rsidR="00A82082" w:rsidRDefault="00E946F9">
            <w:pPr>
              <w:textAlignment w:val="bottom"/>
            </w:pPr>
            <w:r>
              <w:rPr>
                <w:rFonts w:ascii="Times New Roman" w:eastAsia="宋体" w:hAnsi="Times New Roman"/>
                <w:color w:val="000000"/>
                <w:sz w:val="16"/>
                <w:szCs w:val="16"/>
              </w:rPr>
              <w:t xml:space="preserve">Equity </w:t>
            </w:r>
            <w:r>
              <w:rPr>
                <w:rFonts w:ascii="Times New Roman" w:eastAsia="宋体" w:hAnsi="Times New Roman"/>
                <w:color w:val="000000"/>
                <w:sz w:val="16"/>
                <w:szCs w:val="16"/>
              </w:rPr>
              <w:t>investments measured using Level 1 inputs</w:t>
            </w:r>
          </w:p>
        </w:tc>
        <w:tc>
          <w:tcPr>
            <w:tcW w:w="0" w:type="auto"/>
            <w:shd w:val="clear" w:color="auto" w:fill="auto"/>
          </w:tcPr>
          <w:p w14:paraId="7E7851FC" w14:textId="77777777" w:rsidR="00A82082" w:rsidRDefault="00A82082">
            <w:pPr>
              <w:rPr>
                <w:rFonts w:ascii="宋体"/>
                <w:vanish/>
              </w:rPr>
            </w:pPr>
          </w:p>
        </w:tc>
        <w:tc>
          <w:tcPr>
            <w:tcW w:w="0" w:type="auto"/>
            <w:shd w:val="clear" w:color="auto" w:fill="auto"/>
          </w:tcPr>
          <w:p w14:paraId="7E7851FD" w14:textId="77777777" w:rsidR="00A82082" w:rsidRDefault="00A82082">
            <w:pPr>
              <w:rPr>
                <w:rFonts w:ascii="宋体"/>
                <w:vanish/>
              </w:rPr>
            </w:pPr>
          </w:p>
        </w:tc>
        <w:tc>
          <w:tcPr>
            <w:tcW w:w="0" w:type="auto"/>
            <w:shd w:val="clear" w:color="auto" w:fill="auto"/>
          </w:tcPr>
          <w:p w14:paraId="7E7851FE" w14:textId="77777777" w:rsidR="00A82082" w:rsidRDefault="00A82082">
            <w:pPr>
              <w:rPr>
                <w:rFonts w:ascii="宋体"/>
                <w:vanish/>
              </w:rPr>
            </w:pPr>
          </w:p>
        </w:tc>
        <w:tc>
          <w:tcPr>
            <w:tcW w:w="0" w:type="auto"/>
            <w:shd w:val="clear" w:color="auto" w:fill="auto"/>
          </w:tcPr>
          <w:p w14:paraId="7E7851FF" w14:textId="77777777" w:rsidR="00A82082" w:rsidRDefault="00A82082">
            <w:pPr>
              <w:rPr>
                <w:rFonts w:ascii="宋体"/>
                <w:vanish/>
              </w:rPr>
            </w:pPr>
          </w:p>
        </w:tc>
        <w:tc>
          <w:tcPr>
            <w:tcW w:w="0" w:type="auto"/>
            <w:shd w:val="clear" w:color="auto" w:fill="auto"/>
          </w:tcPr>
          <w:p w14:paraId="7E785200" w14:textId="77777777" w:rsidR="00A82082" w:rsidRDefault="00A82082">
            <w:pPr>
              <w:rPr>
                <w:rFonts w:ascii="宋体"/>
                <w:vanish/>
              </w:rPr>
            </w:pPr>
          </w:p>
        </w:tc>
        <w:tc>
          <w:tcPr>
            <w:tcW w:w="0" w:type="auto"/>
            <w:shd w:val="clear" w:color="auto" w:fill="auto"/>
          </w:tcPr>
          <w:p w14:paraId="7E785201"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202"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203"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204" w14:textId="77777777" w:rsidR="00A82082" w:rsidRDefault="00E946F9">
            <w:pPr>
              <w:jc w:val="right"/>
              <w:textAlignment w:val="bottom"/>
            </w:pPr>
            <w:r>
              <w:rPr>
                <w:rFonts w:ascii="Times New Roman" w:eastAsia="宋体" w:hAnsi="Times New Roman"/>
                <w:color w:val="000000"/>
                <w:sz w:val="16"/>
                <w:szCs w:val="16"/>
              </w:rPr>
              <w:t>5,987 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20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06" w14:textId="77777777" w:rsidR="00A82082" w:rsidRDefault="00A82082">
            <w:pPr>
              <w:rPr>
                <w:rFonts w:ascii="宋体"/>
              </w:rPr>
            </w:pPr>
          </w:p>
        </w:tc>
        <w:tc>
          <w:tcPr>
            <w:tcW w:w="0" w:type="auto"/>
            <w:shd w:val="clear" w:color="auto" w:fill="auto"/>
          </w:tcPr>
          <w:p w14:paraId="7E785207"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208"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209" w14:textId="77777777" w:rsidR="00A82082" w:rsidRDefault="00E946F9">
            <w:pPr>
              <w:jc w:val="right"/>
              <w:textAlignment w:val="bottom"/>
            </w:pPr>
            <w:r>
              <w:rPr>
                <w:rFonts w:ascii="Times New Roman" w:eastAsia="宋体" w:hAnsi="Times New Roman"/>
                <w:color w:val="000000"/>
                <w:sz w:val="16"/>
                <w:szCs w:val="16"/>
              </w:rPr>
              <w:t>2,715 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20A" w14:textId="77777777" w:rsidR="00A82082" w:rsidRDefault="00A82082">
            <w:pPr>
              <w:jc w:val="right"/>
              <w:rPr>
                <w:rFonts w:ascii="宋体"/>
              </w:rPr>
            </w:pPr>
          </w:p>
        </w:tc>
      </w:tr>
      <w:tr w:rsidR="00A82082" w14:paraId="7E78521A" w14:textId="77777777">
        <w:trPr>
          <w:jc w:val="center"/>
        </w:trPr>
        <w:tc>
          <w:tcPr>
            <w:tcW w:w="0" w:type="auto"/>
            <w:gridSpan w:val="3"/>
            <w:shd w:val="clear" w:color="auto" w:fill="FFFFFF"/>
            <w:tcMar>
              <w:top w:w="40" w:type="dxa"/>
              <w:left w:w="20" w:type="dxa"/>
              <w:bottom w:w="40" w:type="dxa"/>
              <w:right w:w="20" w:type="dxa"/>
            </w:tcMar>
            <w:vAlign w:val="bottom"/>
          </w:tcPr>
          <w:p w14:paraId="7E78520C" w14:textId="77777777" w:rsidR="00A82082" w:rsidRDefault="00E946F9">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tcPr>
          <w:p w14:paraId="7E78520D" w14:textId="77777777" w:rsidR="00A82082" w:rsidRDefault="00A82082">
            <w:pPr>
              <w:rPr>
                <w:rFonts w:ascii="宋体"/>
                <w:vanish/>
              </w:rPr>
            </w:pPr>
          </w:p>
        </w:tc>
        <w:tc>
          <w:tcPr>
            <w:tcW w:w="0" w:type="auto"/>
            <w:shd w:val="clear" w:color="auto" w:fill="auto"/>
          </w:tcPr>
          <w:p w14:paraId="7E78520E" w14:textId="77777777" w:rsidR="00A82082" w:rsidRDefault="00A82082">
            <w:pPr>
              <w:rPr>
                <w:rFonts w:ascii="宋体"/>
                <w:vanish/>
              </w:rPr>
            </w:pPr>
          </w:p>
        </w:tc>
        <w:tc>
          <w:tcPr>
            <w:tcW w:w="0" w:type="auto"/>
            <w:shd w:val="clear" w:color="auto" w:fill="auto"/>
          </w:tcPr>
          <w:p w14:paraId="7E78520F" w14:textId="77777777" w:rsidR="00A82082" w:rsidRDefault="00A82082">
            <w:pPr>
              <w:rPr>
                <w:rFonts w:ascii="宋体"/>
                <w:vanish/>
              </w:rPr>
            </w:pPr>
          </w:p>
        </w:tc>
        <w:tc>
          <w:tcPr>
            <w:tcW w:w="0" w:type="auto"/>
            <w:shd w:val="clear" w:color="auto" w:fill="auto"/>
          </w:tcPr>
          <w:p w14:paraId="7E785210" w14:textId="77777777" w:rsidR="00A82082" w:rsidRDefault="00A82082">
            <w:pPr>
              <w:rPr>
                <w:rFonts w:ascii="宋体"/>
                <w:vanish/>
              </w:rPr>
            </w:pPr>
          </w:p>
        </w:tc>
        <w:tc>
          <w:tcPr>
            <w:tcW w:w="0" w:type="auto"/>
            <w:shd w:val="clear" w:color="auto" w:fill="auto"/>
          </w:tcPr>
          <w:p w14:paraId="7E785211" w14:textId="77777777" w:rsidR="00A82082" w:rsidRDefault="00A82082">
            <w:pPr>
              <w:rPr>
                <w:rFonts w:ascii="宋体"/>
                <w:vanish/>
              </w:rPr>
            </w:pPr>
          </w:p>
        </w:tc>
        <w:tc>
          <w:tcPr>
            <w:tcW w:w="0" w:type="auto"/>
            <w:shd w:val="clear" w:color="auto" w:fill="auto"/>
          </w:tcPr>
          <w:p w14:paraId="7E785212" w14:textId="77777777" w:rsidR="00A82082" w:rsidRDefault="00A82082">
            <w:pPr>
              <w:rPr>
                <w:rFonts w:ascii="宋体"/>
                <w:vanish/>
              </w:rPr>
            </w:pPr>
          </w:p>
        </w:tc>
        <w:tc>
          <w:tcPr>
            <w:tcW w:w="0" w:type="auto"/>
            <w:gridSpan w:val="3"/>
            <w:shd w:val="clear" w:color="auto" w:fill="FFFFFF"/>
            <w:tcMar>
              <w:top w:w="0" w:type="dxa"/>
              <w:left w:w="20" w:type="dxa"/>
              <w:bottom w:w="0" w:type="dxa"/>
              <w:right w:w="20" w:type="dxa"/>
            </w:tcMar>
          </w:tcPr>
          <w:p w14:paraId="7E78521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214" w14:textId="77777777" w:rsidR="00A82082" w:rsidRDefault="00E946F9">
            <w:pPr>
              <w:jc w:val="right"/>
              <w:textAlignment w:val="bottom"/>
            </w:pPr>
            <w:r>
              <w:rPr>
                <w:rFonts w:ascii="Times New Roman" w:eastAsia="宋体" w:hAnsi="Times New Roman"/>
                <w:color w:val="000000"/>
                <w:sz w:val="16"/>
                <w:szCs w:val="16"/>
              </w:rPr>
              <w:t>6,782 </w:t>
            </w:r>
          </w:p>
        </w:tc>
        <w:tc>
          <w:tcPr>
            <w:tcW w:w="0" w:type="auto"/>
            <w:shd w:val="clear" w:color="auto" w:fill="FFFFFF"/>
            <w:tcMar>
              <w:top w:w="40" w:type="dxa"/>
              <w:left w:w="0" w:type="dxa"/>
              <w:bottom w:w="40" w:type="dxa"/>
              <w:right w:w="20" w:type="dxa"/>
            </w:tcMar>
            <w:vAlign w:val="bottom"/>
          </w:tcPr>
          <w:p w14:paraId="7E78521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16" w14:textId="77777777" w:rsidR="00A82082" w:rsidRDefault="00A82082">
            <w:pPr>
              <w:rPr>
                <w:rFonts w:ascii="宋体"/>
              </w:rPr>
            </w:pPr>
          </w:p>
        </w:tc>
        <w:tc>
          <w:tcPr>
            <w:tcW w:w="0" w:type="auto"/>
            <w:shd w:val="clear" w:color="auto" w:fill="auto"/>
          </w:tcPr>
          <w:p w14:paraId="7E785217"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bottom"/>
          </w:tcPr>
          <w:p w14:paraId="7E785218" w14:textId="77777777" w:rsidR="00A82082" w:rsidRDefault="00E946F9">
            <w:pPr>
              <w:jc w:val="right"/>
              <w:textAlignment w:val="bottom"/>
            </w:pPr>
            <w:r>
              <w:rPr>
                <w:rFonts w:ascii="Times New Roman" w:eastAsia="宋体" w:hAnsi="Times New Roman"/>
                <w:color w:val="000000"/>
                <w:sz w:val="16"/>
                <w:szCs w:val="16"/>
              </w:rPr>
              <w:t>2,723 </w:t>
            </w:r>
          </w:p>
        </w:tc>
        <w:tc>
          <w:tcPr>
            <w:tcW w:w="0" w:type="auto"/>
            <w:shd w:val="clear" w:color="auto" w:fill="FFFFFF"/>
            <w:tcMar>
              <w:top w:w="40" w:type="dxa"/>
              <w:left w:w="0" w:type="dxa"/>
              <w:bottom w:w="40" w:type="dxa"/>
              <w:right w:w="20" w:type="dxa"/>
            </w:tcMar>
            <w:vAlign w:val="bottom"/>
          </w:tcPr>
          <w:p w14:paraId="7E785219" w14:textId="77777777" w:rsidR="00A82082" w:rsidRDefault="00A82082">
            <w:pPr>
              <w:jc w:val="right"/>
              <w:rPr>
                <w:rFonts w:ascii="宋体"/>
              </w:rPr>
            </w:pPr>
          </w:p>
        </w:tc>
      </w:tr>
      <w:tr w:rsidR="00A82082" w14:paraId="7E785227" w14:textId="77777777">
        <w:trPr>
          <w:jc w:val="center"/>
          <w:hidden/>
        </w:trPr>
        <w:tc>
          <w:tcPr>
            <w:tcW w:w="0" w:type="auto"/>
            <w:gridSpan w:val="3"/>
            <w:shd w:val="clear" w:color="auto" w:fill="auto"/>
          </w:tcPr>
          <w:p w14:paraId="7E78521B" w14:textId="77777777" w:rsidR="00A82082" w:rsidRDefault="00A82082">
            <w:pPr>
              <w:rPr>
                <w:rFonts w:ascii="宋体"/>
                <w:vanish/>
              </w:rPr>
            </w:pPr>
          </w:p>
        </w:tc>
        <w:tc>
          <w:tcPr>
            <w:tcW w:w="0" w:type="auto"/>
            <w:shd w:val="clear" w:color="auto" w:fill="auto"/>
          </w:tcPr>
          <w:p w14:paraId="7E78521C" w14:textId="77777777" w:rsidR="00A82082" w:rsidRDefault="00A82082">
            <w:pPr>
              <w:rPr>
                <w:rFonts w:ascii="宋体"/>
                <w:vanish/>
              </w:rPr>
            </w:pPr>
          </w:p>
        </w:tc>
        <w:tc>
          <w:tcPr>
            <w:tcW w:w="0" w:type="auto"/>
            <w:shd w:val="clear" w:color="auto" w:fill="auto"/>
          </w:tcPr>
          <w:p w14:paraId="7E78521D" w14:textId="77777777" w:rsidR="00A82082" w:rsidRDefault="00A82082">
            <w:pPr>
              <w:rPr>
                <w:rFonts w:ascii="宋体"/>
                <w:vanish/>
              </w:rPr>
            </w:pPr>
          </w:p>
        </w:tc>
        <w:tc>
          <w:tcPr>
            <w:tcW w:w="0" w:type="auto"/>
            <w:shd w:val="clear" w:color="auto" w:fill="auto"/>
          </w:tcPr>
          <w:p w14:paraId="7E78521E" w14:textId="77777777" w:rsidR="00A82082" w:rsidRDefault="00A82082">
            <w:pPr>
              <w:rPr>
                <w:rFonts w:ascii="宋体"/>
                <w:vanish/>
              </w:rPr>
            </w:pPr>
          </w:p>
        </w:tc>
        <w:tc>
          <w:tcPr>
            <w:tcW w:w="0" w:type="auto"/>
            <w:shd w:val="clear" w:color="auto" w:fill="auto"/>
          </w:tcPr>
          <w:p w14:paraId="7E78521F" w14:textId="77777777" w:rsidR="00A82082" w:rsidRDefault="00A82082">
            <w:pPr>
              <w:rPr>
                <w:rFonts w:ascii="宋体"/>
                <w:vanish/>
              </w:rPr>
            </w:pPr>
          </w:p>
        </w:tc>
        <w:tc>
          <w:tcPr>
            <w:tcW w:w="0" w:type="auto"/>
            <w:shd w:val="clear" w:color="auto" w:fill="auto"/>
          </w:tcPr>
          <w:p w14:paraId="7E785220" w14:textId="77777777" w:rsidR="00A82082" w:rsidRDefault="00A82082">
            <w:pPr>
              <w:rPr>
                <w:rFonts w:ascii="宋体"/>
                <w:vanish/>
              </w:rPr>
            </w:pPr>
          </w:p>
        </w:tc>
        <w:tc>
          <w:tcPr>
            <w:tcW w:w="0" w:type="auto"/>
            <w:shd w:val="clear" w:color="auto" w:fill="auto"/>
          </w:tcPr>
          <w:p w14:paraId="7E785221" w14:textId="77777777" w:rsidR="00A82082" w:rsidRDefault="00A82082">
            <w:pPr>
              <w:rPr>
                <w:rFonts w:ascii="宋体"/>
                <w:vanish/>
              </w:rPr>
            </w:pPr>
          </w:p>
        </w:tc>
        <w:tc>
          <w:tcPr>
            <w:tcW w:w="0" w:type="auto"/>
            <w:gridSpan w:val="3"/>
            <w:shd w:val="clear" w:color="auto" w:fill="auto"/>
          </w:tcPr>
          <w:p w14:paraId="7E785222" w14:textId="77777777" w:rsidR="00A82082" w:rsidRDefault="00A82082">
            <w:pPr>
              <w:rPr>
                <w:rFonts w:ascii="宋体"/>
                <w:vanish/>
              </w:rPr>
            </w:pPr>
          </w:p>
        </w:tc>
        <w:tc>
          <w:tcPr>
            <w:tcW w:w="0" w:type="auto"/>
            <w:gridSpan w:val="3"/>
            <w:shd w:val="clear" w:color="auto" w:fill="auto"/>
          </w:tcPr>
          <w:p w14:paraId="7E785223" w14:textId="77777777" w:rsidR="00A82082" w:rsidRDefault="00A82082">
            <w:pPr>
              <w:rPr>
                <w:rFonts w:ascii="宋体"/>
                <w:vanish/>
              </w:rPr>
            </w:pPr>
          </w:p>
        </w:tc>
        <w:tc>
          <w:tcPr>
            <w:tcW w:w="0" w:type="auto"/>
            <w:gridSpan w:val="3"/>
            <w:shd w:val="clear" w:color="auto" w:fill="auto"/>
          </w:tcPr>
          <w:p w14:paraId="7E785224" w14:textId="77777777" w:rsidR="00A82082" w:rsidRDefault="00A82082">
            <w:pPr>
              <w:rPr>
                <w:rFonts w:ascii="宋体"/>
                <w:vanish/>
              </w:rPr>
            </w:pPr>
          </w:p>
        </w:tc>
        <w:tc>
          <w:tcPr>
            <w:tcW w:w="0" w:type="auto"/>
            <w:shd w:val="clear" w:color="auto" w:fill="auto"/>
          </w:tcPr>
          <w:p w14:paraId="7E785225" w14:textId="77777777" w:rsidR="00A82082" w:rsidRDefault="00A82082">
            <w:pPr>
              <w:rPr>
                <w:rFonts w:ascii="宋体"/>
                <w:vanish/>
              </w:rPr>
            </w:pPr>
          </w:p>
        </w:tc>
        <w:tc>
          <w:tcPr>
            <w:tcW w:w="0" w:type="auto"/>
            <w:gridSpan w:val="3"/>
            <w:shd w:val="clear" w:color="auto" w:fill="auto"/>
          </w:tcPr>
          <w:p w14:paraId="7E785226" w14:textId="77777777" w:rsidR="00A82082" w:rsidRDefault="00A82082">
            <w:pPr>
              <w:rPr>
                <w:rFonts w:ascii="宋体"/>
                <w:vanish/>
              </w:rPr>
            </w:pPr>
          </w:p>
        </w:tc>
      </w:tr>
      <w:tr w:rsidR="00A82082" w14:paraId="7E785238" w14:textId="77777777">
        <w:trPr>
          <w:jc w:val="center"/>
        </w:trPr>
        <w:tc>
          <w:tcPr>
            <w:tcW w:w="0" w:type="auto"/>
            <w:gridSpan w:val="3"/>
            <w:shd w:val="clear" w:color="auto" w:fill="CCEEFF"/>
            <w:tcMar>
              <w:top w:w="40" w:type="dxa"/>
              <w:left w:w="20" w:type="dxa"/>
              <w:bottom w:w="40" w:type="dxa"/>
              <w:right w:w="20" w:type="dxa"/>
            </w:tcMar>
          </w:tcPr>
          <w:p w14:paraId="7E785228" w14:textId="77777777" w:rsidR="00A82082" w:rsidRDefault="00E946F9">
            <w:pPr>
              <w:textAlignment w:val="top"/>
            </w:pPr>
            <w:r>
              <w:rPr>
                <w:rFonts w:ascii="Times New Roman" w:eastAsia="宋体" w:hAnsi="Times New Roman"/>
                <w:b/>
                <w:bCs/>
                <w:color w:val="000000"/>
                <w:sz w:val="16"/>
                <w:szCs w:val="16"/>
              </w:rPr>
              <w:t>Total</w:t>
            </w:r>
          </w:p>
        </w:tc>
        <w:tc>
          <w:tcPr>
            <w:tcW w:w="0" w:type="auto"/>
            <w:shd w:val="clear" w:color="auto" w:fill="auto"/>
          </w:tcPr>
          <w:p w14:paraId="7E785229" w14:textId="77777777" w:rsidR="00A82082" w:rsidRDefault="00A82082">
            <w:pPr>
              <w:rPr>
                <w:rFonts w:ascii="宋体"/>
                <w:vanish/>
              </w:rPr>
            </w:pPr>
          </w:p>
        </w:tc>
        <w:tc>
          <w:tcPr>
            <w:tcW w:w="0" w:type="auto"/>
            <w:shd w:val="clear" w:color="auto" w:fill="auto"/>
          </w:tcPr>
          <w:p w14:paraId="7E78522A" w14:textId="77777777" w:rsidR="00A82082" w:rsidRDefault="00A82082">
            <w:pPr>
              <w:rPr>
                <w:rFonts w:ascii="宋体"/>
                <w:vanish/>
              </w:rPr>
            </w:pPr>
          </w:p>
        </w:tc>
        <w:tc>
          <w:tcPr>
            <w:tcW w:w="0" w:type="auto"/>
            <w:shd w:val="clear" w:color="auto" w:fill="auto"/>
          </w:tcPr>
          <w:p w14:paraId="7E78522B" w14:textId="77777777" w:rsidR="00A82082" w:rsidRDefault="00A82082">
            <w:pPr>
              <w:rPr>
                <w:rFonts w:ascii="宋体"/>
                <w:vanish/>
              </w:rPr>
            </w:pPr>
          </w:p>
        </w:tc>
        <w:tc>
          <w:tcPr>
            <w:tcW w:w="0" w:type="auto"/>
            <w:shd w:val="clear" w:color="auto" w:fill="auto"/>
          </w:tcPr>
          <w:p w14:paraId="7E78522C" w14:textId="77777777" w:rsidR="00A82082" w:rsidRDefault="00A82082">
            <w:pPr>
              <w:rPr>
                <w:rFonts w:ascii="宋体"/>
                <w:vanish/>
              </w:rPr>
            </w:pPr>
          </w:p>
        </w:tc>
        <w:tc>
          <w:tcPr>
            <w:tcW w:w="0" w:type="auto"/>
            <w:shd w:val="clear" w:color="auto" w:fill="auto"/>
          </w:tcPr>
          <w:p w14:paraId="7E78522D" w14:textId="77777777" w:rsidR="00A82082" w:rsidRDefault="00A82082">
            <w:pPr>
              <w:rPr>
                <w:rFonts w:ascii="宋体"/>
                <w:vanish/>
              </w:rPr>
            </w:pPr>
          </w:p>
        </w:tc>
        <w:tc>
          <w:tcPr>
            <w:tcW w:w="0" w:type="auto"/>
            <w:shd w:val="clear" w:color="auto" w:fill="auto"/>
          </w:tcPr>
          <w:p w14:paraId="7E78522E"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22F"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230"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231" w14:textId="77777777" w:rsidR="00A82082" w:rsidRDefault="00E946F9">
            <w:pPr>
              <w:jc w:val="right"/>
              <w:textAlignment w:val="bottom"/>
            </w:pPr>
            <w:r>
              <w:rPr>
                <w:rFonts w:ascii="Times New Roman" w:eastAsia="宋体" w:hAnsi="Times New Roman"/>
                <w:color w:val="000000"/>
                <w:sz w:val="16"/>
                <w:szCs w:val="16"/>
              </w:rPr>
              <w:t>12,769 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23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33" w14:textId="77777777" w:rsidR="00A82082" w:rsidRDefault="00A82082">
            <w:pPr>
              <w:rPr>
                <w:rFonts w:ascii="宋体"/>
              </w:rPr>
            </w:pPr>
          </w:p>
        </w:tc>
        <w:tc>
          <w:tcPr>
            <w:tcW w:w="0" w:type="auto"/>
            <w:shd w:val="clear" w:color="auto" w:fill="auto"/>
          </w:tcPr>
          <w:p w14:paraId="7E785234" w14:textId="77777777" w:rsidR="00A82082" w:rsidRDefault="00A82082">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235"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236" w14:textId="77777777" w:rsidR="00A82082" w:rsidRDefault="00E946F9">
            <w:pPr>
              <w:jc w:val="right"/>
              <w:textAlignment w:val="bottom"/>
            </w:pPr>
            <w:r>
              <w:rPr>
                <w:rFonts w:ascii="Times New Roman" w:eastAsia="宋体" w:hAnsi="Times New Roman"/>
                <w:color w:val="000000"/>
                <w:sz w:val="16"/>
                <w:szCs w:val="16"/>
              </w:rPr>
              <w:t>5,438 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237" w14:textId="77777777" w:rsidR="00A82082" w:rsidRDefault="00A82082">
            <w:pPr>
              <w:jc w:val="right"/>
              <w:rPr>
                <w:rFonts w:ascii="宋体"/>
              </w:rPr>
            </w:pPr>
          </w:p>
        </w:tc>
      </w:tr>
    </w:tbl>
    <w:p w14:paraId="7E785239" w14:textId="77777777" w:rsidR="00A82082" w:rsidRDefault="00E946F9">
      <w:pPr>
        <w:spacing w:before="180"/>
      </w:pPr>
      <w:r>
        <w:rPr>
          <w:rFonts w:ascii="Times New Roman" w:eastAsia="宋体" w:hAnsi="Times New Roman"/>
          <w:i/>
          <w:iCs/>
          <w:color w:val="000000"/>
          <w:sz w:val="20"/>
          <w:szCs w:val="20"/>
        </w:rPr>
        <w:t>Derivatives</w:t>
      </w:r>
    </w:p>
    <w:p w14:paraId="7E78523A" w14:textId="77777777" w:rsidR="00A82082" w:rsidRDefault="00E946F9">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w:t>
      </w:r>
      <w:r>
        <w:rPr>
          <w:rFonts w:ascii="Times New Roman" w:eastAsia="宋体" w:hAnsi="Times New Roman"/>
          <w:color w:val="000000"/>
          <w:sz w:val="20"/>
          <w:szCs w:val="20"/>
        </w:rPr>
        <w:t>. The fair values have been measured using the income approach and Level 2 inputs, which include the relevant interest rate and foreign currency forward curves. As of October 31, 2020 and January 31, 2020, the notional amounts and fair values of these deri</w:t>
      </w:r>
      <w:r>
        <w:rPr>
          <w:rFonts w:ascii="Times New Roman" w:eastAsia="宋体" w:hAnsi="Times New Roman"/>
          <w:color w:val="000000"/>
          <w:sz w:val="20"/>
          <w:szCs w:val="20"/>
        </w:rPr>
        <w:t>vatives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7"/>
        <w:gridCol w:w="36"/>
        <w:gridCol w:w="36"/>
        <w:gridCol w:w="36"/>
        <w:gridCol w:w="101"/>
        <w:gridCol w:w="462"/>
        <w:gridCol w:w="37"/>
        <w:gridCol w:w="37"/>
        <w:gridCol w:w="144"/>
        <w:gridCol w:w="36"/>
        <w:gridCol w:w="101"/>
        <w:gridCol w:w="534"/>
        <w:gridCol w:w="36"/>
        <w:gridCol w:w="36"/>
        <w:gridCol w:w="36"/>
        <w:gridCol w:w="36"/>
        <w:gridCol w:w="100"/>
        <w:gridCol w:w="494"/>
        <w:gridCol w:w="36"/>
        <w:gridCol w:w="37"/>
        <w:gridCol w:w="144"/>
        <w:gridCol w:w="36"/>
      </w:tblGrid>
      <w:tr w:rsidR="00A82082" w14:paraId="7E785256" w14:textId="77777777">
        <w:tc>
          <w:tcPr>
            <w:tcW w:w="50" w:type="pct"/>
            <w:shd w:val="clear" w:color="auto" w:fill="auto"/>
          </w:tcPr>
          <w:p w14:paraId="7E78523B" w14:textId="77777777" w:rsidR="00A82082" w:rsidRDefault="00A82082">
            <w:pPr>
              <w:rPr>
                <w:rFonts w:ascii="宋体"/>
              </w:rPr>
            </w:pPr>
          </w:p>
        </w:tc>
        <w:tc>
          <w:tcPr>
            <w:tcW w:w="3051" w:type="pct"/>
            <w:shd w:val="clear" w:color="auto" w:fill="auto"/>
          </w:tcPr>
          <w:p w14:paraId="7E78523C" w14:textId="77777777" w:rsidR="00A82082" w:rsidRDefault="00A82082">
            <w:pPr>
              <w:rPr>
                <w:rFonts w:ascii="宋体"/>
              </w:rPr>
            </w:pPr>
          </w:p>
        </w:tc>
        <w:tc>
          <w:tcPr>
            <w:tcW w:w="5" w:type="pct"/>
            <w:shd w:val="clear" w:color="auto" w:fill="auto"/>
          </w:tcPr>
          <w:p w14:paraId="7E78523D" w14:textId="77777777" w:rsidR="00A82082" w:rsidRDefault="00A82082">
            <w:pPr>
              <w:rPr>
                <w:rFonts w:ascii="宋体"/>
              </w:rPr>
            </w:pPr>
          </w:p>
        </w:tc>
        <w:tc>
          <w:tcPr>
            <w:tcW w:w="50" w:type="pct"/>
            <w:shd w:val="clear" w:color="auto" w:fill="auto"/>
          </w:tcPr>
          <w:p w14:paraId="7E78523E" w14:textId="77777777" w:rsidR="00A82082" w:rsidRDefault="00A82082">
            <w:pPr>
              <w:rPr>
                <w:rFonts w:ascii="宋体"/>
              </w:rPr>
            </w:pPr>
          </w:p>
        </w:tc>
        <w:tc>
          <w:tcPr>
            <w:tcW w:w="332" w:type="pct"/>
            <w:shd w:val="clear" w:color="auto" w:fill="auto"/>
          </w:tcPr>
          <w:p w14:paraId="7E78523F" w14:textId="77777777" w:rsidR="00A82082" w:rsidRDefault="00A82082">
            <w:pPr>
              <w:rPr>
                <w:rFonts w:ascii="宋体"/>
              </w:rPr>
            </w:pPr>
          </w:p>
        </w:tc>
        <w:tc>
          <w:tcPr>
            <w:tcW w:w="5" w:type="pct"/>
            <w:shd w:val="clear" w:color="auto" w:fill="auto"/>
          </w:tcPr>
          <w:p w14:paraId="7E785240" w14:textId="77777777" w:rsidR="00A82082" w:rsidRDefault="00A82082">
            <w:pPr>
              <w:rPr>
                <w:rFonts w:ascii="宋体"/>
              </w:rPr>
            </w:pPr>
          </w:p>
        </w:tc>
        <w:tc>
          <w:tcPr>
            <w:tcW w:w="5" w:type="pct"/>
            <w:shd w:val="clear" w:color="auto" w:fill="auto"/>
          </w:tcPr>
          <w:p w14:paraId="7E785241" w14:textId="77777777" w:rsidR="00A82082" w:rsidRDefault="00A82082">
            <w:pPr>
              <w:rPr>
                <w:rFonts w:ascii="宋体"/>
              </w:rPr>
            </w:pPr>
          </w:p>
        </w:tc>
        <w:tc>
          <w:tcPr>
            <w:tcW w:w="26" w:type="pct"/>
            <w:shd w:val="clear" w:color="auto" w:fill="auto"/>
          </w:tcPr>
          <w:p w14:paraId="7E785242" w14:textId="77777777" w:rsidR="00A82082" w:rsidRDefault="00A82082">
            <w:pPr>
              <w:rPr>
                <w:rFonts w:ascii="宋体"/>
              </w:rPr>
            </w:pPr>
          </w:p>
        </w:tc>
        <w:tc>
          <w:tcPr>
            <w:tcW w:w="5" w:type="pct"/>
            <w:shd w:val="clear" w:color="auto" w:fill="auto"/>
          </w:tcPr>
          <w:p w14:paraId="7E785243" w14:textId="77777777" w:rsidR="00A82082" w:rsidRDefault="00A82082">
            <w:pPr>
              <w:rPr>
                <w:rFonts w:ascii="宋体"/>
              </w:rPr>
            </w:pPr>
          </w:p>
        </w:tc>
        <w:tc>
          <w:tcPr>
            <w:tcW w:w="50" w:type="pct"/>
            <w:shd w:val="clear" w:color="auto" w:fill="auto"/>
          </w:tcPr>
          <w:p w14:paraId="7E785244" w14:textId="77777777" w:rsidR="00A82082" w:rsidRDefault="00A82082">
            <w:pPr>
              <w:rPr>
                <w:rFonts w:ascii="宋体"/>
              </w:rPr>
            </w:pPr>
          </w:p>
        </w:tc>
        <w:tc>
          <w:tcPr>
            <w:tcW w:w="354" w:type="pct"/>
            <w:shd w:val="clear" w:color="auto" w:fill="auto"/>
          </w:tcPr>
          <w:p w14:paraId="7E785245" w14:textId="77777777" w:rsidR="00A82082" w:rsidRDefault="00A82082">
            <w:pPr>
              <w:rPr>
                <w:rFonts w:ascii="宋体"/>
              </w:rPr>
            </w:pPr>
          </w:p>
        </w:tc>
        <w:tc>
          <w:tcPr>
            <w:tcW w:w="5" w:type="pct"/>
            <w:shd w:val="clear" w:color="auto" w:fill="auto"/>
          </w:tcPr>
          <w:p w14:paraId="7E785246" w14:textId="77777777" w:rsidR="00A82082" w:rsidRDefault="00A82082">
            <w:pPr>
              <w:rPr>
                <w:rFonts w:ascii="宋体"/>
              </w:rPr>
            </w:pPr>
          </w:p>
        </w:tc>
        <w:tc>
          <w:tcPr>
            <w:tcW w:w="5" w:type="pct"/>
            <w:shd w:val="clear" w:color="auto" w:fill="auto"/>
          </w:tcPr>
          <w:p w14:paraId="7E785247" w14:textId="77777777" w:rsidR="00A82082" w:rsidRDefault="00A82082">
            <w:pPr>
              <w:rPr>
                <w:rFonts w:ascii="宋体"/>
              </w:rPr>
            </w:pPr>
          </w:p>
        </w:tc>
        <w:tc>
          <w:tcPr>
            <w:tcW w:w="106" w:type="pct"/>
            <w:shd w:val="clear" w:color="auto" w:fill="auto"/>
          </w:tcPr>
          <w:p w14:paraId="7E785248" w14:textId="77777777" w:rsidR="00A82082" w:rsidRDefault="00A82082">
            <w:pPr>
              <w:rPr>
                <w:rFonts w:ascii="宋体"/>
              </w:rPr>
            </w:pPr>
          </w:p>
        </w:tc>
        <w:tc>
          <w:tcPr>
            <w:tcW w:w="5" w:type="pct"/>
            <w:shd w:val="clear" w:color="auto" w:fill="auto"/>
          </w:tcPr>
          <w:p w14:paraId="7E785249" w14:textId="77777777" w:rsidR="00A82082" w:rsidRDefault="00A82082">
            <w:pPr>
              <w:rPr>
                <w:rFonts w:ascii="宋体"/>
              </w:rPr>
            </w:pPr>
          </w:p>
        </w:tc>
        <w:tc>
          <w:tcPr>
            <w:tcW w:w="50" w:type="pct"/>
            <w:shd w:val="clear" w:color="auto" w:fill="auto"/>
          </w:tcPr>
          <w:p w14:paraId="7E78524A" w14:textId="77777777" w:rsidR="00A82082" w:rsidRDefault="00A82082">
            <w:pPr>
              <w:rPr>
                <w:rFonts w:ascii="宋体"/>
              </w:rPr>
            </w:pPr>
          </w:p>
        </w:tc>
        <w:tc>
          <w:tcPr>
            <w:tcW w:w="317" w:type="pct"/>
            <w:shd w:val="clear" w:color="auto" w:fill="auto"/>
          </w:tcPr>
          <w:p w14:paraId="7E78524B" w14:textId="77777777" w:rsidR="00A82082" w:rsidRDefault="00A82082">
            <w:pPr>
              <w:rPr>
                <w:rFonts w:ascii="宋体"/>
              </w:rPr>
            </w:pPr>
          </w:p>
        </w:tc>
        <w:tc>
          <w:tcPr>
            <w:tcW w:w="5" w:type="pct"/>
            <w:shd w:val="clear" w:color="auto" w:fill="auto"/>
          </w:tcPr>
          <w:p w14:paraId="7E78524C" w14:textId="77777777" w:rsidR="00A82082" w:rsidRDefault="00A82082">
            <w:pPr>
              <w:rPr>
                <w:rFonts w:ascii="宋体"/>
              </w:rPr>
            </w:pPr>
          </w:p>
        </w:tc>
        <w:tc>
          <w:tcPr>
            <w:tcW w:w="5" w:type="pct"/>
            <w:shd w:val="clear" w:color="auto" w:fill="auto"/>
          </w:tcPr>
          <w:p w14:paraId="7E78524D" w14:textId="77777777" w:rsidR="00A82082" w:rsidRDefault="00A82082">
            <w:pPr>
              <w:rPr>
                <w:rFonts w:ascii="宋体"/>
              </w:rPr>
            </w:pPr>
          </w:p>
        </w:tc>
        <w:tc>
          <w:tcPr>
            <w:tcW w:w="26" w:type="pct"/>
            <w:shd w:val="clear" w:color="auto" w:fill="auto"/>
          </w:tcPr>
          <w:p w14:paraId="7E78524E" w14:textId="77777777" w:rsidR="00A82082" w:rsidRDefault="00A82082">
            <w:pPr>
              <w:rPr>
                <w:rFonts w:ascii="宋体"/>
              </w:rPr>
            </w:pPr>
          </w:p>
        </w:tc>
        <w:tc>
          <w:tcPr>
            <w:tcW w:w="5" w:type="pct"/>
            <w:shd w:val="clear" w:color="auto" w:fill="auto"/>
          </w:tcPr>
          <w:p w14:paraId="7E78524F" w14:textId="77777777" w:rsidR="00A82082" w:rsidRDefault="00A82082">
            <w:pPr>
              <w:rPr>
                <w:rFonts w:ascii="宋体"/>
              </w:rPr>
            </w:pPr>
          </w:p>
        </w:tc>
        <w:tc>
          <w:tcPr>
            <w:tcW w:w="50" w:type="pct"/>
            <w:shd w:val="clear" w:color="auto" w:fill="auto"/>
          </w:tcPr>
          <w:p w14:paraId="7E785250" w14:textId="77777777" w:rsidR="00A82082" w:rsidRDefault="00A82082">
            <w:pPr>
              <w:rPr>
                <w:rFonts w:ascii="宋体"/>
              </w:rPr>
            </w:pPr>
          </w:p>
        </w:tc>
        <w:tc>
          <w:tcPr>
            <w:tcW w:w="361" w:type="pct"/>
            <w:shd w:val="clear" w:color="auto" w:fill="auto"/>
          </w:tcPr>
          <w:p w14:paraId="7E785251" w14:textId="77777777" w:rsidR="00A82082" w:rsidRDefault="00A82082">
            <w:pPr>
              <w:rPr>
                <w:rFonts w:ascii="宋体"/>
              </w:rPr>
            </w:pPr>
          </w:p>
        </w:tc>
        <w:tc>
          <w:tcPr>
            <w:tcW w:w="5" w:type="pct"/>
            <w:shd w:val="clear" w:color="auto" w:fill="auto"/>
          </w:tcPr>
          <w:p w14:paraId="7E785252" w14:textId="77777777" w:rsidR="00A82082" w:rsidRDefault="00A82082">
            <w:pPr>
              <w:rPr>
                <w:rFonts w:ascii="宋体"/>
              </w:rPr>
            </w:pPr>
          </w:p>
        </w:tc>
        <w:tc>
          <w:tcPr>
            <w:tcW w:w="5" w:type="pct"/>
            <w:shd w:val="clear" w:color="auto" w:fill="auto"/>
          </w:tcPr>
          <w:p w14:paraId="7E785253" w14:textId="77777777" w:rsidR="00A82082" w:rsidRDefault="00A82082">
            <w:pPr>
              <w:rPr>
                <w:rFonts w:ascii="宋体"/>
              </w:rPr>
            </w:pPr>
          </w:p>
        </w:tc>
        <w:tc>
          <w:tcPr>
            <w:tcW w:w="107" w:type="pct"/>
            <w:shd w:val="clear" w:color="auto" w:fill="auto"/>
          </w:tcPr>
          <w:p w14:paraId="7E785254" w14:textId="77777777" w:rsidR="00A82082" w:rsidRDefault="00A82082">
            <w:pPr>
              <w:rPr>
                <w:rFonts w:ascii="宋体"/>
              </w:rPr>
            </w:pPr>
          </w:p>
        </w:tc>
        <w:tc>
          <w:tcPr>
            <w:tcW w:w="5" w:type="pct"/>
            <w:shd w:val="clear" w:color="auto" w:fill="auto"/>
          </w:tcPr>
          <w:p w14:paraId="7E785255" w14:textId="77777777" w:rsidR="00A82082" w:rsidRDefault="00A82082">
            <w:pPr>
              <w:rPr>
                <w:rFonts w:ascii="宋体"/>
              </w:rPr>
            </w:pPr>
          </w:p>
        </w:tc>
      </w:tr>
      <w:tr w:rsidR="00A82082" w14:paraId="7E78525C" w14:textId="77777777">
        <w:tc>
          <w:tcPr>
            <w:tcW w:w="0" w:type="auto"/>
            <w:gridSpan w:val="3"/>
            <w:shd w:val="clear" w:color="auto" w:fill="auto"/>
            <w:tcMar>
              <w:top w:w="40" w:type="dxa"/>
              <w:left w:w="20" w:type="dxa"/>
              <w:bottom w:w="40" w:type="dxa"/>
              <w:right w:w="20" w:type="dxa"/>
            </w:tcMar>
            <w:vAlign w:val="bottom"/>
          </w:tcPr>
          <w:p w14:paraId="7E785257" w14:textId="77777777" w:rsidR="00A82082" w:rsidRDefault="00E946F9">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E785258" w14:textId="77777777" w:rsidR="00A82082" w:rsidRDefault="00E946F9">
            <w:pPr>
              <w:jc w:val="center"/>
              <w:textAlignment w:val="bottom"/>
            </w:pPr>
            <w:r>
              <w:rPr>
                <w:rFonts w:ascii="Times New Roman" w:eastAsia="宋体" w:hAnsi="Times New Roman"/>
                <w:b/>
                <w:bCs/>
                <w:color w:val="000000"/>
                <w:sz w:val="16"/>
                <w:szCs w:val="16"/>
              </w:rPr>
              <w:t>October 31, 2020</w:t>
            </w:r>
          </w:p>
        </w:tc>
        <w:tc>
          <w:tcPr>
            <w:tcW w:w="0" w:type="auto"/>
            <w:gridSpan w:val="3"/>
            <w:shd w:val="clear" w:color="auto" w:fill="auto"/>
            <w:tcMar>
              <w:top w:w="0" w:type="dxa"/>
              <w:left w:w="20" w:type="dxa"/>
              <w:bottom w:w="0" w:type="dxa"/>
              <w:right w:w="20" w:type="dxa"/>
            </w:tcMar>
          </w:tcPr>
          <w:p w14:paraId="7E785259"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25A" w14:textId="77777777" w:rsidR="00A82082" w:rsidRDefault="00E946F9">
            <w:pPr>
              <w:jc w:val="center"/>
              <w:textAlignment w:val="bottom"/>
            </w:pPr>
            <w:r>
              <w:rPr>
                <w:rFonts w:ascii="Times New Roman" w:eastAsia="宋体" w:hAnsi="Times New Roman"/>
                <w:b/>
                <w:bCs/>
                <w:color w:val="000000"/>
                <w:sz w:val="16"/>
                <w:szCs w:val="16"/>
              </w:rPr>
              <w:t>January 31, 2020</w:t>
            </w:r>
          </w:p>
        </w:tc>
        <w:tc>
          <w:tcPr>
            <w:tcW w:w="0" w:type="auto"/>
            <w:gridSpan w:val="3"/>
            <w:shd w:val="clear" w:color="auto" w:fill="auto"/>
            <w:tcMar>
              <w:top w:w="0" w:type="dxa"/>
              <w:left w:w="20" w:type="dxa"/>
              <w:bottom w:w="0" w:type="dxa"/>
              <w:right w:w="20" w:type="dxa"/>
            </w:tcMar>
          </w:tcPr>
          <w:p w14:paraId="7E78525B" w14:textId="77777777" w:rsidR="00A82082" w:rsidRDefault="00A82082">
            <w:pPr>
              <w:rPr>
                <w:rFonts w:ascii="宋体"/>
              </w:rPr>
            </w:pPr>
          </w:p>
        </w:tc>
      </w:tr>
      <w:tr w:rsidR="00A82082" w14:paraId="7E785266" w14:textId="77777777">
        <w:tc>
          <w:tcPr>
            <w:tcW w:w="0" w:type="auto"/>
            <w:gridSpan w:val="3"/>
            <w:shd w:val="clear" w:color="auto" w:fill="auto"/>
            <w:tcMar>
              <w:top w:w="40" w:type="dxa"/>
              <w:left w:w="20" w:type="dxa"/>
              <w:bottom w:w="40" w:type="dxa"/>
              <w:right w:w="20" w:type="dxa"/>
            </w:tcMar>
            <w:vAlign w:val="bottom"/>
          </w:tcPr>
          <w:p w14:paraId="7E78525D"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5E" w14:textId="77777777" w:rsidR="00A82082" w:rsidRDefault="00E946F9">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7E78525F"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60" w14:textId="77777777" w:rsidR="00A82082" w:rsidRDefault="00E946F9">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7E785261"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62" w14:textId="77777777" w:rsidR="00A82082" w:rsidRDefault="00E946F9">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7E785263"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64" w14:textId="77777777" w:rsidR="00A82082" w:rsidRDefault="00E946F9">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7E785265" w14:textId="77777777" w:rsidR="00A82082" w:rsidRDefault="00A82082">
            <w:pPr>
              <w:rPr>
                <w:rFonts w:ascii="宋体"/>
              </w:rPr>
            </w:pPr>
          </w:p>
        </w:tc>
      </w:tr>
      <w:tr w:rsidR="00A82082" w14:paraId="7E785278" w14:textId="77777777">
        <w:tc>
          <w:tcPr>
            <w:tcW w:w="0" w:type="auto"/>
            <w:gridSpan w:val="3"/>
            <w:shd w:val="clear" w:color="auto" w:fill="CCEEFF"/>
            <w:tcMar>
              <w:top w:w="40" w:type="dxa"/>
              <w:left w:w="20" w:type="dxa"/>
              <w:bottom w:w="40" w:type="dxa"/>
              <w:right w:w="20" w:type="dxa"/>
            </w:tcMar>
            <w:vAlign w:val="center"/>
          </w:tcPr>
          <w:p w14:paraId="7E785267" w14:textId="77777777" w:rsidR="00A82082" w:rsidRDefault="00E946F9">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7E78526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69" w14:textId="77777777" w:rsidR="00A82082" w:rsidRDefault="00E946F9">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6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6B"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6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6D" w14:textId="77777777" w:rsidR="00A82082" w:rsidRDefault="00E946F9">
            <w:pPr>
              <w:jc w:val="right"/>
              <w:textAlignment w:val="center"/>
            </w:pPr>
            <w:r>
              <w:rPr>
                <w:rFonts w:ascii="Times New Roman" w:eastAsia="宋体" w:hAnsi="Times New Roman"/>
                <w:color w:val="000000"/>
                <w:sz w:val="16"/>
                <w:szCs w:val="16"/>
              </w:rPr>
              <w:t>177 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6E" w14:textId="77777777" w:rsidR="00A82082" w:rsidRDefault="00A82082">
            <w:pPr>
              <w:jc w:val="right"/>
              <w:rPr>
                <w:rFonts w:ascii="宋体"/>
              </w:rPr>
            </w:pPr>
          </w:p>
        </w:tc>
        <w:tc>
          <w:tcPr>
            <w:tcW w:w="0" w:type="auto"/>
            <w:gridSpan w:val="3"/>
            <w:shd w:val="clear" w:color="auto" w:fill="CCEEFF"/>
            <w:tcMar>
              <w:top w:w="40" w:type="dxa"/>
              <w:left w:w="20" w:type="dxa"/>
              <w:bottom w:w="40" w:type="dxa"/>
              <w:right w:w="20" w:type="dxa"/>
            </w:tcMar>
            <w:vAlign w:val="center"/>
          </w:tcPr>
          <w:p w14:paraId="7E78526F" w14:textId="77777777" w:rsidR="00A82082" w:rsidRDefault="00E946F9">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7E78527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71" w14:textId="77777777" w:rsidR="00A82082" w:rsidRDefault="00E946F9">
            <w:pPr>
              <w:jc w:val="right"/>
              <w:textAlignment w:val="center"/>
            </w:pPr>
            <w:r>
              <w:rPr>
                <w:rFonts w:ascii="Times New Roman" w:eastAsia="宋体" w:hAnsi="Times New Roman"/>
                <w:color w:val="000000"/>
                <w:sz w:val="16"/>
                <w:szCs w:val="16"/>
              </w:rPr>
              <w:t>4,000 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7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7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7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75" w14:textId="77777777" w:rsidR="00A82082" w:rsidRDefault="00E946F9">
            <w:pPr>
              <w:jc w:val="right"/>
              <w:textAlignment w:val="center"/>
            </w:pPr>
            <w:r>
              <w:rPr>
                <w:rFonts w:ascii="Times New Roman" w:eastAsia="宋体" w:hAnsi="Times New Roman"/>
                <w:color w:val="000000"/>
                <w:sz w:val="16"/>
                <w:szCs w:val="16"/>
              </w:rPr>
              <w:t>97 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76" w14:textId="77777777" w:rsidR="00A82082" w:rsidRDefault="00A82082">
            <w:pPr>
              <w:jc w:val="right"/>
              <w:rPr>
                <w:rFonts w:ascii="宋体"/>
              </w:rPr>
            </w:pPr>
          </w:p>
        </w:tc>
        <w:tc>
          <w:tcPr>
            <w:tcW w:w="0" w:type="auto"/>
            <w:gridSpan w:val="3"/>
            <w:shd w:val="clear" w:color="auto" w:fill="CCEEFF"/>
            <w:tcMar>
              <w:top w:w="40" w:type="dxa"/>
              <w:left w:w="20" w:type="dxa"/>
              <w:bottom w:w="40" w:type="dxa"/>
              <w:right w:w="20" w:type="dxa"/>
            </w:tcMar>
            <w:vAlign w:val="center"/>
          </w:tcPr>
          <w:p w14:paraId="7E785277" w14:textId="77777777" w:rsidR="00A82082" w:rsidRDefault="00E946F9">
            <w:pPr>
              <w:textAlignment w:val="center"/>
            </w:pPr>
            <w:r>
              <w:rPr>
                <w:rFonts w:ascii="Times New Roman" w:eastAsia="宋体" w:hAnsi="Times New Roman"/>
                <w:color w:val="000000"/>
                <w:sz w:val="10"/>
                <w:szCs w:val="10"/>
              </w:rPr>
              <w:t>(1)</w:t>
            </w:r>
          </w:p>
        </w:tc>
      </w:tr>
      <w:tr w:rsidR="00A82082" w14:paraId="7E785286" w14:textId="77777777">
        <w:tc>
          <w:tcPr>
            <w:tcW w:w="0" w:type="auto"/>
            <w:gridSpan w:val="3"/>
            <w:shd w:val="clear" w:color="auto" w:fill="FFFFFF"/>
            <w:tcMar>
              <w:top w:w="40" w:type="dxa"/>
              <w:left w:w="20" w:type="dxa"/>
              <w:bottom w:w="40" w:type="dxa"/>
              <w:right w:w="20" w:type="dxa"/>
            </w:tcMar>
            <w:vAlign w:val="center"/>
          </w:tcPr>
          <w:p w14:paraId="7E785279" w14:textId="77777777" w:rsidR="00A82082" w:rsidRDefault="00E946F9">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7E78527A" w14:textId="77777777" w:rsidR="00A82082" w:rsidRDefault="00E946F9">
            <w:pPr>
              <w:jc w:val="right"/>
              <w:textAlignment w:val="center"/>
            </w:pPr>
            <w:r>
              <w:rPr>
                <w:rFonts w:ascii="Times New Roman" w:eastAsia="宋体" w:hAnsi="Times New Roman"/>
                <w:color w:val="000000"/>
                <w:sz w:val="16"/>
                <w:szCs w:val="16"/>
              </w:rPr>
              <w:t>3,500 </w:t>
            </w:r>
          </w:p>
        </w:tc>
        <w:tc>
          <w:tcPr>
            <w:tcW w:w="0" w:type="auto"/>
            <w:shd w:val="clear" w:color="auto" w:fill="FFFFFF"/>
            <w:tcMar>
              <w:top w:w="40" w:type="dxa"/>
              <w:left w:w="0" w:type="dxa"/>
              <w:bottom w:w="40" w:type="dxa"/>
              <w:right w:w="20" w:type="dxa"/>
            </w:tcMar>
            <w:vAlign w:val="center"/>
          </w:tcPr>
          <w:p w14:paraId="7E78527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7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27D" w14:textId="77777777" w:rsidR="00A82082" w:rsidRDefault="00E946F9">
            <w:pPr>
              <w:jc w:val="right"/>
              <w:textAlignment w:val="center"/>
            </w:pPr>
            <w:r>
              <w:rPr>
                <w:rFonts w:ascii="Times New Roman" w:eastAsia="宋体" w:hAnsi="Times New Roman"/>
                <w:color w:val="000000"/>
                <w:sz w:val="16"/>
                <w:szCs w:val="16"/>
              </w:rPr>
              <w:t>446 </w:t>
            </w:r>
          </w:p>
        </w:tc>
        <w:tc>
          <w:tcPr>
            <w:tcW w:w="0" w:type="auto"/>
            <w:shd w:val="clear" w:color="auto" w:fill="FFFFFF"/>
            <w:tcMar>
              <w:top w:w="40" w:type="dxa"/>
              <w:left w:w="0" w:type="dxa"/>
              <w:bottom w:w="40" w:type="dxa"/>
              <w:right w:w="20" w:type="dxa"/>
            </w:tcMar>
            <w:vAlign w:val="center"/>
          </w:tcPr>
          <w:p w14:paraId="7E78527E" w14:textId="77777777" w:rsidR="00A82082" w:rsidRDefault="00A82082">
            <w:pPr>
              <w:jc w:val="right"/>
              <w:rPr>
                <w:rFonts w:ascii="宋体"/>
              </w:rPr>
            </w:pPr>
          </w:p>
        </w:tc>
        <w:tc>
          <w:tcPr>
            <w:tcW w:w="0" w:type="auto"/>
            <w:gridSpan w:val="3"/>
            <w:shd w:val="clear" w:color="auto" w:fill="FFFFFF"/>
            <w:tcMar>
              <w:top w:w="40" w:type="dxa"/>
              <w:left w:w="20" w:type="dxa"/>
              <w:bottom w:w="40" w:type="dxa"/>
              <w:right w:w="20" w:type="dxa"/>
            </w:tcMar>
            <w:vAlign w:val="center"/>
          </w:tcPr>
          <w:p w14:paraId="7E78527F" w14:textId="77777777" w:rsidR="00A82082" w:rsidRDefault="00E946F9">
            <w:pPr>
              <w:textAlignment w:val="center"/>
            </w:pP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7E785280" w14:textId="77777777" w:rsidR="00A82082" w:rsidRDefault="00E946F9">
            <w:pPr>
              <w:jc w:val="right"/>
              <w:textAlignment w:val="center"/>
            </w:pPr>
            <w:r>
              <w:rPr>
                <w:rFonts w:ascii="Times New Roman" w:eastAsia="宋体" w:hAnsi="Times New Roman"/>
                <w:color w:val="000000"/>
                <w:sz w:val="16"/>
                <w:szCs w:val="16"/>
              </w:rPr>
              <w:t>3,750 </w:t>
            </w:r>
          </w:p>
        </w:tc>
        <w:tc>
          <w:tcPr>
            <w:tcW w:w="0" w:type="auto"/>
            <w:shd w:val="clear" w:color="auto" w:fill="FFFFFF"/>
            <w:tcMar>
              <w:top w:w="40" w:type="dxa"/>
              <w:left w:w="0" w:type="dxa"/>
              <w:bottom w:w="40" w:type="dxa"/>
              <w:right w:w="20" w:type="dxa"/>
            </w:tcMar>
            <w:vAlign w:val="center"/>
          </w:tcPr>
          <w:p w14:paraId="7E78528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8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283" w14:textId="77777777" w:rsidR="00A82082" w:rsidRDefault="00E946F9">
            <w:pPr>
              <w:jc w:val="right"/>
              <w:textAlignment w:val="center"/>
            </w:pPr>
            <w:r>
              <w:rPr>
                <w:rFonts w:ascii="Times New Roman" w:eastAsia="宋体" w:hAnsi="Times New Roman"/>
                <w:color w:val="000000"/>
                <w:sz w:val="16"/>
                <w:szCs w:val="16"/>
              </w:rPr>
              <w:t>455 </w:t>
            </w:r>
          </w:p>
        </w:tc>
        <w:tc>
          <w:tcPr>
            <w:tcW w:w="0" w:type="auto"/>
            <w:shd w:val="clear" w:color="auto" w:fill="FFFFFF"/>
            <w:tcMar>
              <w:top w:w="40" w:type="dxa"/>
              <w:left w:w="0" w:type="dxa"/>
              <w:bottom w:w="40" w:type="dxa"/>
              <w:right w:w="20" w:type="dxa"/>
            </w:tcMar>
            <w:vAlign w:val="center"/>
          </w:tcPr>
          <w:p w14:paraId="7E785284" w14:textId="77777777" w:rsidR="00A82082" w:rsidRDefault="00A82082">
            <w:pPr>
              <w:jc w:val="right"/>
              <w:rPr>
                <w:rFonts w:ascii="宋体"/>
              </w:rPr>
            </w:pPr>
          </w:p>
        </w:tc>
        <w:tc>
          <w:tcPr>
            <w:tcW w:w="0" w:type="auto"/>
            <w:gridSpan w:val="3"/>
            <w:shd w:val="clear" w:color="auto" w:fill="FFFFFF"/>
            <w:tcMar>
              <w:top w:w="40" w:type="dxa"/>
              <w:left w:w="20" w:type="dxa"/>
              <w:bottom w:w="40" w:type="dxa"/>
              <w:right w:w="20" w:type="dxa"/>
            </w:tcMar>
            <w:vAlign w:val="center"/>
          </w:tcPr>
          <w:p w14:paraId="7E785285" w14:textId="77777777" w:rsidR="00A82082" w:rsidRDefault="00E946F9">
            <w:pPr>
              <w:textAlignment w:val="center"/>
            </w:pPr>
            <w:r>
              <w:rPr>
                <w:rFonts w:ascii="Times New Roman" w:eastAsia="宋体" w:hAnsi="Times New Roman"/>
                <w:color w:val="000000"/>
                <w:sz w:val="10"/>
                <w:szCs w:val="10"/>
              </w:rPr>
              <w:t>(1)</w:t>
            </w:r>
          </w:p>
        </w:tc>
      </w:tr>
      <w:tr w:rsidR="00A82082" w14:paraId="7E785294" w14:textId="77777777">
        <w:tc>
          <w:tcPr>
            <w:tcW w:w="0" w:type="auto"/>
            <w:gridSpan w:val="3"/>
            <w:shd w:val="clear" w:color="auto" w:fill="CCEEFF"/>
            <w:tcMar>
              <w:top w:w="40" w:type="dxa"/>
              <w:left w:w="20" w:type="dxa"/>
              <w:bottom w:w="40" w:type="dxa"/>
              <w:right w:w="20" w:type="dxa"/>
            </w:tcMar>
            <w:vAlign w:val="center"/>
          </w:tcPr>
          <w:p w14:paraId="7E785287" w14:textId="77777777" w:rsidR="00A82082" w:rsidRDefault="00E946F9">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7E785288" w14:textId="77777777" w:rsidR="00A82082" w:rsidRDefault="00E946F9">
            <w:pPr>
              <w:jc w:val="right"/>
              <w:textAlignment w:val="center"/>
            </w:pPr>
            <w:r>
              <w:rPr>
                <w:rFonts w:ascii="Times New Roman" w:eastAsia="宋体" w:hAnsi="Times New Roman"/>
                <w:color w:val="000000"/>
                <w:sz w:val="16"/>
                <w:szCs w:val="16"/>
              </w:rPr>
              <w:t>4,206 </w:t>
            </w:r>
          </w:p>
        </w:tc>
        <w:tc>
          <w:tcPr>
            <w:tcW w:w="0" w:type="auto"/>
            <w:shd w:val="clear" w:color="auto" w:fill="CCEEFF"/>
            <w:tcMar>
              <w:top w:w="40" w:type="dxa"/>
              <w:left w:w="0" w:type="dxa"/>
              <w:bottom w:w="40" w:type="dxa"/>
              <w:right w:w="20" w:type="dxa"/>
            </w:tcMar>
            <w:vAlign w:val="center"/>
          </w:tcPr>
          <w:p w14:paraId="7E78528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8A"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28B" w14:textId="77777777" w:rsidR="00A82082" w:rsidRDefault="00E946F9">
            <w:pPr>
              <w:jc w:val="right"/>
              <w:textAlignment w:val="center"/>
            </w:pPr>
            <w:r>
              <w:rPr>
                <w:rFonts w:ascii="Times New Roman" w:eastAsia="宋体" w:hAnsi="Times New Roman"/>
                <w:color w:val="000000"/>
                <w:sz w:val="16"/>
                <w:szCs w:val="16"/>
              </w:rPr>
              <w:t>(722)</w:t>
            </w:r>
          </w:p>
        </w:tc>
        <w:tc>
          <w:tcPr>
            <w:tcW w:w="0" w:type="auto"/>
            <w:shd w:val="clear" w:color="auto" w:fill="CCEEFF"/>
            <w:tcMar>
              <w:top w:w="40" w:type="dxa"/>
              <w:left w:w="0" w:type="dxa"/>
              <w:bottom w:w="40" w:type="dxa"/>
              <w:right w:w="20" w:type="dxa"/>
            </w:tcMar>
            <w:vAlign w:val="center"/>
          </w:tcPr>
          <w:p w14:paraId="7E78528C" w14:textId="77777777" w:rsidR="00A82082" w:rsidRDefault="00A82082">
            <w:pPr>
              <w:jc w:val="right"/>
              <w:rPr>
                <w:rFonts w:ascii="宋体"/>
              </w:rPr>
            </w:pPr>
          </w:p>
        </w:tc>
        <w:tc>
          <w:tcPr>
            <w:tcW w:w="0" w:type="auto"/>
            <w:gridSpan w:val="3"/>
            <w:shd w:val="clear" w:color="auto" w:fill="CCEEFF"/>
            <w:tcMar>
              <w:top w:w="40" w:type="dxa"/>
              <w:left w:w="20" w:type="dxa"/>
              <w:bottom w:w="40" w:type="dxa"/>
              <w:right w:w="20" w:type="dxa"/>
            </w:tcMar>
            <w:vAlign w:val="center"/>
          </w:tcPr>
          <w:p w14:paraId="7E78528D" w14:textId="77777777" w:rsidR="00A82082" w:rsidRDefault="00E946F9">
            <w:pPr>
              <w:textAlignment w:val="center"/>
            </w:pPr>
            <w:r>
              <w:rPr>
                <w:rFonts w:ascii="Times New Roman" w:eastAsia="宋体" w:hAnsi="Times New Roman"/>
                <w:color w:val="000000"/>
                <w:sz w:val="10"/>
                <w:szCs w:val="10"/>
              </w:rPr>
              <w:t>(2)</w:t>
            </w:r>
          </w:p>
        </w:tc>
        <w:tc>
          <w:tcPr>
            <w:tcW w:w="0" w:type="auto"/>
            <w:gridSpan w:val="2"/>
            <w:shd w:val="clear" w:color="auto" w:fill="CCEEFF"/>
            <w:tcMar>
              <w:top w:w="40" w:type="dxa"/>
              <w:left w:w="20" w:type="dxa"/>
              <w:bottom w:w="40" w:type="dxa"/>
              <w:right w:w="0" w:type="dxa"/>
            </w:tcMar>
            <w:vAlign w:val="center"/>
          </w:tcPr>
          <w:p w14:paraId="7E78528E" w14:textId="77777777" w:rsidR="00A82082" w:rsidRDefault="00E946F9">
            <w:pPr>
              <w:jc w:val="right"/>
              <w:textAlignment w:val="center"/>
            </w:pPr>
            <w:r>
              <w:rPr>
                <w:rFonts w:ascii="Times New Roman" w:eastAsia="宋体" w:hAnsi="Times New Roman"/>
                <w:color w:val="000000"/>
                <w:sz w:val="16"/>
                <w:szCs w:val="16"/>
              </w:rPr>
              <w:t>4,067 </w:t>
            </w:r>
          </w:p>
        </w:tc>
        <w:tc>
          <w:tcPr>
            <w:tcW w:w="0" w:type="auto"/>
            <w:shd w:val="clear" w:color="auto" w:fill="CCEEFF"/>
            <w:tcMar>
              <w:top w:w="40" w:type="dxa"/>
              <w:left w:w="0" w:type="dxa"/>
              <w:bottom w:w="40" w:type="dxa"/>
              <w:right w:w="20" w:type="dxa"/>
            </w:tcMar>
            <w:vAlign w:val="center"/>
          </w:tcPr>
          <w:p w14:paraId="7E78528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9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291" w14:textId="77777777" w:rsidR="00A82082" w:rsidRDefault="00E946F9">
            <w:pPr>
              <w:jc w:val="right"/>
              <w:textAlignment w:val="center"/>
            </w:pPr>
            <w:r>
              <w:rPr>
                <w:rFonts w:ascii="Times New Roman" w:eastAsia="宋体" w:hAnsi="Times New Roman"/>
                <w:color w:val="000000"/>
                <w:sz w:val="16"/>
                <w:szCs w:val="16"/>
              </w:rPr>
              <w:t>(696)</w:t>
            </w:r>
          </w:p>
        </w:tc>
        <w:tc>
          <w:tcPr>
            <w:tcW w:w="0" w:type="auto"/>
            <w:shd w:val="clear" w:color="auto" w:fill="CCEEFF"/>
            <w:tcMar>
              <w:top w:w="40" w:type="dxa"/>
              <w:left w:w="0" w:type="dxa"/>
              <w:bottom w:w="40" w:type="dxa"/>
              <w:right w:w="20" w:type="dxa"/>
            </w:tcMar>
            <w:vAlign w:val="center"/>
          </w:tcPr>
          <w:p w14:paraId="7E785292" w14:textId="77777777" w:rsidR="00A82082" w:rsidRDefault="00A82082">
            <w:pPr>
              <w:jc w:val="right"/>
              <w:rPr>
                <w:rFonts w:ascii="宋体"/>
              </w:rPr>
            </w:pPr>
          </w:p>
        </w:tc>
        <w:tc>
          <w:tcPr>
            <w:tcW w:w="0" w:type="auto"/>
            <w:gridSpan w:val="3"/>
            <w:shd w:val="clear" w:color="auto" w:fill="CCEEFF"/>
            <w:tcMar>
              <w:top w:w="40" w:type="dxa"/>
              <w:left w:w="20" w:type="dxa"/>
              <w:bottom w:w="40" w:type="dxa"/>
              <w:right w:w="20" w:type="dxa"/>
            </w:tcMar>
            <w:vAlign w:val="center"/>
          </w:tcPr>
          <w:p w14:paraId="7E785293" w14:textId="77777777" w:rsidR="00A82082" w:rsidRDefault="00E946F9">
            <w:pPr>
              <w:textAlignment w:val="center"/>
            </w:pPr>
            <w:r>
              <w:rPr>
                <w:rFonts w:ascii="Times New Roman" w:eastAsia="宋体" w:hAnsi="Times New Roman"/>
                <w:color w:val="000000"/>
                <w:sz w:val="10"/>
                <w:szCs w:val="10"/>
              </w:rPr>
              <w:t>(2)</w:t>
            </w:r>
          </w:p>
        </w:tc>
      </w:tr>
      <w:tr w:rsidR="00A82082" w14:paraId="7E78529E" w14:textId="77777777">
        <w:trPr>
          <w:hidden/>
        </w:trPr>
        <w:tc>
          <w:tcPr>
            <w:tcW w:w="0" w:type="auto"/>
            <w:gridSpan w:val="3"/>
            <w:shd w:val="clear" w:color="auto" w:fill="auto"/>
          </w:tcPr>
          <w:p w14:paraId="7E785295" w14:textId="77777777" w:rsidR="00A82082" w:rsidRDefault="00A82082">
            <w:pPr>
              <w:rPr>
                <w:rFonts w:ascii="宋体"/>
                <w:vanish/>
              </w:rPr>
            </w:pPr>
          </w:p>
        </w:tc>
        <w:tc>
          <w:tcPr>
            <w:tcW w:w="0" w:type="auto"/>
            <w:gridSpan w:val="3"/>
            <w:shd w:val="clear" w:color="auto" w:fill="auto"/>
          </w:tcPr>
          <w:p w14:paraId="7E785296" w14:textId="77777777" w:rsidR="00A82082" w:rsidRDefault="00A82082">
            <w:pPr>
              <w:rPr>
                <w:rFonts w:ascii="宋体"/>
                <w:vanish/>
              </w:rPr>
            </w:pPr>
          </w:p>
        </w:tc>
        <w:tc>
          <w:tcPr>
            <w:tcW w:w="0" w:type="auto"/>
            <w:gridSpan w:val="3"/>
            <w:shd w:val="clear" w:color="auto" w:fill="auto"/>
          </w:tcPr>
          <w:p w14:paraId="7E785297" w14:textId="77777777" w:rsidR="00A82082" w:rsidRDefault="00A82082">
            <w:pPr>
              <w:rPr>
                <w:rFonts w:ascii="宋体"/>
                <w:vanish/>
              </w:rPr>
            </w:pPr>
          </w:p>
        </w:tc>
        <w:tc>
          <w:tcPr>
            <w:tcW w:w="0" w:type="auto"/>
            <w:gridSpan w:val="3"/>
            <w:shd w:val="clear" w:color="auto" w:fill="auto"/>
          </w:tcPr>
          <w:p w14:paraId="7E785298" w14:textId="77777777" w:rsidR="00A82082" w:rsidRDefault="00A82082">
            <w:pPr>
              <w:rPr>
                <w:rFonts w:ascii="宋体"/>
                <w:vanish/>
              </w:rPr>
            </w:pPr>
          </w:p>
        </w:tc>
        <w:tc>
          <w:tcPr>
            <w:tcW w:w="0" w:type="auto"/>
            <w:gridSpan w:val="3"/>
            <w:shd w:val="clear" w:color="auto" w:fill="auto"/>
          </w:tcPr>
          <w:p w14:paraId="7E785299" w14:textId="77777777" w:rsidR="00A82082" w:rsidRDefault="00A82082">
            <w:pPr>
              <w:rPr>
                <w:rFonts w:ascii="宋体"/>
                <w:vanish/>
              </w:rPr>
            </w:pPr>
          </w:p>
        </w:tc>
        <w:tc>
          <w:tcPr>
            <w:tcW w:w="0" w:type="auto"/>
            <w:gridSpan w:val="3"/>
            <w:shd w:val="clear" w:color="auto" w:fill="auto"/>
          </w:tcPr>
          <w:p w14:paraId="7E78529A" w14:textId="77777777" w:rsidR="00A82082" w:rsidRDefault="00A82082">
            <w:pPr>
              <w:rPr>
                <w:rFonts w:ascii="宋体"/>
                <w:vanish/>
              </w:rPr>
            </w:pPr>
          </w:p>
        </w:tc>
        <w:tc>
          <w:tcPr>
            <w:tcW w:w="0" w:type="auto"/>
            <w:gridSpan w:val="3"/>
            <w:shd w:val="clear" w:color="auto" w:fill="auto"/>
          </w:tcPr>
          <w:p w14:paraId="7E78529B" w14:textId="77777777" w:rsidR="00A82082" w:rsidRDefault="00A82082">
            <w:pPr>
              <w:rPr>
                <w:rFonts w:ascii="宋体"/>
                <w:vanish/>
              </w:rPr>
            </w:pPr>
          </w:p>
        </w:tc>
        <w:tc>
          <w:tcPr>
            <w:tcW w:w="0" w:type="auto"/>
            <w:gridSpan w:val="3"/>
            <w:shd w:val="clear" w:color="auto" w:fill="auto"/>
          </w:tcPr>
          <w:p w14:paraId="7E78529C" w14:textId="77777777" w:rsidR="00A82082" w:rsidRDefault="00A82082">
            <w:pPr>
              <w:rPr>
                <w:rFonts w:ascii="宋体"/>
                <w:vanish/>
              </w:rPr>
            </w:pPr>
          </w:p>
        </w:tc>
        <w:tc>
          <w:tcPr>
            <w:tcW w:w="0" w:type="auto"/>
            <w:gridSpan w:val="3"/>
            <w:shd w:val="clear" w:color="auto" w:fill="auto"/>
          </w:tcPr>
          <w:p w14:paraId="7E78529D" w14:textId="77777777" w:rsidR="00A82082" w:rsidRDefault="00A82082">
            <w:pPr>
              <w:rPr>
                <w:rFonts w:ascii="宋体"/>
                <w:vanish/>
              </w:rPr>
            </w:pPr>
          </w:p>
        </w:tc>
      </w:tr>
      <w:tr w:rsidR="00A82082" w14:paraId="7E7852B0" w14:textId="77777777">
        <w:tc>
          <w:tcPr>
            <w:tcW w:w="0" w:type="auto"/>
            <w:gridSpan w:val="3"/>
            <w:shd w:val="clear" w:color="auto" w:fill="FFFFFF"/>
            <w:tcMar>
              <w:top w:w="40" w:type="dxa"/>
              <w:left w:w="20" w:type="dxa"/>
              <w:bottom w:w="40" w:type="dxa"/>
              <w:right w:w="20" w:type="dxa"/>
            </w:tcMar>
            <w:vAlign w:val="center"/>
          </w:tcPr>
          <w:p w14:paraId="7E78529F" w14:textId="77777777" w:rsidR="00A82082" w:rsidRDefault="00E946F9">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2A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2A1" w14:textId="77777777" w:rsidR="00A82082" w:rsidRDefault="00E946F9">
            <w:pPr>
              <w:jc w:val="right"/>
              <w:textAlignment w:val="center"/>
            </w:pPr>
            <w:r>
              <w:rPr>
                <w:rFonts w:ascii="Times New Roman" w:eastAsia="宋体" w:hAnsi="Times New Roman"/>
                <w:color w:val="000000"/>
                <w:sz w:val="16"/>
                <w:szCs w:val="16"/>
              </w:rPr>
              <w:t>10,956 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2A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A3"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2A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2A5" w14:textId="77777777" w:rsidR="00A82082" w:rsidRDefault="00E946F9">
            <w:pPr>
              <w:jc w:val="right"/>
              <w:textAlignment w:val="center"/>
            </w:pPr>
            <w:r>
              <w:rPr>
                <w:rFonts w:ascii="Times New Roman" w:eastAsia="宋体" w:hAnsi="Times New Roman"/>
                <w:color w:val="000000"/>
                <w:sz w:val="16"/>
                <w:szCs w:val="16"/>
              </w:rPr>
              <w:t>(99)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2A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A7"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2A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2A9" w14:textId="77777777" w:rsidR="00A82082" w:rsidRDefault="00E946F9">
            <w:pPr>
              <w:jc w:val="right"/>
              <w:textAlignment w:val="center"/>
            </w:pPr>
            <w:r>
              <w:rPr>
                <w:rFonts w:ascii="Times New Roman" w:eastAsia="宋体" w:hAnsi="Times New Roman"/>
                <w:color w:val="000000"/>
                <w:sz w:val="16"/>
                <w:szCs w:val="16"/>
              </w:rPr>
              <w:t>11,817 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2A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AB"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2A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2AD" w14:textId="77777777" w:rsidR="00A82082" w:rsidRDefault="00E946F9">
            <w:pPr>
              <w:jc w:val="right"/>
              <w:textAlignment w:val="center"/>
            </w:pPr>
            <w:r>
              <w:rPr>
                <w:rFonts w:ascii="Times New Roman" w:eastAsia="宋体" w:hAnsi="Times New Roman"/>
                <w:color w:val="000000"/>
                <w:sz w:val="16"/>
                <w:szCs w:val="16"/>
              </w:rPr>
              <w:t>(144)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2A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2AF" w14:textId="77777777" w:rsidR="00A82082" w:rsidRDefault="00A82082">
            <w:pPr>
              <w:rPr>
                <w:rFonts w:ascii="宋体"/>
              </w:rPr>
            </w:pPr>
          </w:p>
        </w:tc>
      </w:tr>
    </w:tbl>
    <w:p w14:paraId="7E7852B1" w14:textId="77777777" w:rsidR="00A82082" w:rsidRDefault="00E946F9">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in Other long-term assets within the Company's Condensed Consolidated B</w:t>
      </w:r>
      <w:r>
        <w:rPr>
          <w:rFonts w:ascii="Times New Roman" w:eastAsia="宋体" w:hAnsi="Times New Roman"/>
          <w:color w:val="000000"/>
          <w:sz w:val="16"/>
          <w:szCs w:val="16"/>
        </w:rPr>
        <w:t>alance Sheets.</w:t>
      </w:r>
    </w:p>
    <w:p w14:paraId="7E7852B2" w14:textId="77777777" w:rsidR="00A82082" w:rsidRDefault="00E946F9">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Classified in Deferred income taxes and other within the Company's Condensed Consolidated Balance Sheets.</w:t>
      </w:r>
    </w:p>
    <w:p w14:paraId="7E7852B3" w14:textId="77777777" w:rsidR="00A82082" w:rsidRDefault="00E946F9">
      <w:pPr>
        <w:jc w:val="center"/>
      </w:pPr>
      <w:r>
        <w:rPr>
          <w:rFonts w:ascii="Times New Roman" w:eastAsia="宋体" w:hAnsi="Times New Roman"/>
          <w:color w:val="000000"/>
          <w:sz w:val="20"/>
          <w:szCs w:val="20"/>
        </w:rPr>
        <w:t>11</w:t>
      </w:r>
    </w:p>
    <w:p w14:paraId="7E7852B4" w14:textId="77777777" w:rsidR="00A82082" w:rsidRDefault="00E946F9">
      <w:r>
        <w:pict w14:anchorId="7E786153">
          <v:rect id="_x0000_i1035" style="width:415.3pt;height:1.5pt" o:hralign="center" o:hrstd="t" o:hr="t" fillcolor="#a0a0a0" stroked="f"/>
        </w:pict>
      </w:r>
    </w:p>
    <w:p w14:paraId="7E7852B5" w14:textId="77777777" w:rsidR="00A82082" w:rsidRDefault="00E946F9">
      <w:hyperlink r:id="rId59" w:anchor="i5c815528a95c4409b9043de534639b9a_7" w:history="1">
        <w:r>
          <w:rPr>
            <w:rStyle w:val="a5"/>
            <w:rFonts w:ascii="Times New Roman" w:eastAsia="宋体" w:hAnsi="Times New Roman"/>
            <w:sz w:val="20"/>
            <w:szCs w:val="20"/>
          </w:rPr>
          <w:t>Table of C</w:t>
        </w:r>
      </w:hyperlink>
      <w:hyperlink r:id="rId60" w:anchor="i5c815528a95c4409b9043de534639b9a_7" w:history="1">
        <w:r>
          <w:rPr>
            <w:rStyle w:val="a5"/>
            <w:rFonts w:ascii="Times New Roman" w:eastAsia="宋体" w:hAnsi="Times New Roman"/>
            <w:sz w:val="20"/>
            <w:szCs w:val="20"/>
          </w:rPr>
          <w:t>ontents</w:t>
        </w:r>
      </w:hyperlink>
    </w:p>
    <w:p w14:paraId="7E7852B6" w14:textId="77777777" w:rsidR="00A82082" w:rsidRDefault="00E946F9">
      <w:pPr>
        <w:spacing w:before="180"/>
      </w:pPr>
      <w:r>
        <w:rPr>
          <w:rFonts w:ascii="Times New Roman" w:eastAsia="宋体" w:hAnsi="Times New Roman"/>
          <w:i/>
          <w:iCs/>
          <w:color w:val="000000"/>
          <w:sz w:val="20"/>
          <w:szCs w:val="20"/>
        </w:rPr>
        <w:t>Nonrecurring Fair Value Measurements</w:t>
      </w:r>
    </w:p>
    <w:p w14:paraId="7E7852B7" w14:textId="77777777" w:rsidR="00A82082" w:rsidRDefault="00E946F9">
      <w:pPr>
        <w:spacing w:before="100"/>
      </w:pPr>
      <w:r>
        <w:rPr>
          <w:rFonts w:ascii="Times New Roman" w:eastAsia="宋体" w:hAnsi="Times New Roman"/>
          <w:color w:val="000000"/>
          <w:sz w:val="20"/>
          <w:szCs w:val="20"/>
        </w:rPr>
        <w:t xml:space="preserve">In addition to assets and liabilities that are recorded at fair value on a recurring basis, the Company's assets and liabilities are also subject to nonrecurring fair value measurements. Generally, assets are recorded at fair value on a nonrecurring basis </w:t>
      </w:r>
      <w:r>
        <w:rPr>
          <w:rFonts w:ascii="Times New Roman" w:eastAsia="宋体" w:hAnsi="Times New Roman"/>
          <w:color w:val="000000"/>
          <w:sz w:val="20"/>
          <w:szCs w:val="20"/>
        </w:rPr>
        <w:t xml:space="preserve">as a result of impairment charges. The Company did not have any material assets or liabilities subject to nonrecurring fair value measurements as of October 31, 2020. Refer to </w:t>
      </w:r>
      <w:hyperlink r:id="rId61" w:anchor="i5c815528a95c4409b9043de534639b9a_1207"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for additional information regarding the sale of Walmart Argentina.</w:t>
      </w:r>
    </w:p>
    <w:p w14:paraId="7E7852B8" w14:textId="77777777" w:rsidR="00A82082" w:rsidRDefault="00E946F9">
      <w:pPr>
        <w:spacing w:before="180"/>
      </w:pPr>
      <w:r>
        <w:rPr>
          <w:rFonts w:ascii="Times New Roman" w:eastAsia="宋体" w:hAnsi="Times New Roman"/>
          <w:i/>
          <w:iCs/>
          <w:color w:val="000000"/>
          <w:sz w:val="20"/>
          <w:szCs w:val="20"/>
        </w:rPr>
        <w:t>Other Fair Value Disclosures</w:t>
      </w:r>
    </w:p>
    <w:p w14:paraId="7E7852B9" w14:textId="77777777" w:rsidR="00A82082" w:rsidRDefault="00E946F9">
      <w:pPr>
        <w:spacing w:before="100"/>
      </w:pPr>
      <w:r>
        <w:rPr>
          <w:rFonts w:ascii="Times New Roman" w:eastAsia="宋体" w:hAnsi="Times New Roman"/>
          <w:color w:val="000000"/>
          <w:sz w:val="20"/>
          <w:szCs w:val="20"/>
        </w:rPr>
        <w:t>The Company records cash and cash equivalents, restricted cash, and short-ter</w:t>
      </w:r>
      <w:r>
        <w:rPr>
          <w:rFonts w:ascii="Times New Roman" w:eastAsia="宋体" w:hAnsi="Times New Roman"/>
          <w:color w:val="000000"/>
          <w:sz w:val="20"/>
          <w:szCs w:val="20"/>
        </w:rPr>
        <w:t xml:space="preserve">m borrowings at cost. The carrying values of these instruments approximate their fair value due to their short-term maturities. </w:t>
      </w:r>
    </w:p>
    <w:p w14:paraId="7E7852BA" w14:textId="77777777" w:rsidR="00A82082" w:rsidRDefault="00E946F9">
      <w:pPr>
        <w:spacing w:before="100"/>
      </w:pPr>
      <w:r>
        <w:rPr>
          <w:rFonts w:ascii="Times New Roman" w:eastAsia="宋体" w:hAnsi="Times New Roman"/>
          <w:color w:val="000000"/>
          <w:sz w:val="20"/>
          <w:szCs w:val="20"/>
        </w:rPr>
        <w:t xml:space="preserve">The Company's long-term debt is also recorded at cost. The fair value is estimated using Level 2 inputs based on the Company's </w:t>
      </w:r>
      <w:r>
        <w:rPr>
          <w:rFonts w:ascii="Times New Roman" w:eastAsia="宋体" w:hAnsi="Times New Roman"/>
          <w:color w:val="000000"/>
          <w:sz w:val="20"/>
          <w:szCs w:val="20"/>
        </w:rPr>
        <w:t>current incremental borrowing rate for similar types of borrowing arrangements. The carrying value and fair value of the Company's long-term debt as of October 31, 2020 and January 31, 2020,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A82082" w14:paraId="7E7852D6" w14:textId="77777777">
        <w:tc>
          <w:tcPr>
            <w:tcW w:w="50" w:type="pct"/>
            <w:shd w:val="clear" w:color="auto" w:fill="auto"/>
          </w:tcPr>
          <w:p w14:paraId="7E7852BB" w14:textId="77777777" w:rsidR="00A82082" w:rsidRDefault="00A82082">
            <w:pPr>
              <w:rPr>
                <w:rFonts w:ascii="宋体"/>
              </w:rPr>
            </w:pPr>
          </w:p>
        </w:tc>
        <w:tc>
          <w:tcPr>
            <w:tcW w:w="2455" w:type="pct"/>
            <w:shd w:val="clear" w:color="auto" w:fill="auto"/>
          </w:tcPr>
          <w:p w14:paraId="7E7852BC" w14:textId="77777777" w:rsidR="00A82082" w:rsidRDefault="00A82082">
            <w:pPr>
              <w:rPr>
                <w:rFonts w:ascii="宋体"/>
              </w:rPr>
            </w:pPr>
          </w:p>
        </w:tc>
        <w:tc>
          <w:tcPr>
            <w:tcW w:w="5" w:type="pct"/>
            <w:shd w:val="clear" w:color="auto" w:fill="auto"/>
          </w:tcPr>
          <w:p w14:paraId="7E7852BD" w14:textId="77777777" w:rsidR="00A82082" w:rsidRDefault="00A82082">
            <w:pPr>
              <w:rPr>
                <w:rFonts w:ascii="宋体"/>
              </w:rPr>
            </w:pPr>
          </w:p>
        </w:tc>
        <w:tc>
          <w:tcPr>
            <w:tcW w:w="5" w:type="pct"/>
            <w:shd w:val="clear" w:color="auto" w:fill="auto"/>
          </w:tcPr>
          <w:p w14:paraId="7E7852BE" w14:textId="77777777" w:rsidR="00A82082" w:rsidRDefault="00A82082">
            <w:pPr>
              <w:rPr>
                <w:rFonts w:ascii="宋体"/>
              </w:rPr>
            </w:pPr>
          </w:p>
        </w:tc>
        <w:tc>
          <w:tcPr>
            <w:tcW w:w="26" w:type="pct"/>
            <w:shd w:val="clear" w:color="auto" w:fill="auto"/>
          </w:tcPr>
          <w:p w14:paraId="7E7852BF" w14:textId="77777777" w:rsidR="00A82082" w:rsidRDefault="00A82082">
            <w:pPr>
              <w:rPr>
                <w:rFonts w:ascii="宋体"/>
              </w:rPr>
            </w:pPr>
          </w:p>
        </w:tc>
        <w:tc>
          <w:tcPr>
            <w:tcW w:w="5" w:type="pct"/>
            <w:shd w:val="clear" w:color="auto" w:fill="auto"/>
          </w:tcPr>
          <w:p w14:paraId="7E7852C0" w14:textId="77777777" w:rsidR="00A82082" w:rsidRDefault="00A82082">
            <w:pPr>
              <w:rPr>
                <w:rFonts w:ascii="宋体"/>
              </w:rPr>
            </w:pPr>
          </w:p>
        </w:tc>
        <w:tc>
          <w:tcPr>
            <w:tcW w:w="50" w:type="pct"/>
            <w:shd w:val="clear" w:color="auto" w:fill="auto"/>
          </w:tcPr>
          <w:p w14:paraId="7E7852C1" w14:textId="77777777" w:rsidR="00A82082" w:rsidRDefault="00A82082">
            <w:pPr>
              <w:rPr>
                <w:rFonts w:ascii="宋体"/>
              </w:rPr>
            </w:pPr>
          </w:p>
        </w:tc>
        <w:tc>
          <w:tcPr>
            <w:tcW w:w="530" w:type="pct"/>
            <w:shd w:val="clear" w:color="auto" w:fill="auto"/>
          </w:tcPr>
          <w:p w14:paraId="7E7852C2" w14:textId="77777777" w:rsidR="00A82082" w:rsidRDefault="00A82082">
            <w:pPr>
              <w:rPr>
                <w:rFonts w:ascii="宋体"/>
              </w:rPr>
            </w:pPr>
          </w:p>
        </w:tc>
        <w:tc>
          <w:tcPr>
            <w:tcW w:w="5" w:type="pct"/>
            <w:shd w:val="clear" w:color="auto" w:fill="auto"/>
          </w:tcPr>
          <w:p w14:paraId="7E7852C3" w14:textId="77777777" w:rsidR="00A82082" w:rsidRDefault="00A82082">
            <w:pPr>
              <w:rPr>
                <w:rFonts w:ascii="宋体"/>
              </w:rPr>
            </w:pPr>
          </w:p>
        </w:tc>
        <w:tc>
          <w:tcPr>
            <w:tcW w:w="5" w:type="pct"/>
            <w:shd w:val="clear" w:color="auto" w:fill="auto"/>
          </w:tcPr>
          <w:p w14:paraId="7E7852C4" w14:textId="77777777" w:rsidR="00A82082" w:rsidRDefault="00A82082">
            <w:pPr>
              <w:rPr>
                <w:rFonts w:ascii="宋体"/>
              </w:rPr>
            </w:pPr>
          </w:p>
        </w:tc>
        <w:tc>
          <w:tcPr>
            <w:tcW w:w="26" w:type="pct"/>
            <w:shd w:val="clear" w:color="auto" w:fill="auto"/>
          </w:tcPr>
          <w:p w14:paraId="7E7852C5" w14:textId="77777777" w:rsidR="00A82082" w:rsidRDefault="00A82082">
            <w:pPr>
              <w:rPr>
                <w:rFonts w:ascii="宋体"/>
              </w:rPr>
            </w:pPr>
          </w:p>
        </w:tc>
        <w:tc>
          <w:tcPr>
            <w:tcW w:w="5" w:type="pct"/>
            <w:shd w:val="clear" w:color="auto" w:fill="auto"/>
          </w:tcPr>
          <w:p w14:paraId="7E7852C6" w14:textId="77777777" w:rsidR="00A82082" w:rsidRDefault="00A82082">
            <w:pPr>
              <w:rPr>
                <w:rFonts w:ascii="宋体"/>
              </w:rPr>
            </w:pPr>
          </w:p>
        </w:tc>
        <w:tc>
          <w:tcPr>
            <w:tcW w:w="50" w:type="pct"/>
            <w:shd w:val="clear" w:color="auto" w:fill="auto"/>
          </w:tcPr>
          <w:p w14:paraId="7E7852C7" w14:textId="77777777" w:rsidR="00A82082" w:rsidRDefault="00A82082">
            <w:pPr>
              <w:rPr>
                <w:rFonts w:ascii="宋体"/>
              </w:rPr>
            </w:pPr>
          </w:p>
        </w:tc>
        <w:tc>
          <w:tcPr>
            <w:tcW w:w="530" w:type="pct"/>
            <w:shd w:val="clear" w:color="auto" w:fill="auto"/>
          </w:tcPr>
          <w:p w14:paraId="7E7852C8" w14:textId="77777777" w:rsidR="00A82082" w:rsidRDefault="00A82082">
            <w:pPr>
              <w:rPr>
                <w:rFonts w:ascii="宋体"/>
              </w:rPr>
            </w:pPr>
          </w:p>
        </w:tc>
        <w:tc>
          <w:tcPr>
            <w:tcW w:w="5" w:type="pct"/>
            <w:shd w:val="clear" w:color="auto" w:fill="auto"/>
          </w:tcPr>
          <w:p w14:paraId="7E7852C9" w14:textId="77777777" w:rsidR="00A82082" w:rsidRDefault="00A82082">
            <w:pPr>
              <w:rPr>
                <w:rFonts w:ascii="宋体"/>
              </w:rPr>
            </w:pPr>
          </w:p>
        </w:tc>
        <w:tc>
          <w:tcPr>
            <w:tcW w:w="5" w:type="pct"/>
            <w:shd w:val="clear" w:color="auto" w:fill="auto"/>
          </w:tcPr>
          <w:p w14:paraId="7E7852CA" w14:textId="77777777" w:rsidR="00A82082" w:rsidRDefault="00A82082">
            <w:pPr>
              <w:rPr>
                <w:rFonts w:ascii="宋体"/>
              </w:rPr>
            </w:pPr>
          </w:p>
        </w:tc>
        <w:tc>
          <w:tcPr>
            <w:tcW w:w="26" w:type="pct"/>
            <w:shd w:val="clear" w:color="auto" w:fill="auto"/>
          </w:tcPr>
          <w:p w14:paraId="7E7852CB" w14:textId="77777777" w:rsidR="00A82082" w:rsidRDefault="00A82082">
            <w:pPr>
              <w:rPr>
                <w:rFonts w:ascii="宋体"/>
              </w:rPr>
            </w:pPr>
          </w:p>
        </w:tc>
        <w:tc>
          <w:tcPr>
            <w:tcW w:w="5" w:type="pct"/>
            <w:shd w:val="clear" w:color="auto" w:fill="auto"/>
          </w:tcPr>
          <w:p w14:paraId="7E7852CC" w14:textId="77777777" w:rsidR="00A82082" w:rsidRDefault="00A82082">
            <w:pPr>
              <w:rPr>
                <w:rFonts w:ascii="宋体"/>
              </w:rPr>
            </w:pPr>
          </w:p>
        </w:tc>
        <w:tc>
          <w:tcPr>
            <w:tcW w:w="50" w:type="pct"/>
            <w:shd w:val="clear" w:color="auto" w:fill="auto"/>
          </w:tcPr>
          <w:p w14:paraId="7E7852CD" w14:textId="77777777" w:rsidR="00A82082" w:rsidRDefault="00A82082">
            <w:pPr>
              <w:rPr>
                <w:rFonts w:ascii="宋体"/>
              </w:rPr>
            </w:pPr>
          </w:p>
        </w:tc>
        <w:tc>
          <w:tcPr>
            <w:tcW w:w="530" w:type="pct"/>
            <w:shd w:val="clear" w:color="auto" w:fill="auto"/>
          </w:tcPr>
          <w:p w14:paraId="7E7852CE" w14:textId="77777777" w:rsidR="00A82082" w:rsidRDefault="00A82082">
            <w:pPr>
              <w:rPr>
                <w:rFonts w:ascii="宋体"/>
              </w:rPr>
            </w:pPr>
          </w:p>
        </w:tc>
        <w:tc>
          <w:tcPr>
            <w:tcW w:w="5" w:type="pct"/>
            <w:shd w:val="clear" w:color="auto" w:fill="auto"/>
          </w:tcPr>
          <w:p w14:paraId="7E7852CF" w14:textId="77777777" w:rsidR="00A82082" w:rsidRDefault="00A82082">
            <w:pPr>
              <w:rPr>
                <w:rFonts w:ascii="宋体"/>
              </w:rPr>
            </w:pPr>
          </w:p>
        </w:tc>
        <w:tc>
          <w:tcPr>
            <w:tcW w:w="5" w:type="pct"/>
            <w:shd w:val="clear" w:color="auto" w:fill="auto"/>
          </w:tcPr>
          <w:p w14:paraId="7E7852D0" w14:textId="77777777" w:rsidR="00A82082" w:rsidRDefault="00A82082">
            <w:pPr>
              <w:rPr>
                <w:rFonts w:ascii="宋体"/>
              </w:rPr>
            </w:pPr>
          </w:p>
        </w:tc>
        <w:tc>
          <w:tcPr>
            <w:tcW w:w="26" w:type="pct"/>
            <w:shd w:val="clear" w:color="auto" w:fill="auto"/>
          </w:tcPr>
          <w:p w14:paraId="7E7852D1" w14:textId="77777777" w:rsidR="00A82082" w:rsidRDefault="00A82082">
            <w:pPr>
              <w:rPr>
                <w:rFonts w:ascii="宋体"/>
              </w:rPr>
            </w:pPr>
          </w:p>
        </w:tc>
        <w:tc>
          <w:tcPr>
            <w:tcW w:w="5" w:type="pct"/>
            <w:shd w:val="clear" w:color="auto" w:fill="auto"/>
          </w:tcPr>
          <w:p w14:paraId="7E7852D2" w14:textId="77777777" w:rsidR="00A82082" w:rsidRDefault="00A82082">
            <w:pPr>
              <w:rPr>
                <w:rFonts w:ascii="宋体"/>
              </w:rPr>
            </w:pPr>
          </w:p>
        </w:tc>
        <w:tc>
          <w:tcPr>
            <w:tcW w:w="50" w:type="pct"/>
            <w:shd w:val="clear" w:color="auto" w:fill="auto"/>
          </w:tcPr>
          <w:p w14:paraId="7E7852D3" w14:textId="77777777" w:rsidR="00A82082" w:rsidRDefault="00A82082">
            <w:pPr>
              <w:rPr>
                <w:rFonts w:ascii="宋体"/>
              </w:rPr>
            </w:pPr>
          </w:p>
        </w:tc>
        <w:tc>
          <w:tcPr>
            <w:tcW w:w="530" w:type="pct"/>
            <w:shd w:val="clear" w:color="auto" w:fill="auto"/>
          </w:tcPr>
          <w:p w14:paraId="7E7852D4" w14:textId="77777777" w:rsidR="00A82082" w:rsidRDefault="00A82082">
            <w:pPr>
              <w:rPr>
                <w:rFonts w:ascii="宋体"/>
              </w:rPr>
            </w:pPr>
          </w:p>
        </w:tc>
        <w:tc>
          <w:tcPr>
            <w:tcW w:w="5" w:type="pct"/>
            <w:shd w:val="clear" w:color="auto" w:fill="auto"/>
          </w:tcPr>
          <w:p w14:paraId="7E7852D5" w14:textId="77777777" w:rsidR="00A82082" w:rsidRDefault="00A82082">
            <w:pPr>
              <w:rPr>
                <w:rFonts w:ascii="宋体"/>
              </w:rPr>
            </w:pPr>
          </w:p>
        </w:tc>
      </w:tr>
      <w:tr w:rsidR="00A82082" w14:paraId="7E7852DC" w14:textId="77777777">
        <w:tc>
          <w:tcPr>
            <w:tcW w:w="0" w:type="auto"/>
            <w:gridSpan w:val="3"/>
            <w:shd w:val="clear" w:color="auto" w:fill="auto"/>
            <w:tcMar>
              <w:top w:w="40" w:type="dxa"/>
              <w:left w:w="20" w:type="dxa"/>
              <w:bottom w:w="40" w:type="dxa"/>
              <w:right w:w="20" w:type="dxa"/>
            </w:tcMar>
            <w:vAlign w:val="bottom"/>
          </w:tcPr>
          <w:p w14:paraId="7E7852D7"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2D8"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2D9" w14:textId="77777777" w:rsidR="00A82082" w:rsidRDefault="00E946F9">
            <w:pPr>
              <w:jc w:val="center"/>
              <w:textAlignment w:val="bottom"/>
            </w:pPr>
            <w:r>
              <w:rPr>
                <w:rFonts w:ascii="Times New Roman" w:eastAsia="宋体" w:hAnsi="Times New Roman"/>
                <w:b/>
                <w:bCs/>
                <w:color w:val="000000"/>
                <w:sz w:val="16"/>
                <w:szCs w:val="16"/>
              </w:rPr>
              <w:t>October 31, 2020</w:t>
            </w:r>
          </w:p>
        </w:tc>
        <w:tc>
          <w:tcPr>
            <w:tcW w:w="0" w:type="auto"/>
            <w:gridSpan w:val="3"/>
            <w:shd w:val="clear" w:color="auto" w:fill="auto"/>
            <w:tcMar>
              <w:top w:w="0" w:type="dxa"/>
              <w:left w:w="20" w:type="dxa"/>
              <w:bottom w:w="0" w:type="dxa"/>
              <w:right w:w="20" w:type="dxa"/>
            </w:tcMar>
          </w:tcPr>
          <w:p w14:paraId="7E7852DA"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2DB" w14:textId="77777777" w:rsidR="00A82082" w:rsidRDefault="00E946F9">
            <w:pPr>
              <w:jc w:val="center"/>
              <w:textAlignment w:val="bottom"/>
            </w:pPr>
            <w:r>
              <w:rPr>
                <w:rFonts w:ascii="Times New Roman" w:eastAsia="宋体" w:hAnsi="Times New Roman"/>
                <w:b/>
                <w:bCs/>
                <w:color w:val="000000"/>
                <w:sz w:val="16"/>
                <w:szCs w:val="16"/>
              </w:rPr>
              <w:t>January 31, 2020</w:t>
            </w:r>
          </w:p>
        </w:tc>
      </w:tr>
      <w:tr w:rsidR="00A82082" w14:paraId="7E7852E6" w14:textId="77777777">
        <w:tc>
          <w:tcPr>
            <w:tcW w:w="0" w:type="auto"/>
            <w:gridSpan w:val="3"/>
            <w:shd w:val="clear" w:color="auto" w:fill="auto"/>
            <w:tcMar>
              <w:top w:w="40" w:type="dxa"/>
              <w:left w:w="20" w:type="dxa"/>
              <w:bottom w:w="40" w:type="dxa"/>
              <w:right w:w="20" w:type="dxa"/>
            </w:tcMar>
            <w:vAlign w:val="bottom"/>
          </w:tcPr>
          <w:p w14:paraId="7E7852DD"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2D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DF" w14:textId="77777777" w:rsidR="00A82082" w:rsidRDefault="00E946F9">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E7852E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E1" w14:textId="77777777" w:rsidR="00A82082" w:rsidRDefault="00E946F9">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7E7852E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E3" w14:textId="77777777" w:rsidR="00A82082" w:rsidRDefault="00E946F9">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E7852E4"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2E5" w14:textId="77777777" w:rsidR="00A82082" w:rsidRDefault="00E946F9">
            <w:pPr>
              <w:jc w:val="center"/>
              <w:textAlignment w:val="bottom"/>
            </w:pPr>
            <w:r>
              <w:rPr>
                <w:rFonts w:ascii="Times New Roman" w:eastAsia="宋体" w:hAnsi="Times New Roman"/>
                <w:b/>
                <w:bCs/>
                <w:color w:val="000000"/>
                <w:sz w:val="16"/>
                <w:szCs w:val="16"/>
              </w:rPr>
              <w:t>Fair Value</w:t>
            </w:r>
          </w:p>
        </w:tc>
      </w:tr>
      <w:tr w:rsidR="00A82082" w14:paraId="7E7852F8" w14:textId="77777777">
        <w:tc>
          <w:tcPr>
            <w:tcW w:w="0" w:type="auto"/>
            <w:gridSpan w:val="3"/>
            <w:shd w:val="clear" w:color="auto" w:fill="CCEEFF"/>
            <w:tcMar>
              <w:top w:w="40" w:type="dxa"/>
              <w:left w:w="20" w:type="dxa"/>
              <w:bottom w:w="40" w:type="dxa"/>
              <w:right w:w="20" w:type="dxa"/>
            </w:tcMar>
            <w:vAlign w:val="center"/>
          </w:tcPr>
          <w:p w14:paraId="7E7852E7" w14:textId="77777777" w:rsidR="00A82082" w:rsidRDefault="00E946F9">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tcPr>
          <w:p w14:paraId="7E7852E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E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EA" w14:textId="77777777" w:rsidR="00A82082" w:rsidRDefault="00E946F9">
            <w:pPr>
              <w:jc w:val="right"/>
              <w:textAlignment w:val="center"/>
            </w:pPr>
            <w:r>
              <w:rPr>
                <w:rFonts w:ascii="Times New Roman" w:eastAsia="宋体" w:hAnsi="Times New Roman"/>
                <w:color w:val="000000"/>
                <w:sz w:val="16"/>
                <w:szCs w:val="16"/>
              </w:rPr>
              <w:t>45,207 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E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E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E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EE" w14:textId="77777777" w:rsidR="00A82082" w:rsidRDefault="00E946F9">
            <w:pPr>
              <w:jc w:val="right"/>
              <w:textAlignment w:val="center"/>
            </w:pPr>
            <w:r>
              <w:rPr>
                <w:rFonts w:ascii="Times New Roman" w:eastAsia="宋体" w:hAnsi="Times New Roman"/>
                <w:color w:val="000000"/>
                <w:sz w:val="16"/>
                <w:szCs w:val="16"/>
              </w:rPr>
              <w:t>55,257 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E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F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F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F2" w14:textId="77777777" w:rsidR="00A82082" w:rsidRDefault="00E946F9">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F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2F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2F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2F6" w14:textId="77777777" w:rsidR="00A82082" w:rsidRDefault="00E946F9">
            <w:pPr>
              <w:jc w:val="right"/>
              <w:textAlignment w:val="center"/>
            </w:pPr>
            <w:r>
              <w:rPr>
                <w:rFonts w:ascii="Times New Roman" w:eastAsia="宋体" w:hAnsi="Times New Roman"/>
                <w:color w:val="000000"/>
                <w:sz w:val="16"/>
                <w:szCs w:val="16"/>
              </w:rPr>
              <w:t>57,769 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2F7" w14:textId="77777777" w:rsidR="00A82082" w:rsidRDefault="00A82082">
            <w:pPr>
              <w:jc w:val="right"/>
              <w:rPr>
                <w:rFonts w:ascii="宋体"/>
              </w:rPr>
            </w:pPr>
          </w:p>
        </w:tc>
      </w:tr>
    </w:tbl>
    <w:p w14:paraId="7E7852F9" w14:textId="77777777" w:rsidR="00A82082" w:rsidRDefault="00E946F9">
      <w:pPr>
        <w:spacing w:before="240"/>
      </w:pPr>
      <w:r>
        <w:rPr>
          <w:rFonts w:ascii="Times New Roman" w:eastAsia="宋体" w:hAnsi="Times New Roman"/>
          <w:b/>
          <w:bCs/>
          <w:color w:val="000000"/>
          <w:sz w:val="20"/>
          <w:szCs w:val="20"/>
        </w:rPr>
        <w:t>Note 6. Divestitures</w:t>
      </w:r>
    </w:p>
    <w:p w14:paraId="7E7852FA" w14:textId="77777777" w:rsidR="00A82082" w:rsidRDefault="00E946F9">
      <w:pPr>
        <w:spacing w:before="100"/>
      </w:pPr>
      <w:r>
        <w:rPr>
          <w:rFonts w:ascii="Times New Roman" w:eastAsia="宋体" w:hAnsi="Times New Roman"/>
          <w:color w:val="000000"/>
          <w:sz w:val="20"/>
          <w:szCs w:val="20"/>
        </w:rPr>
        <w:t>During fiscal 2021, the Company announced the following actions rela</w:t>
      </w:r>
      <w:r>
        <w:rPr>
          <w:rFonts w:ascii="Times New Roman" w:eastAsia="宋体" w:hAnsi="Times New Roman"/>
          <w:color w:val="000000"/>
          <w:sz w:val="20"/>
          <w:szCs w:val="20"/>
        </w:rPr>
        <w:t>ted to the Company's Walmart International segment.</w:t>
      </w:r>
    </w:p>
    <w:p w14:paraId="7E7852FB" w14:textId="77777777" w:rsidR="00A82082" w:rsidRDefault="00E946F9">
      <w:pPr>
        <w:spacing w:before="100"/>
      </w:pPr>
      <w:r>
        <w:rPr>
          <w:rFonts w:ascii="Times New Roman" w:eastAsia="宋体" w:hAnsi="Times New Roman"/>
          <w:b/>
          <w:bCs/>
          <w:i/>
          <w:iCs/>
          <w:color w:val="000000"/>
          <w:sz w:val="20"/>
          <w:szCs w:val="20"/>
        </w:rPr>
        <w:t>Asda</w:t>
      </w:r>
    </w:p>
    <w:p w14:paraId="7E7852FC" w14:textId="77777777" w:rsidR="00A82082" w:rsidRDefault="00E946F9">
      <w:pPr>
        <w:spacing w:before="100"/>
      </w:pPr>
      <w:r>
        <w:rPr>
          <w:rFonts w:ascii="Times New Roman" w:eastAsia="宋体" w:hAnsi="Times New Roman"/>
          <w:color w:val="000000"/>
          <w:sz w:val="20"/>
          <w:szCs w:val="20"/>
        </w:rPr>
        <w:t>In October 2020, the Company entered into a definitive agreement and announced the proposed divestiture of Asda Group Limited, a wholly-owned subsidiary of the Company ("Asda”), for an enterprise val</w:t>
      </w:r>
      <w:r>
        <w:rPr>
          <w:rFonts w:ascii="Times New Roman" w:eastAsia="宋体" w:hAnsi="Times New Roman"/>
          <w:color w:val="000000"/>
          <w:sz w:val="20"/>
          <w:szCs w:val="20"/>
        </w:rPr>
        <w:t xml:space="preserve">ue of £6.8 billion, or approximately $9.1 billion based on current exchange rates. Due to uncertainty of the macro-economic environment and a complex regulatory review process, the outcome of which is uncertain, the held for sale criteria for the disposal </w:t>
      </w:r>
      <w:r>
        <w:rPr>
          <w:rFonts w:ascii="Times New Roman" w:eastAsia="宋体" w:hAnsi="Times New Roman"/>
          <w:color w:val="000000"/>
          <w:sz w:val="20"/>
          <w:szCs w:val="20"/>
        </w:rPr>
        <w:t>group was not met as of October 31, 2020, and accordingly no impacts have been reflected in the Condensed Consolidated Financial Statements.</w:t>
      </w:r>
    </w:p>
    <w:p w14:paraId="7E7852FD" w14:textId="77777777" w:rsidR="00A82082" w:rsidRDefault="00E946F9">
      <w:pPr>
        <w:spacing w:before="180"/>
      </w:pPr>
      <w:r>
        <w:rPr>
          <w:rFonts w:ascii="Times New Roman" w:eastAsia="宋体" w:hAnsi="Times New Roman"/>
          <w:b/>
          <w:bCs/>
          <w:i/>
          <w:iCs/>
          <w:color w:val="000000"/>
          <w:sz w:val="20"/>
          <w:szCs w:val="20"/>
        </w:rPr>
        <w:t>Walmart Argentina</w:t>
      </w:r>
    </w:p>
    <w:p w14:paraId="7E7852FE" w14:textId="77777777" w:rsidR="00A82082" w:rsidRDefault="00E946F9">
      <w:pPr>
        <w:spacing w:before="100"/>
      </w:pPr>
      <w:r>
        <w:rPr>
          <w:rFonts w:ascii="Times New Roman" w:eastAsia="宋体" w:hAnsi="Times New Roman"/>
          <w:color w:val="000000"/>
          <w:sz w:val="20"/>
          <w:szCs w:val="20"/>
        </w:rPr>
        <w:t xml:space="preserve">In November 2020, the Company completed the sale of Walmart Argentina and classified the </w:t>
      </w:r>
      <w:r>
        <w:rPr>
          <w:rFonts w:ascii="Times New Roman" w:eastAsia="宋体" w:hAnsi="Times New Roman"/>
          <w:color w:val="000000"/>
          <w:sz w:val="20"/>
          <w:szCs w:val="20"/>
        </w:rPr>
        <w:t>disposal group as held for sale as of October 31, 2020 in the Condensed Consolidated Balance Sheet. As a result, the Company recorded a pre-tax loss of $1.0 billion during the three and nine months ended October 31, 2020 in other gains and losses in its Co</w:t>
      </w:r>
      <w:r>
        <w:rPr>
          <w:rFonts w:ascii="Times New Roman" w:eastAsia="宋体" w:hAnsi="Times New Roman"/>
          <w:color w:val="000000"/>
          <w:sz w:val="20"/>
          <w:szCs w:val="20"/>
        </w:rPr>
        <w:t>ndensed Consolidated Statement of Income primarily due to the impact of cumulative translation losses on the carrying value of the disposal group.</w:t>
      </w:r>
    </w:p>
    <w:p w14:paraId="7E7852FF" w14:textId="77777777" w:rsidR="00A82082" w:rsidRDefault="00E946F9">
      <w:pPr>
        <w:spacing w:before="180"/>
      </w:pPr>
      <w:r>
        <w:rPr>
          <w:rFonts w:ascii="Times New Roman" w:eastAsia="宋体" w:hAnsi="Times New Roman"/>
          <w:b/>
          <w:bCs/>
          <w:i/>
          <w:iCs/>
          <w:color w:val="000000"/>
          <w:sz w:val="20"/>
          <w:szCs w:val="20"/>
        </w:rPr>
        <w:t>Seiyu</w:t>
      </w:r>
    </w:p>
    <w:p w14:paraId="7E785300" w14:textId="77777777" w:rsidR="00A82082" w:rsidRDefault="00E946F9">
      <w:pPr>
        <w:spacing w:before="180"/>
      </w:pPr>
      <w:r>
        <w:rPr>
          <w:rFonts w:ascii="Times New Roman" w:eastAsia="宋体" w:hAnsi="Times New Roman"/>
          <w:color w:val="000000"/>
          <w:sz w:val="20"/>
          <w:szCs w:val="20"/>
        </w:rPr>
        <w:t>In November 2020, the Company entered into a definitive agreement to sell a majority stake in Seiyu, th</w:t>
      </w:r>
      <w:r>
        <w:rPr>
          <w:rFonts w:ascii="Times New Roman" w:eastAsia="宋体" w:hAnsi="Times New Roman"/>
          <w:color w:val="000000"/>
          <w:sz w:val="20"/>
          <w:szCs w:val="20"/>
        </w:rPr>
        <w:t xml:space="preserve">e Company's retail business in Japan, for an enterprise value of ¥172.5 billion, or approximately $1.7 billion based on current exchange rates. As the disposal group met the held for sale criteria subsequent to October 31, 2020, the Company will recognize </w:t>
      </w:r>
      <w:r>
        <w:rPr>
          <w:rFonts w:ascii="Times New Roman" w:eastAsia="宋体" w:hAnsi="Times New Roman"/>
          <w:color w:val="000000"/>
          <w:sz w:val="20"/>
          <w:szCs w:val="20"/>
        </w:rPr>
        <w:t>a non-cash loss of approximately $2.0 billion, after tax, in the fourth quarter of fiscal 2021. This estimate may fluctuate based on currency exchange rates and customary purchase price adjustments up to the closing date of the transaction, which is expect</w:t>
      </w:r>
      <w:r>
        <w:rPr>
          <w:rFonts w:ascii="Times New Roman" w:eastAsia="宋体" w:hAnsi="Times New Roman"/>
          <w:color w:val="000000"/>
          <w:sz w:val="20"/>
          <w:szCs w:val="20"/>
        </w:rPr>
        <w:t xml:space="preserve">ed to occur in the first quarter of fiscal 2022 and is subject to regulatory approvals. </w:t>
      </w:r>
    </w:p>
    <w:p w14:paraId="7E785301" w14:textId="77777777" w:rsidR="00A82082" w:rsidRDefault="00E946F9">
      <w:pPr>
        <w:spacing w:before="240"/>
      </w:pPr>
      <w:r>
        <w:rPr>
          <w:rFonts w:ascii="Times New Roman" w:eastAsia="宋体" w:hAnsi="Times New Roman"/>
          <w:b/>
          <w:bCs/>
          <w:color w:val="000000"/>
          <w:sz w:val="20"/>
          <w:szCs w:val="20"/>
        </w:rPr>
        <w:t>Note 7. Contingencies</w:t>
      </w:r>
    </w:p>
    <w:p w14:paraId="7E785302" w14:textId="77777777" w:rsidR="00A82082" w:rsidRDefault="00E946F9">
      <w:pPr>
        <w:spacing w:before="100"/>
      </w:pPr>
      <w:r>
        <w:rPr>
          <w:rFonts w:ascii="Times New Roman" w:eastAsia="宋体" w:hAnsi="Times New Roman"/>
          <w:b/>
          <w:bCs/>
          <w:i/>
          <w:iCs/>
          <w:color w:val="000000"/>
          <w:sz w:val="20"/>
          <w:szCs w:val="20"/>
        </w:rPr>
        <w:t>Legal Proceedings</w:t>
      </w:r>
    </w:p>
    <w:p w14:paraId="7E785303" w14:textId="77777777" w:rsidR="00A82082" w:rsidRDefault="00E946F9">
      <w:pPr>
        <w:spacing w:before="100"/>
      </w:pPr>
      <w:r>
        <w:rPr>
          <w:rFonts w:ascii="Times New Roman" w:eastAsia="宋体" w:hAnsi="Times New Roman"/>
          <w:color w:val="000000"/>
          <w:sz w:val="20"/>
          <w:szCs w:val="20"/>
        </w:rPr>
        <w:t>The Company is involved in a number of legal proceedings. The Company has made accruals with respect to these matters, where ap</w:t>
      </w:r>
      <w:r>
        <w:rPr>
          <w:rFonts w:ascii="Times New Roman" w:eastAsia="宋体" w:hAnsi="Times New Roman"/>
          <w:color w:val="000000"/>
          <w:sz w:val="20"/>
          <w:szCs w:val="20"/>
        </w:rPr>
        <w:t>propriate, which are reflected in the Company's Condensed Consolidated Financial Statements. For some matters, a liability is not probable or the amount cannot be reasonably estimated and therefore an accrual has not been made. However, where a liability i</w:t>
      </w:r>
      <w:r>
        <w:rPr>
          <w:rFonts w:ascii="Times New Roman" w:eastAsia="宋体" w:hAnsi="Times New Roman"/>
          <w:color w:val="000000"/>
          <w:sz w:val="20"/>
          <w:szCs w:val="20"/>
        </w:rPr>
        <w:t>s reasonably possible and may be material, such matters have been disclosed. The Company may enter into discussions regarding settlement of these matters, and may enter into settlement agreements, if it believes settlement is in the best interest of the Co</w:t>
      </w:r>
      <w:r>
        <w:rPr>
          <w:rFonts w:ascii="Times New Roman" w:eastAsia="宋体" w:hAnsi="Times New Roman"/>
          <w:color w:val="000000"/>
          <w:sz w:val="20"/>
          <w:szCs w:val="20"/>
        </w:rPr>
        <w:t>mpany and its shareholders.</w:t>
      </w:r>
    </w:p>
    <w:p w14:paraId="7E785304" w14:textId="77777777" w:rsidR="00A82082" w:rsidRDefault="00E946F9">
      <w:pPr>
        <w:spacing w:before="100"/>
      </w:pPr>
      <w:r>
        <w:rPr>
          <w:rFonts w:ascii="Times New Roman" w:eastAsia="宋体" w:hAnsi="Times New Roman"/>
          <w:color w:val="000000"/>
          <w:sz w:val="20"/>
          <w:szCs w:val="20"/>
        </w:rPr>
        <w:t>Unless stated otherwise, the matters discussed below, if decided adversely or settled by the Company, individually or in the aggregate, may result in a liability material to the Company's financial condition, results of operatio</w:t>
      </w:r>
      <w:r>
        <w:rPr>
          <w:rFonts w:ascii="Times New Roman" w:eastAsia="宋体" w:hAnsi="Times New Roman"/>
          <w:color w:val="000000"/>
          <w:sz w:val="20"/>
          <w:szCs w:val="20"/>
        </w:rPr>
        <w:t>ns or cash flows.</w:t>
      </w:r>
    </w:p>
    <w:p w14:paraId="7E785305" w14:textId="77777777" w:rsidR="00A82082" w:rsidRDefault="00E946F9">
      <w:pPr>
        <w:jc w:val="center"/>
      </w:pPr>
      <w:r>
        <w:rPr>
          <w:rFonts w:ascii="Times New Roman" w:eastAsia="宋体" w:hAnsi="Times New Roman"/>
          <w:color w:val="000000"/>
          <w:sz w:val="20"/>
          <w:szCs w:val="20"/>
        </w:rPr>
        <w:t>12</w:t>
      </w:r>
    </w:p>
    <w:p w14:paraId="7E785306" w14:textId="77777777" w:rsidR="00A82082" w:rsidRDefault="00E946F9">
      <w:r>
        <w:pict w14:anchorId="7E786154">
          <v:rect id="_x0000_i1036" style="width:415.3pt;height:1.5pt" o:hralign="center" o:hrstd="t" o:hr="t" fillcolor="#a0a0a0" stroked="f"/>
        </w:pict>
      </w:r>
    </w:p>
    <w:p w14:paraId="7E785307" w14:textId="77777777" w:rsidR="00A82082" w:rsidRDefault="00E946F9">
      <w:hyperlink r:id="rId62" w:anchor="i5c815528a95c4409b9043de534639b9a_7" w:history="1">
        <w:r>
          <w:rPr>
            <w:rStyle w:val="a5"/>
            <w:rFonts w:ascii="Times New Roman" w:eastAsia="宋体" w:hAnsi="Times New Roman"/>
            <w:sz w:val="20"/>
            <w:szCs w:val="20"/>
          </w:rPr>
          <w:t>Table of C</w:t>
        </w:r>
      </w:hyperlink>
      <w:hyperlink r:id="rId63" w:anchor="i5c815528a95c4409b9043de534639b9a_7" w:history="1">
        <w:r>
          <w:rPr>
            <w:rStyle w:val="a5"/>
            <w:rFonts w:ascii="Times New Roman" w:eastAsia="宋体" w:hAnsi="Times New Roman"/>
            <w:sz w:val="20"/>
            <w:szCs w:val="20"/>
          </w:rPr>
          <w:t>ontents</w:t>
        </w:r>
      </w:hyperlink>
    </w:p>
    <w:p w14:paraId="7E785308" w14:textId="77777777" w:rsidR="00A82082" w:rsidRDefault="00E946F9">
      <w:pPr>
        <w:spacing w:before="180"/>
      </w:pPr>
      <w:r>
        <w:rPr>
          <w:rFonts w:ascii="Times New Roman" w:eastAsia="宋体" w:hAnsi="Times New Roman"/>
          <w:i/>
          <w:iCs/>
          <w:color w:val="000000"/>
          <w:sz w:val="20"/>
          <w:szCs w:val="20"/>
        </w:rPr>
        <w:t>ASDA Equal Value Claims</w:t>
      </w:r>
    </w:p>
    <w:p w14:paraId="7E785309" w14:textId="77777777" w:rsidR="00A82082" w:rsidRDefault="00E946F9">
      <w:pPr>
        <w:spacing w:before="180"/>
      </w:pPr>
      <w:r>
        <w:rPr>
          <w:rFonts w:ascii="Times New Roman" w:eastAsia="宋体" w:hAnsi="Times New Roman"/>
          <w:color w:val="000000"/>
          <w:sz w:val="20"/>
          <w:szCs w:val="20"/>
        </w:rPr>
        <w:t>ASDA Stores Ltd., an Asda subsidiary, is a defendant in over 40,000 equal value ("Equal Value") claims that began in 2008 and are proceeding be</w:t>
      </w:r>
      <w:r>
        <w:rPr>
          <w:rFonts w:ascii="Times New Roman" w:eastAsia="宋体" w:hAnsi="Times New Roman"/>
          <w:color w:val="000000"/>
          <w:sz w:val="20"/>
          <w:szCs w:val="20"/>
        </w:rPr>
        <w:t>fore an Employment Tribunal in Manchester (the "Employment Tribunal") in the United Kingdom ("U.K.") on behalf of current and former Asda store employees, and further claims may be asserted in the future. The claimants allege that the work performed by emp</w:t>
      </w:r>
      <w:r>
        <w:rPr>
          <w:rFonts w:ascii="Times New Roman" w:eastAsia="宋体" w:hAnsi="Times New Roman"/>
          <w:color w:val="000000"/>
          <w:sz w:val="20"/>
          <w:szCs w:val="20"/>
        </w:rPr>
        <w:t>loyees in Asda's retail stores is of equal value in terms of, among other things, the demands of their jobs compared to that of employees working in Asda's warehouse and distribution facilities, and that the difference in pay between these job positions di</w:t>
      </w:r>
      <w:r>
        <w:rPr>
          <w:rFonts w:ascii="Times New Roman" w:eastAsia="宋体" w:hAnsi="Times New Roman"/>
          <w:color w:val="000000"/>
          <w:sz w:val="20"/>
          <w:szCs w:val="20"/>
        </w:rPr>
        <w:t>sparately impacts women because more women work in retail stores while more men work in warehouses and distribution facilities, and that the pay difference is not objectively justified. The claimants are requesting differential back pay based on higher wag</w:t>
      </w:r>
      <w:r>
        <w:rPr>
          <w:rFonts w:ascii="Times New Roman" w:eastAsia="宋体" w:hAnsi="Times New Roman"/>
          <w:color w:val="000000"/>
          <w:sz w:val="20"/>
          <w:szCs w:val="20"/>
        </w:rPr>
        <w:t>e rates in the warehouse and distribution facilities and higher wage rates on a prospective basis.</w:t>
      </w:r>
    </w:p>
    <w:p w14:paraId="7E78530A" w14:textId="77777777" w:rsidR="00A82082" w:rsidRDefault="00E946F9">
      <w:pPr>
        <w:spacing w:before="100"/>
      </w:pPr>
      <w:r>
        <w:rPr>
          <w:rFonts w:ascii="Times New Roman" w:eastAsia="宋体" w:hAnsi="Times New Roman"/>
          <w:color w:val="000000"/>
          <w:sz w:val="20"/>
          <w:szCs w:val="20"/>
        </w:rPr>
        <w:t>In October 2016, following a preliminary hearing, the Employment Tribunal ruled that claimants could compare their positions in Asda's retail stores with tho</w:t>
      </w:r>
      <w:r>
        <w:rPr>
          <w:rFonts w:ascii="Times New Roman" w:eastAsia="宋体" w:hAnsi="Times New Roman"/>
          <w:color w:val="000000"/>
          <w:sz w:val="20"/>
          <w:szCs w:val="20"/>
        </w:rPr>
        <w:t>se of employees in Asda's warehouse and distribution facilities. Asda appealed the ruling and the oral argument was held before the Supreme Court of the United Kingdom in July 2020. The Company is awaiting a decision.</w:t>
      </w:r>
    </w:p>
    <w:p w14:paraId="7E78530B" w14:textId="77777777" w:rsidR="00A82082" w:rsidRDefault="00E946F9">
      <w:pPr>
        <w:spacing w:before="100"/>
      </w:pPr>
      <w:r>
        <w:rPr>
          <w:rFonts w:ascii="Times New Roman" w:eastAsia="宋体" w:hAnsi="Times New Roman"/>
          <w:color w:val="000000"/>
          <w:sz w:val="20"/>
          <w:szCs w:val="20"/>
        </w:rPr>
        <w:t xml:space="preserve">Notwithstanding the appeal, claimants </w:t>
      </w:r>
      <w:r>
        <w:rPr>
          <w:rFonts w:ascii="Times New Roman" w:eastAsia="宋体" w:hAnsi="Times New Roman"/>
          <w:color w:val="000000"/>
          <w:sz w:val="20"/>
          <w:szCs w:val="20"/>
        </w:rPr>
        <w:t>are proceeding in the next phase of their claims. That phase will determine whether the work performed by the claimants is of equal value to the work performed by employees in Asda's warehouse and distribution facilities.</w:t>
      </w:r>
    </w:p>
    <w:p w14:paraId="7E78530C" w14:textId="77777777" w:rsidR="00A82082" w:rsidRDefault="00E946F9">
      <w:pPr>
        <w:spacing w:before="100"/>
      </w:pPr>
      <w:r>
        <w:rPr>
          <w:rFonts w:ascii="Times New Roman" w:eastAsia="宋体" w:hAnsi="Times New Roman"/>
          <w:color w:val="000000"/>
          <w:sz w:val="20"/>
          <w:szCs w:val="20"/>
        </w:rPr>
        <w:t>At present, the Company cannot pre</w:t>
      </w:r>
      <w:r>
        <w:rPr>
          <w:rFonts w:ascii="Times New Roman" w:eastAsia="宋体" w:hAnsi="Times New Roman"/>
          <w:color w:val="000000"/>
          <w:sz w:val="20"/>
          <w:szCs w:val="20"/>
        </w:rPr>
        <w:t>dict the number of such claims that may be filed, and cannot reasonably estimate any loss or range of loss that may arise from these proceedings. Accordingly, the Company can provide no assurance as to the scope and outcomes of these matters and no assuran</w:t>
      </w:r>
      <w:r>
        <w:rPr>
          <w:rFonts w:ascii="Times New Roman" w:eastAsia="宋体" w:hAnsi="Times New Roman"/>
          <w:color w:val="000000"/>
          <w:sz w:val="20"/>
          <w:szCs w:val="20"/>
        </w:rPr>
        <w:t>ce as to whether its business, financial position, results of operations or cash flows will not be materially adversely affected. The Company believes it has substantial factual and legal defenses to these claims, and intends to defend the claims vigorousl</w:t>
      </w:r>
      <w:r>
        <w:rPr>
          <w:rFonts w:ascii="Times New Roman" w:eastAsia="宋体" w:hAnsi="Times New Roman"/>
          <w:color w:val="000000"/>
          <w:sz w:val="20"/>
          <w:szCs w:val="20"/>
        </w:rPr>
        <w:t>y.</w:t>
      </w:r>
    </w:p>
    <w:p w14:paraId="7E78530D" w14:textId="77777777" w:rsidR="00A82082" w:rsidRDefault="00E946F9">
      <w:pPr>
        <w:spacing w:before="180"/>
      </w:pPr>
      <w:r>
        <w:rPr>
          <w:rFonts w:ascii="Times New Roman" w:eastAsia="宋体" w:hAnsi="Times New Roman"/>
          <w:i/>
          <w:iCs/>
          <w:color w:val="000000"/>
          <w:sz w:val="20"/>
          <w:szCs w:val="20"/>
        </w:rPr>
        <w:t xml:space="preserve">Prescription Opiate Litigation and Other Matters </w:t>
      </w:r>
    </w:p>
    <w:p w14:paraId="7E78530E" w14:textId="77777777" w:rsidR="00A82082" w:rsidRDefault="00E946F9">
      <w:pPr>
        <w:spacing w:before="180"/>
      </w:pPr>
      <w:r>
        <w:rPr>
          <w:rFonts w:ascii="Times New Roman" w:eastAsia="宋体" w:hAnsi="Times New Roman"/>
          <w:color w:val="000000"/>
          <w:sz w:val="20"/>
          <w:szCs w:val="20"/>
        </w:rPr>
        <w:t xml:space="preserve">In December 2017, the U.S. Judicial Panel on Multidistrict Litigation consolidated numerous lawsuits filed against a wide array of defendants by various plaintiffs, including counties, cities, </w:t>
      </w:r>
      <w:r>
        <w:rPr>
          <w:rFonts w:ascii="Times New Roman" w:eastAsia="宋体" w:hAnsi="Times New Roman"/>
          <w:color w:val="000000"/>
          <w:sz w:val="20"/>
          <w:szCs w:val="20"/>
        </w:rPr>
        <w:t>healthcare providers, Native American tribes, individuals, and third-party payors, asserting claims generally concerning the impacts of widespread opioid abuse. The consolidated multidistrict litigation entitled In re National Prescription Opiate Litigatio</w:t>
      </w:r>
      <w:r>
        <w:rPr>
          <w:rFonts w:ascii="Times New Roman" w:eastAsia="宋体" w:hAnsi="Times New Roman"/>
          <w:color w:val="000000"/>
          <w:sz w:val="20"/>
          <w:szCs w:val="20"/>
        </w:rPr>
        <w:t>n (MDL No. 2804), is pending in the U.S. District Court for the Northern District of Ohio. The Company is named as a defendant in some of the cases included in this multidistrict litigation. Similar cases that name the Company have also been filed in state</w:t>
      </w:r>
      <w:r>
        <w:rPr>
          <w:rFonts w:ascii="Times New Roman" w:eastAsia="宋体" w:hAnsi="Times New Roman"/>
          <w:color w:val="000000"/>
          <w:sz w:val="20"/>
          <w:szCs w:val="20"/>
        </w:rPr>
        <w:t xml:space="preserve"> courts by state, local and tribal governments, health care providers and other plaintiffs. Plaintiffs are seeking compensatory and punitive damages, as well as injunctive relief including abatement.  The Company cannot predict the number of such claims th</w:t>
      </w:r>
      <w:r>
        <w:rPr>
          <w:rFonts w:ascii="Times New Roman" w:eastAsia="宋体" w:hAnsi="Times New Roman"/>
          <w:color w:val="000000"/>
          <w:sz w:val="20"/>
          <w:szCs w:val="20"/>
        </w:rPr>
        <w:t xml:space="preserve">at may be filed, but believes it has substantial factual and legal defenses to these claims, and intends to defend the claims vigorously. The Company has also been responding to subpoenas, information requests and investigations from governmental entities </w:t>
      </w:r>
      <w:r>
        <w:rPr>
          <w:rFonts w:ascii="Times New Roman" w:eastAsia="宋体" w:hAnsi="Times New Roman"/>
          <w:color w:val="000000"/>
          <w:sz w:val="20"/>
          <w:szCs w:val="20"/>
        </w:rPr>
        <w:t>related to nationwide controlled substance dispensing and distribution practices involving opioids. On October 22, 2020, the Company filed a declaratory judgment action against the U.S. Department of Justice and the U.S. Drug Enforcement Administration, as</w:t>
      </w:r>
      <w:r>
        <w:rPr>
          <w:rFonts w:ascii="Times New Roman" w:eastAsia="宋体" w:hAnsi="Times New Roman"/>
          <w:color w:val="000000"/>
          <w:sz w:val="20"/>
          <w:szCs w:val="20"/>
        </w:rPr>
        <w:t>king a federal court to clarify the roles and responsibilities of pharmacists and pharmacies as to the dispensing and distribution of opioids under the Controlled Substances Act.</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The Company cannot reasonably estimate any loss or range of loss that may ari</w:t>
      </w:r>
      <w:r>
        <w:rPr>
          <w:rFonts w:ascii="Times New Roman" w:eastAsia="宋体" w:hAnsi="Times New Roman"/>
          <w:color w:val="000000"/>
          <w:sz w:val="20"/>
          <w:szCs w:val="20"/>
        </w:rPr>
        <w:t>se from these matters. Accordingly, the Company can provide no assurance as to the scope and outcome of these matters and no assurance as to whether its business, financial position, results of operations or cash flows will not be materially adversely affe</w:t>
      </w:r>
      <w:r>
        <w:rPr>
          <w:rFonts w:ascii="Times New Roman" w:eastAsia="宋体" w:hAnsi="Times New Roman"/>
          <w:color w:val="000000"/>
          <w:sz w:val="20"/>
          <w:szCs w:val="20"/>
        </w:rPr>
        <w:t>cted.</w:t>
      </w:r>
    </w:p>
    <w:p w14:paraId="7E78530F" w14:textId="77777777" w:rsidR="00A82082" w:rsidRDefault="00E946F9">
      <w:pPr>
        <w:spacing w:before="240"/>
      </w:pPr>
      <w:r>
        <w:rPr>
          <w:rFonts w:ascii="Times New Roman" w:eastAsia="宋体" w:hAnsi="Times New Roman"/>
          <w:b/>
          <w:bCs/>
          <w:color w:val="000000"/>
          <w:sz w:val="20"/>
          <w:szCs w:val="20"/>
        </w:rPr>
        <w:t>Note 8. Segments and Disaggregated Revenue</w:t>
      </w:r>
    </w:p>
    <w:p w14:paraId="7E785310" w14:textId="77777777" w:rsidR="00A82082" w:rsidRDefault="00E946F9">
      <w:pPr>
        <w:spacing w:before="180"/>
      </w:pPr>
      <w:r>
        <w:rPr>
          <w:rFonts w:ascii="Times New Roman" w:eastAsia="宋体" w:hAnsi="Times New Roman"/>
          <w:i/>
          <w:iCs/>
          <w:color w:val="000000"/>
          <w:sz w:val="20"/>
          <w:szCs w:val="20"/>
        </w:rPr>
        <w:t>Segments</w:t>
      </w:r>
    </w:p>
    <w:p w14:paraId="7E785311" w14:textId="77777777" w:rsidR="00A82082" w:rsidRDefault="00E946F9">
      <w:pPr>
        <w:spacing w:before="100"/>
      </w:pPr>
      <w:r>
        <w:rPr>
          <w:rFonts w:ascii="Times New Roman" w:eastAsia="宋体" w:hAnsi="Times New Roman"/>
          <w:color w:val="000000"/>
          <w:sz w:val="20"/>
          <w:szCs w:val="20"/>
        </w:rPr>
        <w:t xml:space="preserve">The Company is engaged in the operation of retail, wholesale, eCommerce websites and other units located throughout the U.S., Africa, Argentina, Canada, Central America, Chile, China, India, Japan, </w:t>
      </w:r>
      <w:r>
        <w:rPr>
          <w:rFonts w:ascii="Times New Roman" w:eastAsia="宋体" w:hAnsi="Times New Roman"/>
          <w:color w:val="000000"/>
          <w:sz w:val="20"/>
          <w:szCs w:val="20"/>
        </w:rPr>
        <w:t>Mexico, and the United Kingdom. The Company's operations are conducted in three reportable segments: Walmart U.S., Walmart International and Sam's Club. The Company defines its segments as those operations whose results the chief operating decision maker (</w:t>
      </w:r>
      <w:r>
        <w:rPr>
          <w:rFonts w:ascii="Times New Roman" w:eastAsia="宋体" w:hAnsi="Times New Roman"/>
          <w:color w:val="000000"/>
          <w:sz w:val="20"/>
          <w:szCs w:val="20"/>
        </w:rPr>
        <w:t>"CODM") regularly reviews to analyze performance and allocate resources. The Company sells similar individual products and services in each of its segments. It is impractical to segregate and identify revenues for each of these individual products and serv</w:t>
      </w:r>
      <w:r>
        <w:rPr>
          <w:rFonts w:ascii="Times New Roman" w:eastAsia="宋体" w:hAnsi="Times New Roman"/>
          <w:color w:val="000000"/>
          <w:sz w:val="20"/>
          <w:szCs w:val="20"/>
        </w:rPr>
        <w:t>ices.</w:t>
      </w:r>
    </w:p>
    <w:p w14:paraId="7E785312" w14:textId="77777777" w:rsidR="00A82082" w:rsidRDefault="00E946F9">
      <w:pPr>
        <w:spacing w:before="100"/>
      </w:pPr>
      <w:r>
        <w:rPr>
          <w:rFonts w:ascii="Times New Roman" w:eastAsia="宋体" w:hAnsi="Times New Roman"/>
          <w:color w:val="000000"/>
          <w:sz w:val="20"/>
          <w:szCs w:val="20"/>
        </w:rPr>
        <w:t>The Walmart U.S. segment includes the Company's mass merchandising concept in the U.S., as well as eCommerce and omni-channel initiatives. The Walmart International segment consists of the Company's operations outside of the U.S., as well as eCommerc</w:t>
      </w:r>
      <w:r>
        <w:rPr>
          <w:rFonts w:ascii="Times New Roman" w:eastAsia="宋体" w:hAnsi="Times New Roman"/>
          <w:color w:val="000000"/>
          <w:sz w:val="20"/>
          <w:szCs w:val="20"/>
        </w:rPr>
        <w:t>e and omni-channel initiatives. The Sam's Club segment includes the warehouse membership clubs in the U.S., as well as samsclub.com and omni-channel initiatives. Corporate and support consists of corporate overhead and other items not allocated to any of t</w:t>
      </w:r>
      <w:r>
        <w:rPr>
          <w:rFonts w:ascii="Times New Roman" w:eastAsia="宋体" w:hAnsi="Times New Roman"/>
          <w:color w:val="000000"/>
          <w:sz w:val="20"/>
          <w:szCs w:val="20"/>
        </w:rPr>
        <w:t>he Company's segments.</w:t>
      </w:r>
    </w:p>
    <w:p w14:paraId="7E785313" w14:textId="77777777" w:rsidR="00A82082" w:rsidRDefault="00E946F9">
      <w:pPr>
        <w:jc w:val="center"/>
      </w:pPr>
      <w:r>
        <w:rPr>
          <w:rFonts w:ascii="Times New Roman" w:eastAsia="宋体" w:hAnsi="Times New Roman"/>
          <w:color w:val="000000"/>
          <w:sz w:val="20"/>
          <w:szCs w:val="20"/>
        </w:rPr>
        <w:t>13</w:t>
      </w:r>
    </w:p>
    <w:p w14:paraId="7E785314" w14:textId="77777777" w:rsidR="00A82082" w:rsidRDefault="00E946F9">
      <w:r>
        <w:pict w14:anchorId="7E786155">
          <v:rect id="_x0000_i1037" style="width:415.3pt;height:1.5pt" o:hralign="center" o:hrstd="t" o:hr="t" fillcolor="#a0a0a0" stroked="f"/>
        </w:pict>
      </w:r>
    </w:p>
    <w:p w14:paraId="7E785315" w14:textId="77777777" w:rsidR="00A82082" w:rsidRDefault="00E946F9">
      <w:hyperlink r:id="rId64" w:anchor="i5c815528a95c4409b9043de534639b9a_7" w:history="1">
        <w:r>
          <w:rPr>
            <w:rStyle w:val="a5"/>
            <w:rFonts w:ascii="Times New Roman" w:eastAsia="宋体" w:hAnsi="Times New Roman"/>
            <w:sz w:val="20"/>
            <w:szCs w:val="20"/>
          </w:rPr>
          <w:t>Table of C</w:t>
        </w:r>
      </w:hyperlink>
      <w:hyperlink r:id="rId65" w:anchor="i5c815528a95c4409b9043de534639b9a_7" w:history="1">
        <w:r>
          <w:rPr>
            <w:rStyle w:val="a5"/>
            <w:rFonts w:ascii="Times New Roman" w:eastAsia="宋体" w:hAnsi="Times New Roman"/>
            <w:sz w:val="20"/>
            <w:szCs w:val="20"/>
          </w:rPr>
          <w:t>ontents</w:t>
        </w:r>
      </w:hyperlink>
    </w:p>
    <w:p w14:paraId="7E785316" w14:textId="77777777" w:rsidR="00A82082" w:rsidRDefault="00E946F9">
      <w:pPr>
        <w:spacing w:before="100"/>
      </w:pPr>
      <w:r>
        <w:rPr>
          <w:rFonts w:ascii="Times New Roman" w:eastAsia="宋体" w:hAnsi="Times New Roman"/>
          <w:color w:val="000000"/>
          <w:sz w:val="20"/>
          <w:szCs w:val="20"/>
        </w:rPr>
        <w:t>The Company measures the results of its segments using, among other measures, each segment's net sales and operating income, which includes certain corporate over</w:t>
      </w:r>
      <w:r>
        <w:rPr>
          <w:rFonts w:ascii="Times New Roman" w:eastAsia="宋体" w:hAnsi="Times New Roman"/>
          <w:color w:val="000000"/>
          <w:sz w:val="20"/>
          <w:szCs w:val="20"/>
        </w:rPr>
        <w:t>head allocations. From time to time, the Company revises the measurement of each segment's operating income, including any corporate overhead allocations, as determined by the information regularly reviewed by its CODM. When the measurement of a segment ch</w:t>
      </w:r>
      <w:r>
        <w:rPr>
          <w:rFonts w:ascii="Times New Roman" w:eastAsia="宋体" w:hAnsi="Times New Roman"/>
          <w:color w:val="000000"/>
          <w:sz w:val="20"/>
          <w:szCs w:val="20"/>
        </w:rPr>
        <w:t>anges, previous period amounts and balances are reclassified to be comparable to the current period's presentation. Beginning with the first quarter in fiscal 2021, the Company revised its definition of eCommerce net sales to include certain pharmacy trans</w:t>
      </w:r>
      <w:r>
        <w:rPr>
          <w:rFonts w:ascii="Times New Roman" w:eastAsia="宋体" w:hAnsi="Times New Roman"/>
          <w:color w:val="000000"/>
          <w:sz w:val="20"/>
          <w:szCs w:val="20"/>
        </w:rPr>
        <w:t xml:space="preserve">actions and, accordingly, revised prior period amounts to maintain comparability. </w:t>
      </w:r>
    </w:p>
    <w:p w14:paraId="7E785317" w14:textId="77777777" w:rsidR="00A82082" w:rsidRDefault="00E946F9">
      <w:pPr>
        <w:spacing w:before="100"/>
      </w:pPr>
      <w:r>
        <w:rPr>
          <w:rFonts w:ascii="Times New Roman" w:eastAsia="宋体" w:hAnsi="Times New Roman"/>
          <w:color w:val="000000"/>
          <w:sz w:val="20"/>
          <w:szCs w:val="20"/>
        </w:rPr>
        <w:t>Net sales by segment are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4097"/>
        <w:gridCol w:w="38"/>
        <w:gridCol w:w="36"/>
        <w:gridCol w:w="36"/>
        <w:gridCol w:w="36"/>
        <w:gridCol w:w="100"/>
        <w:gridCol w:w="792"/>
        <w:gridCol w:w="36"/>
        <w:gridCol w:w="36"/>
        <w:gridCol w:w="36"/>
        <w:gridCol w:w="36"/>
        <w:gridCol w:w="100"/>
        <w:gridCol w:w="793"/>
        <w:gridCol w:w="36"/>
        <w:gridCol w:w="36"/>
        <w:gridCol w:w="36"/>
        <w:gridCol w:w="36"/>
        <w:gridCol w:w="100"/>
        <w:gridCol w:w="794"/>
        <w:gridCol w:w="36"/>
        <w:gridCol w:w="36"/>
        <w:gridCol w:w="36"/>
        <w:gridCol w:w="36"/>
        <w:gridCol w:w="100"/>
        <w:gridCol w:w="794"/>
        <w:gridCol w:w="36"/>
      </w:tblGrid>
      <w:tr w:rsidR="00A82082" w14:paraId="7E785333" w14:textId="77777777">
        <w:tc>
          <w:tcPr>
            <w:tcW w:w="50" w:type="pct"/>
            <w:shd w:val="clear" w:color="auto" w:fill="auto"/>
          </w:tcPr>
          <w:p w14:paraId="7E785318" w14:textId="77777777" w:rsidR="00A82082" w:rsidRDefault="00A82082">
            <w:pPr>
              <w:rPr>
                <w:rFonts w:ascii="宋体"/>
              </w:rPr>
            </w:pPr>
          </w:p>
        </w:tc>
        <w:tc>
          <w:tcPr>
            <w:tcW w:w="2485" w:type="pct"/>
            <w:shd w:val="clear" w:color="auto" w:fill="auto"/>
          </w:tcPr>
          <w:p w14:paraId="7E785319" w14:textId="77777777" w:rsidR="00A82082" w:rsidRDefault="00A82082">
            <w:pPr>
              <w:rPr>
                <w:rFonts w:ascii="宋体"/>
              </w:rPr>
            </w:pPr>
          </w:p>
        </w:tc>
        <w:tc>
          <w:tcPr>
            <w:tcW w:w="5" w:type="pct"/>
            <w:shd w:val="clear" w:color="auto" w:fill="auto"/>
          </w:tcPr>
          <w:p w14:paraId="7E78531A" w14:textId="77777777" w:rsidR="00A82082" w:rsidRDefault="00A82082">
            <w:pPr>
              <w:rPr>
                <w:rFonts w:ascii="宋体"/>
              </w:rPr>
            </w:pPr>
          </w:p>
        </w:tc>
        <w:tc>
          <w:tcPr>
            <w:tcW w:w="5" w:type="pct"/>
            <w:shd w:val="clear" w:color="auto" w:fill="auto"/>
          </w:tcPr>
          <w:p w14:paraId="7E78531B" w14:textId="77777777" w:rsidR="00A82082" w:rsidRDefault="00A82082">
            <w:pPr>
              <w:rPr>
                <w:rFonts w:ascii="宋体"/>
              </w:rPr>
            </w:pPr>
          </w:p>
        </w:tc>
        <w:tc>
          <w:tcPr>
            <w:tcW w:w="26" w:type="pct"/>
            <w:shd w:val="clear" w:color="auto" w:fill="auto"/>
          </w:tcPr>
          <w:p w14:paraId="7E78531C" w14:textId="77777777" w:rsidR="00A82082" w:rsidRDefault="00A82082">
            <w:pPr>
              <w:rPr>
                <w:rFonts w:ascii="宋体"/>
              </w:rPr>
            </w:pPr>
          </w:p>
        </w:tc>
        <w:tc>
          <w:tcPr>
            <w:tcW w:w="5" w:type="pct"/>
            <w:shd w:val="clear" w:color="auto" w:fill="auto"/>
          </w:tcPr>
          <w:p w14:paraId="7E78531D" w14:textId="77777777" w:rsidR="00A82082" w:rsidRDefault="00A82082">
            <w:pPr>
              <w:rPr>
                <w:rFonts w:ascii="宋体"/>
              </w:rPr>
            </w:pPr>
          </w:p>
        </w:tc>
        <w:tc>
          <w:tcPr>
            <w:tcW w:w="50" w:type="pct"/>
            <w:shd w:val="clear" w:color="auto" w:fill="auto"/>
          </w:tcPr>
          <w:p w14:paraId="7E78531E" w14:textId="77777777" w:rsidR="00A82082" w:rsidRDefault="00A82082">
            <w:pPr>
              <w:rPr>
                <w:rFonts w:ascii="宋体"/>
              </w:rPr>
            </w:pPr>
          </w:p>
        </w:tc>
        <w:tc>
          <w:tcPr>
            <w:tcW w:w="523" w:type="pct"/>
            <w:shd w:val="clear" w:color="auto" w:fill="auto"/>
          </w:tcPr>
          <w:p w14:paraId="7E78531F" w14:textId="77777777" w:rsidR="00A82082" w:rsidRDefault="00A82082">
            <w:pPr>
              <w:rPr>
                <w:rFonts w:ascii="宋体"/>
              </w:rPr>
            </w:pPr>
          </w:p>
        </w:tc>
        <w:tc>
          <w:tcPr>
            <w:tcW w:w="5" w:type="pct"/>
            <w:shd w:val="clear" w:color="auto" w:fill="auto"/>
          </w:tcPr>
          <w:p w14:paraId="7E785320" w14:textId="77777777" w:rsidR="00A82082" w:rsidRDefault="00A82082">
            <w:pPr>
              <w:rPr>
                <w:rFonts w:ascii="宋体"/>
              </w:rPr>
            </w:pPr>
          </w:p>
        </w:tc>
        <w:tc>
          <w:tcPr>
            <w:tcW w:w="5" w:type="pct"/>
            <w:shd w:val="clear" w:color="auto" w:fill="auto"/>
          </w:tcPr>
          <w:p w14:paraId="7E785321" w14:textId="77777777" w:rsidR="00A82082" w:rsidRDefault="00A82082">
            <w:pPr>
              <w:rPr>
                <w:rFonts w:ascii="宋体"/>
              </w:rPr>
            </w:pPr>
          </w:p>
        </w:tc>
        <w:tc>
          <w:tcPr>
            <w:tcW w:w="26" w:type="pct"/>
            <w:shd w:val="clear" w:color="auto" w:fill="auto"/>
          </w:tcPr>
          <w:p w14:paraId="7E785322" w14:textId="77777777" w:rsidR="00A82082" w:rsidRDefault="00A82082">
            <w:pPr>
              <w:rPr>
                <w:rFonts w:ascii="宋体"/>
              </w:rPr>
            </w:pPr>
          </w:p>
        </w:tc>
        <w:tc>
          <w:tcPr>
            <w:tcW w:w="5" w:type="pct"/>
            <w:shd w:val="clear" w:color="auto" w:fill="auto"/>
          </w:tcPr>
          <w:p w14:paraId="7E785323" w14:textId="77777777" w:rsidR="00A82082" w:rsidRDefault="00A82082">
            <w:pPr>
              <w:rPr>
                <w:rFonts w:ascii="宋体"/>
              </w:rPr>
            </w:pPr>
          </w:p>
        </w:tc>
        <w:tc>
          <w:tcPr>
            <w:tcW w:w="50" w:type="pct"/>
            <w:shd w:val="clear" w:color="auto" w:fill="auto"/>
          </w:tcPr>
          <w:p w14:paraId="7E785324" w14:textId="77777777" w:rsidR="00A82082" w:rsidRDefault="00A82082">
            <w:pPr>
              <w:rPr>
                <w:rFonts w:ascii="宋体"/>
              </w:rPr>
            </w:pPr>
          </w:p>
        </w:tc>
        <w:tc>
          <w:tcPr>
            <w:tcW w:w="523" w:type="pct"/>
            <w:shd w:val="clear" w:color="auto" w:fill="auto"/>
          </w:tcPr>
          <w:p w14:paraId="7E785325" w14:textId="77777777" w:rsidR="00A82082" w:rsidRDefault="00A82082">
            <w:pPr>
              <w:rPr>
                <w:rFonts w:ascii="宋体"/>
              </w:rPr>
            </w:pPr>
          </w:p>
        </w:tc>
        <w:tc>
          <w:tcPr>
            <w:tcW w:w="5" w:type="pct"/>
            <w:shd w:val="clear" w:color="auto" w:fill="auto"/>
          </w:tcPr>
          <w:p w14:paraId="7E785326" w14:textId="77777777" w:rsidR="00A82082" w:rsidRDefault="00A82082">
            <w:pPr>
              <w:rPr>
                <w:rFonts w:ascii="宋体"/>
              </w:rPr>
            </w:pPr>
          </w:p>
        </w:tc>
        <w:tc>
          <w:tcPr>
            <w:tcW w:w="5" w:type="pct"/>
            <w:shd w:val="clear" w:color="auto" w:fill="auto"/>
          </w:tcPr>
          <w:p w14:paraId="7E785327" w14:textId="77777777" w:rsidR="00A82082" w:rsidRDefault="00A82082">
            <w:pPr>
              <w:rPr>
                <w:rFonts w:ascii="宋体"/>
              </w:rPr>
            </w:pPr>
          </w:p>
        </w:tc>
        <w:tc>
          <w:tcPr>
            <w:tcW w:w="26" w:type="pct"/>
            <w:shd w:val="clear" w:color="auto" w:fill="auto"/>
          </w:tcPr>
          <w:p w14:paraId="7E785328" w14:textId="77777777" w:rsidR="00A82082" w:rsidRDefault="00A82082">
            <w:pPr>
              <w:rPr>
                <w:rFonts w:ascii="宋体"/>
              </w:rPr>
            </w:pPr>
          </w:p>
        </w:tc>
        <w:tc>
          <w:tcPr>
            <w:tcW w:w="5" w:type="pct"/>
            <w:shd w:val="clear" w:color="auto" w:fill="auto"/>
          </w:tcPr>
          <w:p w14:paraId="7E785329" w14:textId="77777777" w:rsidR="00A82082" w:rsidRDefault="00A82082">
            <w:pPr>
              <w:rPr>
                <w:rFonts w:ascii="宋体"/>
              </w:rPr>
            </w:pPr>
          </w:p>
        </w:tc>
        <w:tc>
          <w:tcPr>
            <w:tcW w:w="50" w:type="pct"/>
            <w:shd w:val="clear" w:color="auto" w:fill="auto"/>
          </w:tcPr>
          <w:p w14:paraId="7E78532A" w14:textId="77777777" w:rsidR="00A82082" w:rsidRDefault="00A82082">
            <w:pPr>
              <w:rPr>
                <w:rFonts w:ascii="宋体"/>
              </w:rPr>
            </w:pPr>
          </w:p>
        </w:tc>
        <w:tc>
          <w:tcPr>
            <w:tcW w:w="523" w:type="pct"/>
            <w:shd w:val="clear" w:color="auto" w:fill="auto"/>
          </w:tcPr>
          <w:p w14:paraId="7E78532B" w14:textId="77777777" w:rsidR="00A82082" w:rsidRDefault="00A82082">
            <w:pPr>
              <w:rPr>
                <w:rFonts w:ascii="宋体"/>
              </w:rPr>
            </w:pPr>
          </w:p>
        </w:tc>
        <w:tc>
          <w:tcPr>
            <w:tcW w:w="5" w:type="pct"/>
            <w:shd w:val="clear" w:color="auto" w:fill="auto"/>
          </w:tcPr>
          <w:p w14:paraId="7E78532C" w14:textId="77777777" w:rsidR="00A82082" w:rsidRDefault="00A82082">
            <w:pPr>
              <w:rPr>
                <w:rFonts w:ascii="宋体"/>
              </w:rPr>
            </w:pPr>
          </w:p>
        </w:tc>
        <w:tc>
          <w:tcPr>
            <w:tcW w:w="5" w:type="pct"/>
            <w:shd w:val="clear" w:color="auto" w:fill="auto"/>
          </w:tcPr>
          <w:p w14:paraId="7E78532D" w14:textId="77777777" w:rsidR="00A82082" w:rsidRDefault="00A82082">
            <w:pPr>
              <w:rPr>
                <w:rFonts w:ascii="宋体"/>
              </w:rPr>
            </w:pPr>
          </w:p>
        </w:tc>
        <w:tc>
          <w:tcPr>
            <w:tcW w:w="26" w:type="pct"/>
            <w:shd w:val="clear" w:color="auto" w:fill="auto"/>
          </w:tcPr>
          <w:p w14:paraId="7E78532E" w14:textId="77777777" w:rsidR="00A82082" w:rsidRDefault="00A82082">
            <w:pPr>
              <w:rPr>
                <w:rFonts w:ascii="宋体"/>
              </w:rPr>
            </w:pPr>
          </w:p>
        </w:tc>
        <w:tc>
          <w:tcPr>
            <w:tcW w:w="5" w:type="pct"/>
            <w:shd w:val="clear" w:color="auto" w:fill="auto"/>
          </w:tcPr>
          <w:p w14:paraId="7E78532F" w14:textId="77777777" w:rsidR="00A82082" w:rsidRDefault="00A82082">
            <w:pPr>
              <w:rPr>
                <w:rFonts w:ascii="宋体"/>
              </w:rPr>
            </w:pPr>
          </w:p>
        </w:tc>
        <w:tc>
          <w:tcPr>
            <w:tcW w:w="50" w:type="pct"/>
            <w:shd w:val="clear" w:color="auto" w:fill="auto"/>
          </w:tcPr>
          <w:p w14:paraId="7E785330" w14:textId="77777777" w:rsidR="00A82082" w:rsidRDefault="00A82082">
            <w:pPr>
              <w:rPr>
                <w:rFonts w:ascii="宋体"/>
              </w:rPr>
            </w:pPr>
          </w:p>
        </w:tc>
        <w:tc>
          <w:tcPr>
            <w:tcW w:w="523" w:type="pct"/>
            <w:shd w:val="clear" w:color="auto" w:fill="auto"/>
          </w:tcPr>
          <w:p w14:paraId="7E785331" w14:textId="77777777" w:rsidR="00A82082" w:rsidRDefault="00A82082">
            <w:pPr>
              <w:rPr>
                <w:rFonts w:ascii="宋体"/>
              </w:rPr>
            </w:pPr>
          </w:p>
        </w:tc>
        <w:tc>
          <w:tcPr>
            <w:tcW w:w="5" w:type="pct"/>
            <w:shd w:val="clear" w:color="auto" w:fill="auto"/>
          </w:tcPr>
          <w:p w14:paraId="7E785332" w14:textId="77777777" w:rsidR="00A82082" w:rsidRDefault="00A82082">
            <w:pPr>
              <w:rPr>
                <w:rFonts w:ascii="宋体"/>
              </w:rPr>
            </w:pPr>
          </w:p>
        </w:tc>
      </w:tr>
      <w:tr w:rsidR="00A82082" w14:paraId="7E785339" w14:textId="77777777">
        <w:tc>
          <w:tcPr>
            <w:tcW w:w="0" w:type="auto"/>
            <w:gridSpan w:val="3"/>
            <w:shd w:val="clear" w:color="auto" w:fill="auto"/>
            <w:tcMar>
              <w:top w:w="40" w:type="dxa"/>
              <w:left w:w="20" w:type="dxa"/>
              <w:bottom w:w="40" w:type="dxa"/>
              <w:right w:w="20" w:type="dxa"/>
            </w:tcMar>
            <w:vAlign w:val="bottom"/>
          </w:tcPr>
          <w:p w14:paraId="7E785334"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335"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336"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337"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338"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5343" w14:textId="77777777">
        <w:tc>
          <w:tcPr>
            <w:tcW w:w="0" w:type="auto"/>
            <w:gridSpan w:val="3"/>
            <w:shd w:val="clear" w:color="auto" w:fill="auto"/>
            <w:tcMar>
              <w:top w:w="40" w:type="dxa"/>
              <w:left w:w="20" w:type="dxa"/>
              <w:bottom w:w="40" w:type="dxa"/>
              <w:right w:w="20" w:type="dxa"/>
            </w:tcMar>
            <w:vAlign w:val="bottom"/>
          </w:tcPr>
          <w:p w14:paraId="7E78533A" w14:textId="77777777" w:rsidR="00A82082" w:rsidRDefault="00E946F9">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33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3C"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33D"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3E"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33F"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40"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341"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42"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34D" w14:textId="77777777">
        <w:tc>
          <w:tcPr>
            <w:tcW w:w="0" w:type="auto"/>
            <w:gridSpan w:val="3"/>
            <w:shd w:val="clear" w:color="auto" w:fill="auto"/>
            <w:tcMar>
              <w:top w:w="40" w:type="dxa"/>
              <w:left w:w="20" w:type="dxa"/>
              <w:bottom w:w="40" w:type="dxa"/>
              <w:right w:w="20" w:type="dxa"/>
            </w:tcMar>
            <w:vAlign w:val="center"/>
          </w:tcPr>
          <w:p w14:paraId="7E785344"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tcPr>
          <w:p w14:paraId="7E785345"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4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47"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4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49"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4A"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4B"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4C" w14:textId="77777777" w:rsidR="00A82082" w:rsidRDefault="00A82082">
            <w:pPr>
              <w:rPr>
                <w:rFonts w:ascii="宋体"/>
              </w:rPr>
            </w:pPr>
          </w:p>
        </w:tc>
      </w:tr>
      <w:tr w:rsidR="00A82082" w14:paraId="7E78535F" w14:textId="77777777">
        <w:tc>
          <w:tcPr>
            <w:tcW w:w="0" w:type="auto"/>
            <w:gridSpan w:val="3"/>
            <w:shd w:val="clear" w:color="auto" w:fill="CCEEFF"/>
            <w:tcMar>
              <w:top w:w="40" w:type="dxa"/>
              <w:left w:w="380" w:type="dxa"/>
              <w:bottom w:w="40" w:type="dxa"/>
              <w:right w:w="20" w:type="dxa"/>
            </w:tcMar>
            <w:vAlign w:val="center"/>
          </w:tcPr>
          <w:p w14:paraId="7E78534E" w14:textId="77777777" w:rsidR="00A82082" w:rsidRDefault="00E946F9">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7E78534F"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50"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51" w14:textId="77777777" w:rsidR="00A82082" w:rsidRDefault="00E946F9">
            <w:pPr>
              <w:jc w:val="right"/>
              <w:textAlignment w:val="center"/>
            </w:pPr>
            <w:r>
              <w:rPr>
                <w:rFonts w:ascii="Times New Roman" w:eastAsia="宋体" w:hAnsi="Times New Roman"/>
                <w:color w:val="000000"/>
                <w:sz w:val="16"/>
                <w:szCs w:val="16"/>
              </w:rPr>
              <w:t>88,353 </w:t>
            </w:r>
          </w:p>
        </w:tc>
        <w:tc>
          <w:tcPr>
            <w:tcW w:w="0" w:type="auto"/>
            <w:shd w:val="clear" w:color="auto" w:fill="CCEEFF"/>
            <w:tcMar>
              <w:top w:w="40" w:type="dxa"/>
              <w:left w:w="0" w:type="dxa"/>
              <w:bottom w:w="40" w:type="dxa"/>
              <w:right w:w="20" w:type="dxa"/>
            </w:tcMar>
            <w:vAlign w:val="center"/>
          </w:tcPr>
          <w:p w14:paraId="7E78535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5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5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55" w14:textId="77777777" w:rsidR="00A82082" w:rsidRDefault="00E946F9">
            <w:pPr>
              <w:jc w:val="right"/>
              <w:textAlignment w:val="center"/>
            </w:pPr>
            <w:r>
              <w:rPr>
                <w:rFonts w:ascii="Times New Roman" w:eastAsia="宋体" w:hAnsi="Times New Roman"/>
                <w:color w:val="000000"/>
                <w:sz w:val="16"/>
                <w:szCs w:val="16"/>
              </w:rPr>
              <w:t>83,189 </w:t>
            </w:r>
          </w:p>
        </w:tc>
        <w:tc>
          <w:tcPr>
            <w:tcW w:w="0" w:type="auto"/>
            <w:shd w:val="clear" w:color="auto" w:fill="CCEEFF"/>
            <w:tcMar>
              <w:top w:w="40" w:type="dxa"/>
              <w:left w:w="0" w:type="dxa"/>
              <w:bottom w:w="40" w:type="dxa"/>
              <w:right w:w="20" w:type="dxa"/>
            </w:tcMar>
            <w:vAlign w:val="center"/>
          </w:tcPr>
          <w:p w14:paraId="7E78535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57"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5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59" w14:textId="77777777" w:rsidR="00A82082" w:rsidRDefault="00E946F9">
            <w:pPr>
              <w:jc w:val="right"/>
              <w:textAlignment w:val="center"/>
            </w:pPr>
            <w:r>
              <w:rPr>
                <w:rFonts w:ascii="Times New Roman" w:eastAsia="宋体" w:hAnsi="Times New Roman"/>
                <w:color w:val="000000"/>
                <w:sz w:val="16"/>
                <w:szCs w:val="16"/>
              </w:rPr>
              <w:t>270,378 </w:t>
            </w:r>
          </w:p>
        </w:tc>
        <w:tc>
          <w:tcPr>
            <w:tcW w:w="0" w:type="auto"/>
            <w:shd w:val="clear" w:color="auto" w:fill="CCEEFF"/>
            <w:tcMar>
              <w:top w:w="40" w:type="dxa"/>
              <w:left w:w="0" w:type="dxa"/>
              <w:bottom w:w="40" w:type="dxa"/>
              <w:right w:w="20" w:type="dxa"/>
            </w:tcMar>
            <w:vAlign w:val="center"/>
          </w:tcPr>
          <w:p w14:paraId="7E78535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5B"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5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5D" w14:textId="77777777" w:rsidR="00A82082" w:rsidRDefault="00E946F9">
            <w:pPr>
              <w:jc w:val="right"/>
              <w:textAlignment w:val="center"/>
            </w:pPr>
            <w:r>
              <w:rPr>
                <w:rFonts w:ascii="Times New Roman" w:eastAsia="宋体" w:hAnsi="Times New Roman"/>
                <w:color w:val="000000"/>
                <w:sz w:val="16"/>
                <w:szCs w:val="16"/>
              </w:rPr>
              <w:t>248,733 </w:t>
            </w:r>
          </w:p>
        </w:tc>
        <w:tc>
          <w:tcPr>
            <w:tcW w:w="0" w:type="auto"/>
            <w:shd w:val="clear" w:color="auto" w:fill="CCEEFF"/>
            <w:tcMar>
              <w:top w:w="40" w:type="dxa"/>
              <w:left w:w="0" w:type="dxa"/>
              <w:bottom w:w="40" w:type="dxa"/>
              <w:right w:w="20" w:type="dxa"/>
            </w:tcMar>
            <w:vAlign w:val="center"/>
          </w:tcPr>
          <w:p w14:paraId="7E78535E" w14:textId="77777777" w:rsidR="00A82082" w:rsidRDefault="00A82082">
            <w:pPr>
              <w:jc w:val="right"/>
              <w:rPr>
                <w:rFonts w:ascii="宋体"/>
              </w:rPr>
            </w:pPr>
          </w:p>
        </w:tc>
      </w:tr>
      <w:tr w:rsidR="00A82082" w14:paraId="7E78536D" w14:textId="77777777">
        <w:tc>
          <w:tcPr>
            <w:tcW w:w="0" w:type="auto"/>
            <w:gridSpan w:val="3"/>
            <w:shd w:val="clear" w:color="auto" w:fill="FFFFFF"/>
            <w:tcMar>
              <w:top w:w="40" w:type="dxa"/>
              <w:left w:w="380" w:type="dxa"/>
              <w:bottom w:w="40" w:type="dxa"/>
              <w:right w:w="20" w:type="dxa"/>
            </w:tcMar>
            <w:vAlign w:val="center"/>
          </w:tcPr>
          <w:p w14:paraId="7E785360" w14:textId="77777777" w:rsidR="00A82082" w:rsidRDefault="00E946F9">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tcPr>
          <w:p w14:paraId="7E78536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62" w14:textId="77777777" w:rsidR="00A82082" w:rsidRDefault="00E946F9">
            <w:pPr>
              <w:jc w:val="right"/>
              <w:textAlignment w:val="center"/>
            </w:pPr>
            <w:r>
              <w:rPr>
                <w:rFonts w:ascii="Times New Roman" w:eastAsia="宋体" w:hAnsi="Times New Roman"/>
                <w:color w:val="000000"/>
                <w:sz w:val="16"/>
                <w:szCs w:val="16"/>
              </w:rPr>
              <w:t>29,554 </w:t>
            </w:r>
          </w:p>
        </w:tc>
        <w:tc>
          <w:tcPr>
            <w:tcW w:w="0" w:type="auto"/>
            <w:shd w:val="clear" w:color="auto" w:fill="FFFFFF"/>
            <w:tcMar>
              <w:top w:w="40" w:type="dxa"/>
              <w:left w:w="0" w:type="dxa"/>
              <w:bottom w:w="40" w:type="dxa"/>
              <w:right w:w="20" w:type="dxa"/>
            </w:tcMar>
            <w:vAlign w:val="center"/>
          </w:tcPr>
          <w:p w14:paraId="7E78536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6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65" w14:textId="77777777" w:rsidR="00A82082" w:rsidRDefault="00E946F9">
            <w:pPr>
              <w:jc w:val="right"/>
              <w:textAlignment w:val="center"/>
            </w:pPr>
            <w:r>
              <w:rPr>
                <w:rFonts w:ascii="Times New Roman" w:eastAsia="宋体" w:hAnsi="Times New Roman"/>
                <w:color w:val="000000"/>
                <w:sz w:val="16"/>
                <w:szCs w:val="16"/>
              </w:rPr>
              <w:t>29,167 </w:t>
            </w:r>
          </w:p>
        </w:tc>
        <w:tc>
          <w:tcPr>
            <w:tcW w:w="0" w:type="auto"/>
            <w:shd w:val="clear" w:color="auto" w:fill="FFFFFF"/>
            <w:tcMar>
              <w:top w:w="40" w:type="dxa"/>
              <w:left w:w="0" w:type="dxa"/>
              <w:bottom w:w="40" w:type="dxa"/>
              <w:right w:w="20" w:type="dxa"/>
            </w:tcMar>
            <w:vAlign w:val="center"/>
          </w:tcPr>
          <w:p w14:paraId="7E78536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6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68" w14:textId="77777777" w:rsidR="00A82082" w:rsidRDefault="00E946F9">
            <w:pPr>
              <w:jc w:val="right"/>
              <w:textAlignment w:val="center"/>
            </w:pPr>
            <w:r>
              <w:rPr>
                <w:rFonts w:ascii="Times New Roman" w:eastAsia="宋体" w:hAnsi="Times New Roman"/>
                <w:color w:val="000000"/>
                <w:sz w:val="16"/>
                <w:szCs w:val="16"/>
              </w:rPr>
              <w:t>86,487 </w:t>
            </w:r>
          </w:p>
        </w:tc>
        <w:tc>
          <w:tcPr>
            <w:tcW w:w="0" w:type="auto"/>
            <w:shd w:val="clear" w:color="auto" w:fill="FFFFFF"/>
            <w:tcMar>
              <w:top w:w="40" w:type="dxa"/>
              <w:left w:w="0" w:type="dxa"/>
              <w:bottom w:w="40" w:type="dxa"/>
              <w:right w:w="20" w:type="dxa"/>
            </w:tcMar>
            <w:vAlign w:val="center"/>
          </w:tcPr>
          <w:p w14:paraId="7E78536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6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6B" w14:textId="77777777" w:rsidR="00A82082" w:rsidRDefault="00E946F9">
            <w:pPr>
              <w:jc w:val="right"/>
              <w:textAlignment w:val="center"/>
            </w:pPr>
            <w:r>
              <w:rPr>
                <w:rFonts w:ascii="Times New Roman" w:eastAsia="宋体" w:hAnsi="Times New Roman"/>
                <w:color w:val="000000"/>
                <w:sz w:val="16"/>
                <w:szCs w:val="16"/>
              </w:rPr>
              <w:t>87,081 </w:t>
            </w:r>
          </w:p>
        </w:tc>
        <w:tc>
          <w:tcPr>
            <w:tcW w:w="0" w:type="auto"/>
            <w:shd w:val="clear" w:color="auto" w:fill="FFFFFF"/>
            <w:tcMar>
              <w:top w:w="40" w:type="dxa"/>
              <w:left w:w="0" w:type="dxa"/>
              <w:bottom w:w="40" w:type="dxa"/>
              <w:right w:w="20" w:type="dxa"/>
            </w:tcMar>
            <w:vAlign w:val="center"/>
          </w:tcPr>
          <w:p w14:paraId="7E78536C" w14:textId="77777777" w:rsidR="00A82082" w:rsidRDefault="00A82082">
            <w:pPr>
              <w:jc w:val="right"/>
              <w:rPr>
                <w:rFonts w:ascii="宋体"/>
              </w:rPr>
            </w:pPr>
          </w:p>
        </w:tc>
      </w:tr>
      <w:tr w:rsidR="00A82082" w14:paraId="7E78537B" w14:textId="77777777">
        <w:tc>
          <w:tcPr>
            <w:tcW w:w="0" w:type="auto"/>
            <w:gridSpan w:val="3"/>
            <w:shd w:val="clear" w:color="auto" w:fill="CCEEFF"/>
            <w:tcMar>
              <w:top w:w="40" w:type="dxa"/>
              <w:left w:w="380" w:type="dxa"/>
              <w:bottom w:w="40" w:type="dxa"/>
              <w:right w:w="20" w:type="dxa"/>
            </w:tcMar>
            <w:vAlign w:val="center"/>
          </w:tcPr>
          <w:p w14:paraId="7E78536E" w14:textId="77777777" w:rsidR="00A82082" w:rsidRDefault="00E946F9">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tcPr>
          <w:p w14:paraId="7E78536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370" w14:textId="77777777" w:rsidR="00A82082" w:rsidRDefault="00E946F9">
            <w:pPr>
              <w:jc w:val="right"/>
              <w:textAlignment w:val="center"/>
            </w:pPr>
            <w:r>
              <w:rPr>
                <w:rFonts w:ascii="Times New Roman" w:eastAsia="宋体" w:hAnsi="Times New Roman"/>
                <w:color w:val="000000"/>
                <w:sz w:val="16"/>
                <w:szCs w:val="16"/>
              </w:rPr>
              <w:t>15,845 </w:t>
            </w:r>
          </w:p>
        </w:tc>
        <w:tc>
          <w:tcPr>
            <w:tcW w:w="0" w:type="auto"/>
            <w:shd w:val="clear" w:color="auto" w:fill="CCEEFF"/>
            <w:tcMar>
              <w:top w:w="40" w:type="dxa"/>
              <w:left w:w="0" w:type="dxa"/>
              <w:bottom w:w="40" w:type="dxa"/>
              <w:right w:w="20" w:type="dxa"/>
            </w:tcMar>
            <w:vAlign w:val="center"/>
          </w:tcPr>
          <w:p w14:paraId="7E78537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7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373" w14:textId="77777777" w:rsidR="00A82082" w:rsidRDefault="00E946F9">
            <w:pPr>
              <w:jc w:val="right"/>
              <w:textAlignment w:val="center"/>
            </w:pPr>
            <w:r>
              <w:rPr>
                <w:rFonts w:ascii="Times New Roman" w:eastAsia="宋体" w:hAnsi="Times New Roman"/>
                <w:color w:val="000000"/>
                <w:sz w:val="16"/>
                <w:szCs w:val="16"/>
              </w:rPr>
              <w:t>14,625 </w:t>
            </w:r>
          </w:p>
        </w:tc>
        <w:tc>
          <w:tcPr>
            <w:tcW w:w="0" w:type="auto"/>
            <w:shd w:val="clear" w:color="auto" w:fill="CCEEFF"/>
            <w:tcMar>
              <w:top w:w="40" w:type="dxa"/>
              <w:left w:w="0" w:type="dxa"/>
              <w:bottom w:w="40" w:type="dxa"/>
              <w:right w:w="20" w:type="dxa"/>
            </w:tcMar>
            <w:vAlign w:val="center"/>
          </w:tcPr>
          <w:p w14:paraId="7E78537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7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376" w14:textId="77777777" w:rsidR="00A82082" w:rsidRDefault="00E946F9">
            <w:pPr>
              <w:jc w:val="right"/>
              <w:textAlignment w:val="center"/>
            </w:pPr>
            <w:r>
              <w:rPr>
                <w:rFonts w:ascii="Times New Roman" w:eastAsia="宋体" w:hAnsi="Times New Roman"/>
                <w:color w:val="000000"/>
                <w:sz w:val="16"/>
                <w:szCs w:val="16"/>
              </w:rPr>
              <w:t>47,383 </w:t>
            </w:r>
          </w:p>
        </w:tc>
        <w:tc>
          <w:tcPr>
            <w:tcW w:w="0" w:type="auto"/>
            <w:shd w:val="clear" w:color="auto" w:fill="CCEEFF"/>
            <w:tcMar>
              <w:top w:w="40" w:type="dxa"/>
              <w:left w:w="0" w:type="dxa"/>
              <w:bottom w:w="40" w:type="dxa"/>
              <w:right w:w="20" w:type="dxa"/>
            </w:tcMar>
            <w:vAlign w:val="center"/>
          </w:tcPr>
          <w:p w14:paraId="7E78537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7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379" w14:textId="77777777" w:rsidR="00A82082" w:rsidRDefault="00E946F9">
            <w:pPr>
              <w:jc w:val="right"/>
              <w:textAlignment w:val="center"/>
            </w:pPr>
            <w:r>
              <w:rPr>
                <w:rFonts w:ascii="Times New Roman" w:eastAsia="宋体" w:hAnsi="Times New Roman"/>
                <w:color w:val="000000"/>
                <w:sz w:val="16"/>
                <w:szCs w:val="16"/>
              </w:rPr>
              <w:t>43,504 </w:t>
            </w:r>
          </w:p>
        </w:tc>
        <w:tc>
          <w:tcPr>
            <w:tcW w:w="0" w:type="auto"/>
            <w:shd w:val="clear" w:color="auto" w:fill="CCEEFF"/>
            <w:tcMar>
              <w:top w:w="40" w:type="dxa"/>
              <w:left w:w="0" w:type="dxa"/>
              <w:bottom w:w="40" w:type="dxa"/>
              <w:right w:w="20" w:type="dxa"/>
            </w:tcMar>
            <w:vAlign w:val="center"/>
          </w:tcPr>
          <w:p w14:paraId="7E78537A" w14:textId="77777777" w:rsidR="00A82082" w:rsidRDefault="00A82082">
            <w:pPr>
              <w:jc w:val="right"/>
              <w:rPr>
                <w:rFonts w:ascii="宋体"/>
              </w:rPr>
            </w:pPr>
          </w:p>
        </w:tc>
      </w:tr>
      <w:tr w:rsidR="00A82082" w14:paraId="7E78538D" w14:textId="77777777">
        <w:tc>
          <w:tcPr>
            <w:tcW w:w="0" w:type="auto"/>
            <w:gridSpan w:val="3"/>
            <w:shd w:val="clear" w:color="auto" w:fill="FFFFFF"/>
            <w:tcMar>
              <w:top w:w="40" w:type="dxa"/>
              <w:left w:w="20" w:type="dxa"/>
              <w:bottom w:w="40" w:type="dxa"/>
              <w:right w:w="20" w:type="dxa"/>
            </w:tcMar>
            <w:vAlign w:val="center"/>
          </w:tcPr>
          <w:p w14:paraId="7E78537C" w14:textId="77777777" w:rsidR="00A82082" w:rsidRDefault="00E946F9">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tcPr>
          <w:p w14:paraId="7E78537D"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37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37F" w14:textId="77777777" w:rsidR="00A82082" w:rsidRDefault="00E946F9">
            <w:pPr>
              <w:jc w:val="right"/>
              <w:textAlignment w:val="center"/>
            </w:pPr>
            <w:r>
              <w:rPr>
                <w:rFonts w:ascii="Times New Roman" w:eastAsia="宋体" w:hAnsi="Times New Roman"/>
                <w:color w:val="000000"/>
                <w:sz w:val="16"/>
                <w:szCs w:val="16"/>
              </w:rPr>
              <w:t>133,752 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38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81"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38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383" w14:textId="77777777" w:rsidR="00A82082" w:rsidRDefault="00E946F9">
            <w:pPr>
              <w:jc w:val="right"/>
              <w:textAlignment w:val="center"/>
            </w:pPr>
            <w:r>
              <w:rPr>
                <w:rFonts w:ascii="Times New Roman" w:eastAsia="宋体" w:hAnsi="Times New Roman"/>
                <w:color w:val="000000"/>
                <w:sz w:val="16"/>
                <w:szCs w:val="16"/>
              </w:rPr>
              <w:t>126,981 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38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85"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38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387" w14:textId="77777777" w:rsidR="00A82082" w:rsidRDefault="00E946F9">
            <w:pPr>
              <w:jc w:val="right"/>
              <w:textAlignment w:val="center"/>
            </w:pPr>
            <w:r>
              <w:rPr>
                <w:rFonts w:ascii="Times New Roman" w:eastAsia="宋体" w:hAnsi="Times New Roman"/>
                <w:color w:val="000000"/>
                <w:sz w:val="16"/>
                <w:szCs w:val="16"/>
              </w:rPr>
              <w:t>404,248 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38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89"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38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38B" w14:textId="77777777" w:rsidR="00A82082" w:rsidRDefault="00E946F9">
            <w:pPr>
              <w:jc w:val="right"/>
              <w:textAlignment w:val="center"/>
            </w:pPr>
            <w:r>
              <w:rPr>
                <w:rFonts w:ascii="Times New Roman" w:eastAsia="宋体" w:hAnsi="Times New Roman"/>
                <w:color w:val="000000"/>
                <w:sz w:val="16"/>
                <w:szCs w:val="16"/>
              </w:rPr>
              <w:t>379,318 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38C" w14:textId="77777777" w:rsidR="00A82082" w:rsidRDefault="00A82082">
            <w:pPr>
              <w:jc w:val="right"/>
              <w:rPr>
                <w:rFonts w:ascii="宋体"/>
              </w:rPr>
            </w:pPr>
          </w:p>
        </w:tc>
      </w:tr>
    </w:tbl>
    <w:p w14:paraId="7E78538E" w14:textId="77777777" w:rsidR="00A82082" w:rsidRDefault="00E946F9">
      <w:pPr>
        <w:spacing w:before="180" w:after="100"/>
      </w:pPr>
      <w:r>
        <w:rPr>
          <w:rFonts w:ascii="Times New Roman" w:eastAsia="宋体" w:hAnsi="Times New Roman"/>
          <w:color w:val="000000"/>
          <w:sz w:val="20"/>
          <w:szCs w:val="20"/>
        </w:rPr>
        <w:t>Operating income by segment, as well as operating loss for corporate and support, interest, net and other gains and losses are as follows:</w:t>
      </w:r>
    </w:p>
    <w:tbl>
      <w:tblPr>
        <w:tblW w:w="4963" w:type="pct"/>
        <w:tblCellMar>
          <w:top w:w="15" w:type="dxa"/>
          <w:left w:w="15" w:type="dxa"/>
          <w:bottom w:w="15" w:type="dxa"/>
          <w:right w:w="15" w:type="dxa"/>
        </w:tblCellMar>
        <w:tblLook w:val="04A0" w:firstRow="1" w:lastRow="0" w:firstColumn="1" w:lastColumn="0" w:noHBand="0" w:noVBand="1"/>
      </w:tblPr>
      <w:tblGrid>
        <w:gridCol w:w="39"/>
        <w:gridCol w:w="3946"/>
        <w:gridCol w:w="38"/>
        <w:gridCol w:w="36"/>
        <w:gridCol w:w="36"/>
        <w:gridCol w:w="36"/>
        <w:gridCol w:w="100"/>
        <w:gridCol w:w="757"/>
        <w:gridCol w:w="36"/>
        <w:gridCol w:w="36"/>
        <w:gridCol w:w="36"/>
        <w:gridCol w:w="36"/>
        <w:gridCol w:w="100"/>
        <w:gridCol w:w="736"/>
        <w:gridCol w:w="36"/>
        <w:gridCol w:w="36"/>
        <w:gridCol w:w="36"/>
        <w:gridCol w:w="36"/>
        <w:gridCol w:w="100"/>
        <w:gridCol w:w="736"/>
        <w:gridCol w:w="36"/>
        <w:gridCol w:w="36"/>
        <w:gridCol w:w="36"/>
        <w:gridCol w:w="36"/>
        <w:gridCol w:w="100"/>
        <w:gridCol w:w="758"/>
        <w:gridCol w:w="36"/>
        <w:gridCol w:w="36"/>
        <w:gridCol w:w="36"/>
        <w:gridCol w:w="36"/>
        <w:gridCol w:w="36"/>
        <w:gridCol w:w="36"/>
        <w:gridCol w:w="36"/>
        <w:gridCol w:w="36"/>
        <w:gridCol w:w="36"/>
      </w:tblGrid>
      <w:tr w:rsidR="00A82082" w14:paraId="7E7853AE" w14:textId="77777777">
        <w:tc>
          <w:tcPr>
            <w:tcW w:w="50" w:type="pct"/>
            <w:shd w:val="clear" w:color="auto" w:fill="auto"/>
          </w:tcPr>
          <w:p w14:paraId="7E78538F" w14:textId="77777777" w:rsidR="00A82082" w:rsidRDefault="00A82082">
            <w:pPr>
              <w:rPr>
                <w:rFonts w:ascii="宋体"/>
              </w:rPr>
            </w:pPr>
          </w:p>
        </w:tc>
        <w:tc>
          <w:tcPr>
            <w:tcW w:w="2500" w:type="pct"/>
            <w:shd w:val="clear" w:color="auto" w:fill="auto"/>
          </w:tcPr>
          <w:p w14:paraId="7E785390" w14:textId="77777777" w:rsidR="00A82082" w:rsidRDefault="00A82082">
            <w:pPr>
              <w:rPr>
                <w:rFonts w:ascii="宋体"/>
              </w:rPr>
            </w:pPr>
          </w:p>
        </w:tc>
        <w:tc>
          <w:tcPr>
            <w:tcW w:w="5" w:type="pct"/>
            <w:shd w:val="clear" w:color="auto" w:fill="auto"/>
          </w:tcPr>
          <w:p w14:paraId="7E785391" w14:textId="77777777" w:rsidR="00A82082" w:rsidRDefault="00A82082">
            <w:pPr>
              <w:rPr>
                <w:rFonts w:ascii="宋体"/>
              </w:rPr>
            </w:pPr>
          </w:p>
        </w:tc>
        <w:tc>
          <w:tcPr>
            <w:tcW w:w="5" w:type="pct"/>
            <w:shd w:val="clear" w:color="auto" w:fill="auto"/>
          </w:tcPr>
          <w:p w14:paraId="7E785392" w14:textId="77777777" w:rsidR="00A82082" w:rsidRDefault="00A82082">
            <w:pPr>
              <w:rPr>
                <w:rFonts w:ascii="宋体"/>
              </w:rPr>
            </w:pPr>
          </w:p>
        </w:tc>
        <w:tc>
          <w:tcPr>
            <w:tcW w:w="26" w:type="pct"/>
            <w:shd w:val="clear" w:color="auto" w:fill="auto"/>
          </w:tcPr>
          <w:p w14:paraId="7E785393" w14:textId="77777777" w:rsidR="00A82082" w:rsidRDefault="00A82082">
            <w:pPr>
              <w:rPr>
                <w:rFonts w:ascii="宋体"/>
              </w:rPr>
            </w:pPr>
          </w:p>
        </w:tc>
        <w:tc>
          <w:tcPr>
            <w:tcW w:w="5" w:type="pct"/>
            <w:shd w:val="clear" w:color="auto" w:fill="auto"/>
          </w:tcPr>
          <w:p w14:paraId="7E785394" w14:textId="77777777" w:rsidR="00A82082" w:rsidRDefault="00A82082">
            <w:pPr>
              <w:rPr>
                <w:rFonts w:ascii="宋体"/>
              </w:rPr>
            </w:pPr>
          </w:p>
        </w:tc>
        <w:tc>
          <w:tcPr>
            <w:tcW w:w="50" w:type="pct"/>
            <w:shd w:val="clear" w:color="auto" w:fill="auto"/>
          </w:tcPr>
          <w:p w14:paraId="7E785395" w14:textId="77777777" w:rsidR="00A82082" w:rsidRDefault="00A82082">
            <w:pPr>
              <w:rPr>
                <w:rFonts w:ascii="宋体"/>
              </w:rPr>
            </w:pPr>
          </w:p>
        </w:tc>
        <w:tc>
          <w:tcPr>
            <w:tcW w:w="526" w:type="pct"/>
            <w:shd w:val="clear" w:color="auto" w:fill="auto"/>
          </w:tcPr>
          <w:p w14:paraId="7E785396" w14:textId="77777777" w:rsidR="00A82082" w:rsidRDefault="00A82082">
            <w:pPr>
              <w:rPr>
                <w:rFonts w:ascii="宋体"/>
              </w:rPr>
            </w:pPr>
          </w:p>
        </w:tc>
        <w:tc>
          <w:tcPr>
            <w:tcW w:w="5" w:type="pct"/>
            <w:shd w:val="clear" w:color="auto" w:fill="auto"/>
          </w:tcPr>
          <w:p w14:paraId="7E785397" w14:textId="77777777" w:rsidR="00A82082" w:rsidRDefault="00A82082">
            <w:pPr>
              <w:rPr>
                <w:rFonts w:ascii="宋体"/>
              </w:rPr>
            </w:pPr>
          </w:p>
        </w:tc>
        <w:tc>
          <w:tcPr>
            <w:tcW w:w="5" w:type="pct"/>
            <w:shd w:val="clear" w:color="auto" w:fill="auto"/>
          </w:tcPr>
          <w:p w14:paraId="7E785398" w14:textId="77777777" w:rsidR="00A82082" w:rsidRDefault="00A82082">
            <w:pPr>
              <w:rPr>
                <w:rFonts w:ascii="宋体"/>
              </w:rPr>
            </w:pPr>
          </w:p>
        </w:tc>
        <w:tc>
          <w:tcPr>
            <w:tcW w:w="26" w:type="pct"/>
            <w:shd w:val="clear" w:color="auto" w:fill="auto"/>
          </w:tcPr>
          <w:p w14:paraId="7E785399" w14:textId="77777777" w:rsidR="00A82082" w:rsidRDefault="00A82082">
            <w:pPr>
              <w:rPr>
                <w:rFonts w:ascii="宋体"/>
              </w:rPr>
            </w:pPr>
          </w:p>
        </w:tc>
        <w:tc>
          <w:tcPr>
            <w:tcW w:w="5" w:type="pct"/>
            <w:shd w:val="clear" w:color="auto" w:fill="auto"/>
          </w:tcPr>
          <w:p w14:paraId="7E78539A" w14:textId="77777777" w:rsidR="00A82082" w:rsidRDefault="00A82082">
            <w:pPr>
              <w:rPr>
                <w:rFonts w:ascii="宋体"/>
              </w:rPr>
            </w:pPr>
          </w:p>
        </w:tc>
        <w:tc>
          <w:tcPr>
            <w:tcW w:w="50" w:type="pct"/>
            <w:shd w:val="clear" w:color="auto" w:fill="auto"/>
          </w:tcPr>
          <w:p w14:paraId="7E78539B" w14:textId="77777777" w:rsidR="00A82082" w:rsidRDefault="00A82082">
            <w:pPr>
              <w:rPr>
                <w:rFonts w:ascii="宋体"/>
              </w:rPr>
            </w:pPr>
          </w:p>
        </w:tc>
        <w:tc>
          <w:tcPr>
            <w:tcW w:w="512" w:type="pct"/>
            <w:shd w:val="clear" w:color="auto" w:fill="auto"/>
          </w:tcPr>
          <w:p w14:paraId="7E78539C" w14:textId="77777777" w:rsidR="00A82082" w:rsidRDefault="00A82082">
            <w:pPr>
              <w:rPr>
                <w:rFonts w:ascii="宋体"/>
              </w:rPr>
            </w:pPr>
          </w:p>
        </w:tc>
        <w:tc>
          <w:tcPr>
            <w:tcW w:w="5" w:type="pct"/>
            <w:shd w:val="clear" w:color="auto" w:fill="auto"/>
          </w:tcPr>
          <w:p w14:paraId="7E78539D" w14:textId="77777777" w:rsidR="00A82082" w:rsidRDefault="00A82082">
            <w:pPr>
              <w:rPr>
                <w:rFonts w:ascii="宋体"/>
              </w:rPr>
            </w:pPr>
          </w:p>
        </w:tc>
        <w:tc>
          <w:tcPr>
            <w:tcW w:w="5" w:type="pct"/>
            <w:shd w:val="clear" w:color="auto" w:fill="auto"/>
          </w:tcPr>
          <w:p w14:paraId="7E78539E" w14:textId="77777777" w:rsidR="00A82082" w:rsidRDefault="00A82082">
            <w:pPr>
              <w:rPr>
                <w:rFonts w:ascii="宋体"/>
              </w:rPr>
            </w:pPr>
          </w:p>
        </w:tc>
        <w:tc>
          <w:tcPr>
            <w:tcW w:w="26" w:type="pct"/>
            <w:shd w:val="clear" w:color="auto" w:fill="auto"/>
          </w:tcPr>
          <w:p w14:paraId="7E78539F" w14:textId="77777777" w:rsidR="00A82082" w:rsidRDefault="00A82082">
            <w:pPr>
              <w:rPr>
                <w:rFonts w:ascii="宋体"/>
              </w:rPr>
            </w:pPr>
          </w:p>
        </w:tc>
        <w:tc>
          <w:tcPr>
            <w:tcW w:w="5" w:type="pct"/>
            <w:shd w:val="clear" w:color="auto" w:fill="auto"/>
          </w:tcPr>
          <w:p w14:paraId="7E7853A0" w14:textId="77777777" w:rsidR="00A82082" w:rsidRDefault="00A82082">
            <w:pPr>
              <w:rPr>
                <w:rFonts w:ascii="宋体"/>
              </w:rPr>
            </w:pPr>
          </w:p>
        </w:tc>
        <w:tc>
          <w:tcPr>
            <w:tcW w:w="50" w:type="pct"/>
            <w:shd w:val="clear" w:color="auto" w:fill="auto"/>
          </w:tcPr>
          <w:p w14:paraId="7E7853A1" w14:textId="77777777" w:rsidR="00A82082" w:rsidRDefault="00A82082">
            <w:pPr>
              <w:rPr>
                <w:rFonts w:ascii="宋体"/>
              </w:rPr>
            </w:pPr>
          </w:p>
        </w:tc>
        <w:tc>
          <w:tcPr>
            <w:tcW w:w="512" w:type="pct"/>
            <w:shd w:val="clear" w:color="auto" w:fill="auto"/>
          </w:tcPr>
          <w:p w14:paraId="7E7853A2" w14:textId="77777777" w:rsidR="00A82082" w:rsidRDefault="00A82082">
            <w:pPr>
              <w:rPr>
                <w:rFonts w:ascii="宋体"/>
              </w:rPr>
            </w:pPr>
          </w:p>
        </w:tc>
        <w:tc>
          <w:tcPr>
            <w:tcW w:w="5" w:type="pct"/>
            <w:shd w:val="clear" w:color="auto" w:fill="auto"/>
          </w:tcPr>
          <w:p w14:paraId="7E7853A3" w14:textId="77777777" w:rsidR="00A82082" w:rsidRDefault="00A82082">
            <w:pPr>
              <w:rPr>
                <w:rFonts w:ascii="宋体"/>
              </w:rPr>
            </w:pPr>
          </w:p>
        </w:tc>
        <w:tc>
          <w:tcPr>
            <w:tcW w:w="5" w:type="pct"/>
            <w:shd w:val="clear" w:color="auto" w:fill="auto"/>
          </w:tcPr>
          <w:p w14:paraId="7E7853A4" w14:textId="77777777" w:rsidR="00A82082" w:rsidRDefault="00A82082">
            <w:pPr>
              <w:rPr>
                <w:rFonts w:ascii="宋体"/>
              </w:rPr>
            </w:pPr>
          </w:p>
        </w:tc>
        <w:tc>
          <w:tcPr>
            <w:tcW w:w="26" w:type="pct"/>
            <w:shd w:val="clear" w:color="auto" w:fill="auto"/>
          </w:tcPr>
          <w:p w14:paraId="7E7853A5" w14:textId="77777777" w:rsidR="00A82082" w:rsidRDefault="00A82082">
            <w:pPr>
              <w:rPr>
                <w:rFonts w:ascii="宋体"/>
              </w:rPr>
            </w:pPr>
          </w:p>
        </w:tc>
        <w:tc>
          <w:tcPr>
            <w:tcW w:w="5" w:type="pct"/>
            <w:shd w:val="clear" w:color="auto" w:fill="auto"/>
          </w:tcPr>
          <w:p w14:paraId="7E7853A6" w14:textId="77777777" w:rsidR="00A82082" w:rsidRDefault="00A82082">
            <w:pPr>
              <w:rPr>
                <w:rFonts w:ascii="宋体"/>
              </w:rPr>
            </w:pPr>
          </w:p>
        </w:tc>
        <w:tc>
          <w:tcPr>
            <w:tcW w:w="50" w:type="pct"/>
            <w:shd w:val="clear" w:color="auto" w:fill="auto"/>
          </w:tcPr>
          <w:p w14:paraId="7E7853A7" w14:textId="77777777" w:rsidR="00A82082" w:rsidRDefault="00A82082">
            <w:pPr>
              <w:rPr>
                <w:rFonts w:ascii="宋体"/>
              </w:rPr>
            </w:pPr>
          </w:p>
        </w:tc>
        <w:tc>
          <w:tcPr>
            <w:tcW w:w="526" w:type="pct"/>
            <w:shd w:val="clear" w:color="auto" w:fill="auto"/>
          </w:tcPr>
          <w:p w14:paraId="7E7853A8" w14:textId="77777777" w:rsidR="00A82082" w:rsidRDefault="00A82082">
            <w:pPr>
              <w:rPr>
                <w:rFonts w:ascii="宋体"/>
              </w:rPr>
            </w:pPr>
          </w:p>
        </w:tc>
        <w:tc>
          <w:tcPr>
            <w:tcW w:w="5" w:type="pct"/>
            <w:shd w:val="clear" w:color="auto" w:fill="auto"/>
          </w:tcPr>
          <w:p w14:paraId="7E7853A9" w14:textId="77777777" w:rsidR="00A82082" w:rsidRDefault="00A82082">
            <w:pPr>
              <w:rPr>
                <w:rFonts w:ascii="宋体"/>
              </w:rPr>
            </w:pPr>
          </w:p>
        </w:tc>
        <w:tc>
          <w:tcPr>
            <w:tcW w:w="0" w:type="auto"/>
            <w:shd w:val="clear" w:color="auto" w:fill="auto"/>
          </w:tcPr>
          <w:p w14:paraId="7E7853AA" w14:textId="77777777" w:rsidR="00A82082" w:rsidRDefault="00A82082">
            <w:pPr>
              <w:rPr>
                <w:rFonts w:ascii="宋体"/>
                <w:vanish/>
              </w:rPr>
            </w:pPr>
          </w:p>
        </w:tc>
        <w:tc>
          <w:tcPr>
            <w:tcW w:w="0" w:type="auto"/>
            <w:shd w:val="clear" w:color="auto" w:fill="auto"/>
          </w:tcPr>
          <w:p w14:paraId="7E7853AB" w14:textId="77777777" w:rsidR="00A82082" w:rsidRDefault="00A82082">
            <w:pPr>
              <w:rPr>
                <w:rFonts w:ascii="宋体"/>
                <w:vanish/>
              </w:rPr>
            </w:pPr>
          </w:p>
        </w:tc>
        <w:tc>
          <w:tcPr>
            <w:tcW w:w="0" w:type="auto"/>
            <w:gridSpan w:val="3"/>
            <w:shd w:val="clear" w:color="auto" w:fill="auto"/>
          </w:tcPr>
          <w:p w14:paraId="7E7853AC" w14:textId="77777777" w:rsidR="00A82082" w:rsidRDefault="00A82082">
            <w:pPr>
              <w:rPr>
                <w:rFonts w:ascii="宋体"/>
                <w:vanish/>
              </w:rPr>
            </w:pPr>
          </w:p>
        </w:tc>
        <w:tc>
          <w:tcPr>
            <w:tcW w:w="0" w:type="auto"/>
            <w:gridSpan w:val="3"/>
            <w:shd w:val="clear" w:color="auto" w:fill="auto"/>
          </w:tcPr>
          <w:p w14:paraId="7E7853AD" w14:textId="77777777" w:rsidR="00A82082" w:rsidRDefault="00A82082">
            <w:pPr>
              <w:rPr>
                <w:rFonts w:ascii="宋体"/>
                <w:vanish/>
              </w:rPr>
            </w:pPr>
          </w:p>
        </w:tc>
      </w:tr>
      <w:tr w:rsidR="00A82082" w14:paraId="7E7853BC" w14:textId="77777777">
        <w:tc>
          <w:tcPr>
            <w:tcW w:w="0" w:type="auto"/>
            <w:gridSpan w:val="3"/>
            <w:shd w:val="clear" w:color="auto" w:fill="auto"/>
            <w:tcMar>
              <w:top w:w="40" w:type="dxa"/>
              <w:left w:w="20" w:type="dxa"/>
              <w:bottom w:w="40" w:type="dxa"/>
              <w:right w:w="20" w:type="dxa"/>
            </w:tcMar>
            <w:vAlign w:val="bottom"/>
          </w:tcPr>
          <w:p w14:paraId="7E7853AF"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3B0"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3B1"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3B2"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3B3"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3B4" w14:textId="77777777" w:rsidR="00A82082" w:rsidRDefault="00A82082">
            <w:pPr>
              <w:rPr>
                <w:rFonts w:ascii="宋体"/>
                <w:vanish/>
              </w:rPr>
            </w:pPr>
          </w:p>
        </w:tc>
        <w:tc>
          <w:tcPr>
            <w:tcW w:w="0" w:type="auto"/>
            <w:shd w:val="clear" w:color="auto" w:fill="auto"/>
          </w:tcPr>
          <w:p w14:paraId="7E7853B5" w14:textId="77777777" w:rsidR="00A82082" w:rsidRDefault="00A82082">
            <w:pPr>
              <w:rPr>
                <w:rFonts w:ascii="宋体"/>
                <w:vanish/>
              </w:rPr>
            </w:pPr>
          </w:p>
        </w:tc>
        <w:tc>
          <w:tcPr>
            <w:tcW w:w="0" w:type="auto"/>
            <w:shd w:val="clear" w:color="auto" w:fill="auto"/>
          </w:tcPr>
          <w:p w14:paraId="7E7853B6" w14:textId="77777777" w:rsidR="00A82082" w:rsidRDefault="00A82082">
            <w:pPr>
              <w:rPr>
                <w:rFonts w:ascii="宋体"/>
              </w:rPr>
            </w:pPr>
          </w:p>
        </w:tc>
        <w:tc>
          <w:tcPr>
            <w:tcW w:w="0" w:type="auto"/>
            <w:shd w:val="clear" w:color="auto" w:fill="auto"/>
          </w:tcPr>
          <w:p w14:paraId="7E7853B7" w14:textId="77777777" w:rsidR="00A82082" w:rsidRDefault="00A82082">
            <w:pPr>
              <w:rPr>
                <w:rFonts w:ascii="宋体"/>
              </w:rPr>
            </w:pPr>
          </w:p>
        </w:tc>
        <w:tc>
          <w:tcPr>
            <w:tcW w:w="0" w:type="auto"/>
            <w:shd w:val="clear" w:color="auto" w:fill="auto"/>
          </w:tcPr>
          <w:p w14:paraId="7E7853B8" w14:textId="77777777" w:rsidR="00A82082" w:rsidRDefault="00A82082">
            <w:pPr>
              <w:rPr>
                <w:rFonts w:ascii="宋体"/>
              </w:rPr>
            </w:pPr>
          </w:p>
        </w:tc>
        <w:tc>
          <w:tcPr>
            <w:tcW w:w="0" w:type="auto"/>
            <w:shd w:val="clear" w:color="auto" w:fill="auto"/>
          </w:tcPr>
          <w:p w14:paraId="7E7853B9" w14:textId="77777777" w:rsidR="00A82082" w:rsidRDefault="00A82082">
            <w:pPr>
              <w:rPr>
                <w:rFonts w:ascii="宋体"/>
              </w:rPr>
            </w:pPr>
          </w:p>
        </w:tc>
        <w:tc>
          <w:tcPr>
            <w:tcW w:w="0" w:type="auto"/>
            <w:shd w:val="clear" w:color="auto" w:fill="auto"/>
          </w:tcPr>
          <w:p w14:paraId="7E7853BA" w14:textId="77777777" w:rsidR="00A82082" w:rsidRDefault="00A82082">
            <w:pPr>
              <w:rPr>
                <w:rFonts w:ascii="宋体"/>
              </w:rPr>
            </w:pPr>
          </w:p>
        </w:tc>
        <w:tc>
          <w:tcPr>
            <w:tcW w:w="0" w:type="auto"/>
            <w:shd w:val="clear" w:color="auto" w:fill="auto"/>
          </w:tcPr>
          <w:p w14:paraId="7E7853BB" w14:textId="77777777" w:rsidR="00A82082" w:rsidRDefault="00A82082">
            <w:pPr>
              <w:rPr>
                <w:rFonts w:ascii="宋体"/>
              </w:rPr>
            </w:pPr>
          </w:p>
        </w:tc>
      </w:tr>
      <w:tr w:rsidR="00A82082" w14:paraId="7E7853CA" w14:textId="77777777">
        <w:tc>
          <w:tcPr>
            <w:tcW w:w="0" w:type="auto"/>
            <w:gridSpan w:val="3"/>
            <w:shd w:val="clear" w:color="auto" w:fill="auto"/>
            <w:tcMar>
              <w:top w:w="40" w:type="dxa"/>
              <w:left w:w="20" w:type="dxa"/>
              <w:bottom w:w="40" w:type="dxa"/>
              <w:right w:w="20" w:type="dxa"/>
            </w:tcMar>
            <w:vAlign w:val="bottom"/>
          </w:tcPr>
          <w:p w14:paraId="7E7853BD" w14:textId="77777777" w:rsidR="00A82082" w:rsidRDefault="00E946F9">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3B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BF"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3C0"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C1"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3C2"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C3"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3C4"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3C5"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shd w:val="clear" w:color="auto" w:fill="auto"/>
          </w:tcPr>
          <w:p w14:paraId="7E7853C6" w14:textId="77777777" w:rsidR="00A82082" w:rsidRDefault="00A82082">
            <w:pPr>
              <w:rPr>
                <w:rFonts w:ascii="宋体"/>
                <w:vanish/>
              </w:rPr>
            </w:pPr>
          </w:p>
        </w:tc>
        <w:tc>
          <w:tcPr>
            <w:tcW w:w="0" w:type="auto"/>
            <w:shd w:val="clear" w:color="auto" w:fill="auto"/>
          </w:tcPr>
          <w:p w14:paraId="7E7853C7" w14:textId="77777777" w:rsidR="00A82082" w:rsidRDefault="00A82082">
            <w:pPr>
              <w:rPr>
                <w:rFonts w:ascii="宋体"/>
                <w:vanish/>
              </w:rPr>
            </w:pPr>
          </w:p>
        </w:tc>
        <w:tc>
          <w:tcPr>
            <w:tcW w:w="0" w:type="auto"/>
            <w:gridSpan w:val="3"/>
            <w:shd w:val="clear" w:color="auto" w:fill="auto"/>
          </w:tcPr>
          <w:p w14:paraId="7E7853C8" w14:textId="77777777" w:rsidR="00A82082" w:rsidRDefault="00A82082">
            <w:pPr>
              <w:rPr>
                <w:rFonts w:ascii="宋体"/>
                <w:vanish/>
              </w:rPr>
            </w:pPr>
          </w:p>
        </w:tc>
        <w:tc>
          <w:tcPr>
            <w:tcW w:w="0" w:type="auto"/>
            <w:gridSpan w:val="3"/>
            <w:shd w:val="clear" w:color="auto" w:fill="auto"/>
          </w:tcPr>
          <w:p w14:paraId="7E7853C9" w14:textId="77777777" w:rsidR="00A82082" w:rsidRDefault="00A82082">
            <w:pPr>
              <w:rPr>
                <w:rFonts w:ascii="宋体"/>
                <w:vanish/>
              </w:rPr>
            </w:pPr>
          </w:p>
        </w:tc>
      </w:tr>
      <w:tr w:rsidR="00A82082" w14:paraId="7E7853D8" w14:textId="77777777">
        <w:tc>
          <w:tcPr>
            <w:tcW w:w="0" w:type="auto"/>
            <w:gridSpan w:val="3"/>
            <w:shd w:val="clear" w:color="auto" w:fill="auto"/>
            <w:tcMar>
              <w:top w:w="40" w:type="dxa"/>
              <w:left w:w="20" w:type="dxa"/>
              <w:bottom w:w="40" w:type="dxa"/>
              <w:right w:w="20" w:type="dxa"/>
            </w:tcMar>
            <w:vAlign w:val="center"/>
          </w:tcPr>
          <w:p w14:paraId="7E7853CB" w14:textId="77777777" w:rsidR="00A82082" w:rsidRDefault="00E946F9">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tcPr>
          <w:p w14:paraId="7E7853CC"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C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CE"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C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D0"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D1"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3D2"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3D3" w14:textId="77777777" w:rsidR="00A82082" w:rsidRDefault="00A82082">
            <w:pPr>
              <w:rPr>
                <w:rFonts w:ascii="宋体"/>
              </w:rPr>
            </w:pPr>
          </w:p>
        </w:tc>
        <w:tc>
          <w:tcPr>
            <w:tcW w:w="0" w:type="auto"/>
            <w:shd w:val="clear" w:color="auto" w:fill="auto"/>
          </w:tcPr>
          <w:p w14:paraId="7E7853D4" w14:textId="77777777" w:rsidR="00A82082" w:rsidRDefault="00A82082">
            <w:pPr>
              <w:rPr>
                <w:rFonts w:ascii="宋体"/>
                <w:vanish/>
              </w:rPr>
            </w:pPr>
          </w:p>
        </w:tc>
        <w:tc>
          <w:tcPr>
            <w:tcW w:w="0" w:type="auto"/>
            <w:shd w:val="clear" w:color="auto" w:fill="auto"/>
          </w:tcPr>
          <w:p w14:paraId="7E7853D5" w14:textId="77777777" w:rsidR="00A82082" w:rsidRDefault="00A82082">
            <w:pPr>
              <w:rPr>
                <w:rFonts w:ascii="宋体"/>
                <w:vanish/>
              </w:rPr>
            </w:pPr>
          </w:p>
        </w:tc>
        <w:tc>
          <w:tcPr>
            <w:tcW w:w="0" w:type="auto"/>
            <w:gridSpan w:val="3"/>
            <w:shd w:val="clear" w:color="auto" w:fill="auto"/>
          </w:tcPr>
          <w:p w14:paraId="7E7853D6" w14:textId="77777777" w:rsidR="00A82082" w:rsidRDefault="00A82082">
            <w:pPr>
              <w:rPr>
                <w:rFonts w:ascii="宋体"/>
                <w:vanish/>
              </w:rPr>
            </w:pPr>
          </w:p>
        </w:tc>
        <w:tc>
          <w:tcPr>
            <w:tcW w:w="0" w:type="auto"/>
            <w:gridSpan w:val="3"/>
            <w:shd w:val="clear" w:color="auto" w:fill="auto"/>
          </w:tcPr>
          <w:p w14:paraId="7E7853D7" w14:textId="77777777" w:rsidR="00A82082" w:rsidRDefault="00A82082">
            <w:pPr>
              <w:rPr>
                <w:rFonts w:ascii="宋体"/>
                <w:vanish/>
              </w:rPr>
            </w:pPr>
          </w:p>
        </w:tc>
      </w:tr>
      <w:tr w:rsidR="00A82082" w14:paraId="7E7853EE" w14:textId="77777777">
        <w:tc>
          <w:tcPr>
            <w:tcW w:w="0" w:type="auto"/>
            <w:gridSpan w:val="3"/>
            <w:shd w:val="clear" w:color="auto" w:fill="CCEEFF"/>
            <w:tcMar>
              <w:top w:w="40" w:type="dxa"/>
              <w:left w:w="380" w:type="dxa"/>
              <w:bottom w:w="40" w:type="dxa"/>
              <w:right w:w="20" w:type="dxa"/>
            </w:tcMar>
            <w:vAlign w:val="center"/>
          </w:tcPr>
          <w:p w14:paraId="7E7853D9" w14:textId="77777777" w:rsidR="00A82082" w:rsidRDefault="00E946F9">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7E7853DA"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DB"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DC" w14:textId="77777777" w:rsidR="00A82082" w:rsidRDefault="00E946F9">
            <w:pPr>
              <w:jc w:val="right"/>
              <w:textAlignment w:val="center"/>
            </w:pPr>
            <w:r>
              <w:rPr>
                <w:rFonts w:ascii="Times New Roman" w:eastAsia="宋体" w:hAnsi="Times New Roman"/>
                <w:color w:val="000000"/>
                <w:sz w:val="16"/>
                <w:szCs w:val="16"/>
              </w:rPr>
              <w:t>4,589 </w:t>
            </w:r>
          </w:p>
        </w:tc>
        <w:tc>
          <w:tcPr>
            <w:tcW w:w="0" w:type="auto"/>
            <w:shd w:val="clear" w:color="auto" w:fill="CCEEFF"/>
            <w:tcMar>
              <w:top w:w="40" w:type="dxa"/>
              <w:left w:w="0" w:type="dxa"/>
              <w:bottom w:w="40" w:type="dxa"/>
              <w:right w:w="20" w:type="dxa"/>
            </w:tcMar>
            <w:vAlign w:val="center"/>
          </w:tcPr>
          <w:p w14:paraId="7E7853D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DE"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D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E0" w14:textId="77777777" w:rsidR="00A82082" w:rsidRDefault="00E946F9">
            <w:pPr>
              <w:jc w:val="right"/>
              <w:textAlignment w:val="center"/>
            </w:pPr>
            <w:r>
              <w:rPr>
                <w:rFonts w:ascii="Times New Roman" w:eastAsia="宋体" w:hAnsi="Times New Roman"/>
                <w:color w:val="000000"/>
                <w:sz w:val="16"/>
                <w:szCs w:val="16"/>
              </w:rPr>
              <w:t>4,176 </w:t>
            </w:r>
          </w:p>
        </w:tc>
        <w:tc>
          <w:tcPr>
            <w:tcW w:w="0" w:type="auto"/>
            <w:shd w:val="clear" w:color="auto" w:fill="CCEEFF"/>
            <w:tcMar>
              <w:top w:w="40" w:type="dxa"/>
              <w:left w:w="0" w:type="dxa"/>
              <w:bottom w:w="40" w:type="dxa"/>
              <w:right w:w="20" w:type="dxa"/>
            </w:tcMar>
            <w:vAlign w:val="center"/>
          </w:tcPr>
          <w:p w14:paraId="7E7853E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E2"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E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E4" w14:textId="77777777" w:rsidR="00A82082" w:rsidRDefault="00E946F9">
            <w:pPr>
              <w:jc w:val="right"/>
              <w:textAlignment w:val="center"/>
            </w:pPr>
            <w:r>
              <w:rPr>
                <w:rFonts w:ascii="Times New Roman" w:eastAsia="宋体" w:hAnsi="Times New Roman"/>
                <w:color w:val="000000"/>
                <w:sz w:val="16"/>
                <w:szCs w:val="16"/>
              </w:rPr>
              <w:t>13,948 </w:t>
            </w:r>
          </w:p>
        </w:tc>
        <w:tc>
          <w:tcPr>
            <w:tcW w:w="0" w:type="auto"/>
            <w:shd w:val="clear" w:color="auto" w:fill="CCEEFF"/>
            <w:tcMar>
              <w:top w:w="40" w:type="dxa"/>
              <w:left w:w="0" w:type="dxa"/>
              <w:bottom w:w="40" w:type="dxa"/>
              <w:right w:w="20" w:type="dxa"/>
            </w:tcMar>
            <w:vAlign w:val="center"/>
          </w:tcPr>
          <w:p w14:paraId="7E7853E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3E6"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3E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3E8" w14:textId="77777777" w:rsidR="00A82082" w:rsidRDefault="00E946F9">
            <w:pPr>
              <w:jc w:val="right"/>
              <w:textAlignment w:val="center"/>
            </w:pPr>
            <w:r>
              <w:rPr>
                <w:rFonts w:ascii="Times New Roman" w:eastAsia="宋体" w:hAnsi="Times New Roman"/>
                <w:color w:val="000000"/>
                <w:sz w:val="16"/>
                <w:szCs w:val="16"/>
              </w:rPr>
              <w:t>12,977 </w:t>
            </w:r>
          </w:p>
        </w:tc>
        <w:tc>
          <w:tcPr>
            <w:tcW w:w="0" w:type="auto"/>
            <w:shd w:val="clear" w:color="auto" w:fill="CCEEFF"/>
            <w:tcMar>
              <w:top w:w="40" w:type="dxa"/>
              <w:left w:w="0" w:type="dxa"/>
              <w:bottom w:w="40" w:type="dxa"/>
              <w:right w:w="20" w:type="dxa"/>
            </w:tcMar>
            <w:vAlign w:val="center"/>
          </w:tcPr>
          <w:p w14:paraId="7E7853E9" w14:textId="77777777" w:rsidR="00A82082" w:rsidRDefault="00A82082">
            <w:pPr>
              <w:jc w:val="right"/>
              <w:rPr>
                <w:rFonts w:ascii="宋体"/>
              </w:rPr>
            </w:pPr>
          </w:p>
        </w:tc>
        <w:tc>
          <w:tcPr>
            <w:tcW w:w="0" w:type="auto"/>
            <w:shd w:val="clear" w:color="auto" w:fill="auto"/>
          </w:tcPr>
          <w:p w14:paraId="7E7853EA" w14:textId="77777777" w:rsidR="00A82082" w:rsidRDefault="00A82082">
            <w:pPr>
              <w:rPr>
                <w:rFonts w:ascii="宋体"/>
                <w:vanish/>
              </w:rPr>
            </w:pPr>
          </w:p>
        </w:tc>
        <w:tc>
          <w:tcPr>
            <w:tcW w:w="0" w:type="auto"/>
            <w:shd w:val="clear" w:color="auto" w:fill="auto"/>
          </w:tcPr>
          <w:p w14:paraId="7E7853EB" w14:textId="77777777" w:rsidR="00A82082" w:rsidRDefault="00A82082">
            <w:pPr>
              <w:rPr>
                <w:rFonts w:ascii="宋体"/>
                <w:vanish/>
              </w:rPr>
            </w:pPr>
          </w:p>
        </w:tc>
        <w:tc>
          <w:tcPr>
            <w:tcW w:w="0" w:type="auto"/>
            <w:gridSpan w:val="3"/>
            <w:shd w:val="clear" w:color="auto" w:fill="auto"/>
          </w:tcPr>
          <w:p w14:paraId="7E7853EC" w14:textId="77777777" w:rsidR="00A82082" w:rsidRDefault="00A82082">
            <w:pPr>
              <w:rPr>
                <w:rFonts w:ascii="宋体"/>
                <w:vanish/>
              </w:rPr>
            </w:pPr>
          </w:p>
        </w:tc>
        <w:tc>
          <w:tcPr>
            <w:tcW w:w="0" w:type="auto"/>
            <w:gridSpan w:val="3"/>
            <w:shd w:val="clear" w:color="auto" w:fill="auto"/>
          </w:tcPr>
          <w:p w14:paraId="7E7853ED" w14:textId="77777777" w:rsidR="00A82082" w:rsidRDefault="00A82082">
            <w:pPr>
              <w:rPr>
                <w:rFonts w:ascii="宋体"/>
                <w:vanish/>
              </w:rPr>
            </w:pPr>
          </w:p>
        </w:tc>
      </w:tr>
      <w:tr w:rsidR="00A82082" w14:paraId="7E785400" w14:textId="77777777">
        <w:tc>
          <w:tcPr>
            <w:tcW w:w="0" w:type="auto"/>
            <w:gridSpan w:val="3"/>
            <w:shd w:val="clear" w:color="auto" w:fill="FFFFFF"/>
            <w:tcMar>
              <w:top w:w="40" w:type="dxa"/>
              <w:left w:w="380" w:type="dxa"/>
              <w:bottom w:w="40" w:type="dxa"/>
              <w:right w:w="20" w:type="dxa"/>
            </w:tcMar>
            <w:vAlign w:val="center"/>
          </w:tcPr>
          <w:p w14:paraId="7E7853EF" w14:textId="77777777" w:rsidR="00A82082" w:rsidRDefault="00E946F9">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tcPr>
          <w:p w14:paraId="7E7853F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F1" w14:textId="77777777" w:rsidR="00A82082" w:rsidRDefault="00E946F9">
            <w:pPr>
              <w:jc w:val="right"/>
              <w:textAlignment w:val="center"/>
            </w:pPr>
            <w:r>
              <w:rPr>
                <w:rFonts w:ascii="Times New Roman" w:eastAsia="宋体" w:hAnsi="Times New Roman"/>
                <w:color w:val="000000"/>
                <w:sz w:val="16"/>
                <w:szCs w:val="16"/>
              </w:rPr>
              <w:t>1,078 </w:t>
            </w:r>
          </w:p>
        </w:tc>
        <w:tc>
          <w:tcPr>
            <w:tcW w:w="0" w:type="auto"/>
            <w:shd w:val="clear" w:color="auto" w:fill="FFFFFF"/>
            <w:tcMar>
              <w:top w:w="40" w:type="dxa"/>
              <w:left w:w="0" w:type="dxa"/>
              <w:bottom w:w="40" w:type="dxa"/>
              <w:right w:w="20" w:type="dxa"/>
            </w:tcMar>
            <w:vAlign w:val="center"/>
          </w:tcPr>
          <w:p w14:paraId="7E7853F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F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F4" w14:textId="77777777" w:rsidR="00A82082" w:rsidRDefault="00E946F9">
            <w:pPr>
              <w:jc w:val="right"/>
              <w:textAlignment w:val="center"/>
            </w:pPr>
            <w:r>
              <w:rPr>
                <w:rFonts w:ascii="Times New Roman" w:eastAsia="宋体" w:hAnsi="Times New Roman"/>
                <w:color w:val="000000"/>
                <w:sz w:val="16"/>
                <w:szCs w:val="16"/>
              </w:rPr>
              <w:t>634 </w:t>
            </w:r>
          </w:p>
        </w:tc>
        <w:tc>
          <w:tcPr>
            <w:tcW w:w="0" w:type="auto"/>
            <w:shd w:val="clear" w:color="auto" w:fill="FFFFFF"/>
            <w:tcMar>
              <w:top w:w="40" w:type="dxa"/>
              <w:left w:w="0" w:type="dxa"/>
              <w:bottom w:w="40" w:type="dxa"/>
              <w:right w:w="20" w:type="dxa"/>
            </w:tcMar>
            <w:vAlign w:val="center"/>
          </w:tcPr>
          <w:p w14:paraId="7E7853F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F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F7" w14:textId="77777777" w:rsidR="00A82082" w:rsidRDefault="00E946F9">
            <w:pPr>
              <w:jc w:val="right"/>
              <w:textAlignment w:val="center"/>
            </w:pPr>
            <w:r>
              <w:rPr>
                <w:rFonts w:ascii="Times New Roman" w:eastAsia="宋体" w:hAnsi="Times New Roman"/>
                <w:color w:val="000000"/>
                <w:sz w:val="16"/>
                <w:szCs w:val="16"/>
              </w:rPr>
              <w:t>2,696 </w:t>
            </w:r>
          </w:p>
        </w:tc>
        <w:tc>
          <w:tcPr>
            <w:tcW w:w="0" w:type="auto"/>
            <w:shd w:val="clear" w:color="auto" w:fill="FFFFFF"/>
            <w:tcMar>
              <w:top w:w="40" w:type="dxa"/>
              <w:left w:w="0" w:type="dxa"/>
              <w:bottom w:w="40" w:type="dxa"/>
              <w:right w:w="20" w:type="dxa"/>
            </w:tcMar>
            <w:vAlign w:val="center"/>
          </w:tcPr>
          <w:p w14:paraId="7E7853F8"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3F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3FA" w14:textId="77777777" w:rsidR="00A82082" w:rsidRDefault="00E946F9">
            <w:pPr>
              <w:jc w:val="right"/>
              <w:textAlignment w:val="center"/>
            </w:pPr>
            <w:r>
              <w:rPr>
                <w:rFonts w:ascii="Times New Roman" w:eastAsia="宋体" w:hAnsi="Times New Roman"/>
                <w:color w:val="000000"/>
                <w:sz w:val="16"/>
                <w:szCs w:val="16"/>
              </w:rPr>
              <w:t>2,265 </w:t>
            </w:r>
          </w:p>
        </w:tc>
        <w:tc>
          <w:tcPr>
            <w:tcW w:w="0" w:type="auto"/>
            <w:shd w:val="clear" w:color="auto" w:fill="FFFFFF"/>
            <w:tcMar>
              <w:top w:w="40" w:type="dxa"/>
              <w:left w:w="0" w:type="dxa"/>
              <w:bottom w:w="40" w:type="dxa"/>
              <w:right w:w="20" w:type="dxa"/>
            </w:tcMar>
            <w:vAlign w:val="center"/>
          </w:tcPr>
          <w:p w14:paraId="7E7853FB" w14:textId="77777777" w:rsidR="00A82082" w:rsidRDefault="00A82082">
            <w:pPr>
              <w:jc w:val="right"/>
              <w:rPr>
                <w:rFonts w:ascii="宋体"/>
              </w:rPr>
            </w:pPr>
          </w:p>
        </w:tc>
        <w:tc>
          <w:tcPr>
            <w:tcW w:w="0" w:type="auto"/>
            <w:shd w:val="clear" w:color="auto" w:fill="auto"/>
          </w:tcPr>
          <w:p w14:paraId="7E7853FC" w14:textId="77777777" w:rsidR="00A82082" w:rsidRDefault="00A82082">
            <w:pPr>
              <w:rPr>
                <w:rFonts w:ascii="宋体"/>
                <w:vanish/>
              </w:rPr>
            </w:pPr>
          </w:p>
        </w:tc>
        <w:tc>
          <w:tcPr>
            <w:tcW w:w="0" w:type="auto"/>
            <w:shd w:val="clear" w:color="auto" w:fill="auto"/>
          </w:tcPr>
          <w:p w14:paraId="7E7853FD" w14:textId="77777777" w:rsidR="00A82082" w:rsidRDefault="00A82082">
            <w:pPr>
              <w:rPr>
                <w:rFonts w:ascii="宋体"/>
                <w:vanish/>
              </w:rPr>
            </w:pPr>
          </w:p>
        </w:tc>
        <w:tc>
          <w:tcPr>
            <w:tcW w:w="0" w:type="auto"/>
            <w:gridSpan w:val="3"/>
            <w:shd w:val="clear" w:color="auto" w:fill="auto"/>
          </w:tcPr>
          <w:p w14:paraId="7E7853FE" w14:textId="77777777" w:rsidR="00A82082" w:rsidRDefault="00A82082">
            <w:pPr>
              <w:rPr>
                <w:rFonts w:ascii="宋体"/>
                <w:vanish/>
              </w:rPr>
            </w:pPr>
          </w:p>
        </w:tc>
        <w:tc>
          <w:tcPr>
            <w:tcW w:w="0" w:type="auto"/>
            <w:gridSpan w:val="3"/>
            <w:shd w:val="clear" w:color="auto" w:fill="auto"/>
          </w:tcPr>
          <w:p w14:paraId="7E7853FF" w14:textId="77777777" w:rsidR="00A82082" w:rsidRDefault="00A82082">
            <w:pPr>
              <w:rPr>
                <w:rFonts w:ascii="宋体"/>
                <w:vanish/>
              </w:rPr>
            </w:pPr>
          </w:p>
        </w:tc>
      </w:tr>
      <w:tr w:rsidR="00A82082" w14:paraId="7E785412" w14:textId="77777777">
        <w:tc>
          <w:tcPr>
            <w:tcW w:w="0" w:type="auto"/>
            <w:gridSpan w:val="3"/>
            <w:shd w:val="clear" w:color="auto" w:fill="CCEEFF"/>
            <w:tcMar>
              <w:top w:w="40" w:type="dxa"/>
              <w:left w:w="380" w:type="dxa"/>
              <w:bottom w:w="40" w:type="dxa"/>
              <w:right w:w="20" w:type="dxa"/>
            </w:tcMar>
            <w:vAlign w:val="center"/>
          </w:tcPr>
          <w:p w14:paraId="7E785401" w14:textId="77777777" w:rsidR="00A82082" w:rsidRDefault="00E946F9">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tcPr>
          <w:p w14:paraId="7E78540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03" w14:textId="77777777" w:rsidR="00A82082" w:rsidRDefault="00E946F9">
            <w:pPr>
              <w:jc w:val="right"/>
              <w:textAlignment w:val="center"/>
            </w:pPr>
            <w:r>
              <w:rPr>
                <w:rFonts w:ascii="Times New Roman" w:eastAsia="宋体" w:hAnsi="Times New Roman"/>
                <w:color w:val="000000"/>
                <w:sz w:val="16"/>
                <w:szCs w:val="16"/>
              </w:rPr>
              <w:t>431 </w:t>
            </w:r>
          </w:p>
        </w:tc>
        <w:tc>
          <w:tcPr>
            <w:tcW w:w="0" w:type="auto"/>
            <w:shd w:val="clear" w:color="auto" w:fill="CCEEFF"/>
            <w:tcMar>
              <w:top w:w="40" w:type="dxa"/>
              <w:left w:w="0" w:type="dxa"/>
              <w:bottom w:w="40" w:type="dxa"/>
              <w:right w:w="20" w:type="dxa"/>
            </w:tcMar>
            <w:vAlign w:val="center"/>
          </w:tcPr>
          <w:p w14:paraId="7E78540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0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06" w14:textId="77777777" w:rsidR="00A82082" w:rsidRDefault="00E946F9">
            <w:pPr>
              <w:jc w:val="right"/>
              <w:textAlignment w:val="center"/>
            </w:pPr>
            <w:r>
              <w:rPr>
                <w:rFonts w:ascii="Times New Roman" w:eastAsia="宋体" w:hAnsi="Times New Roman"/>
                <w:color w:val="000000"/>
                <w:sz w:val="16"/>
                <w:szCs w:val="16"/>
              </w:rPr>
              <w:t>327 </w:t>
            </w:r>
          </w:p>
        </w:tc>
        <w:tc>
          <w:tcPr>
            <w:tcW w:w="0" w:type="auto"/>
            <w:shd w:val="clear" w:color="auto" w:fill="CCEEFF"/>
            <w:tcMar>
              <w:top w:w="40" w:type="dxa"/>
              <w:left w:w="0" w:type="dxa"/>
              <w:bottom w:w="40" w:type="dxa"/>
              <w:right w:w="20" w:type="dxa"/>
            </w:tcMar>
            <w:vAlign w:val="center"/>
          </w:tcPr>
          <w:p w14:paraId="7E78540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0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09" w14:textId="77777777" w:rsidR="00A82082" w:rsidRDefault="00E946F9">
            <w:pPr>
              <w:jc w:val="right"/>
              <w:textAlignment w:val="center"/>
            </w:pPr>
            <w:r>
              <w:rPr>
                <w:rFonts w:ascii="Times New Roman" w:eastAsia="宋体" w:hAnsi="Times New Roman"/>
                <w:color w:val="000000"/>
                <w:sz w:val="16"/>
                <w:szCs w:val="16"/>
              </w:rPr>
              <w:t>1,517 </w:t>
            </w:r>
          </w:p>
        </w:tc>
        <w:tc>
          <w:tcPr>
            <w:tcW w:w="0" w:type="auto"/>
            <w:shd w:val="clear" w:color="auto" w:fill="CCEEFF"/>
            <w:tcMar>
              <w:top w:w="40" w:type="dxa"/>
              <w:left w:w="0" w:type="dxa"/>
              <w:bottom w:w="40" w:type="dxa"/>
              <w:right w:w="20" w:type="dxa"/>
            </w:tcMar>
            <w:vAlign w:val="center"/>
          </w:tcPr>
          <w:p w14:paraId="7E78540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0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0C" w14:textId="77777777" w:rsidR="00A82082" w:rsidRDefault="00E946F9">
            <w:pPr>
              <w:jc w:val="right"/>
              <w:textAlignment w:val="center"/>
            </w:pPr>
            <w:r>
              <w:rPr>
                <w:rFonts w:ascii="Times New Roman" w:eastAsia="宋体" w:hAnsi="Times New Roman"/>
                <w:color w:val="000000"/>
                <w:sz w:val="16"/>
                <w:szCs w:val="16"/>
              </w:rPr>
              <w:t>1,258 </w:t>
            </w:r>
          </w:p>
        </w:tc>
        <w:tc>
          <w:tcPr>
            <w:tcW w:w="0" w:type="auto"/>
            <w:shd w:val="clear" w:color="auto" w:fill="CCEEFF"/>
            <w:tcMar>
              <w:top w:w="40" w:type="dxa"/>
              <w:left w:w="0" w:type="dxa"/>
              <w:bottom w:w="40" w:type="dxa"/>
              <w:right w:w="20" w:type="dxa"/>
            </w:tcMar>
            <w:vAlign w:val="center"/>
          </w:tcPr>
          <w:p w14:paraId="7E78540D" w14:textId="77777777" w:rsidR="00A82082" w:rsidRDefault="00A82082">
            <w:pPr>
              <w:jc w:val="right"/>
              <w:rPr>
                <w:rFonts w:ascii="宋体"/>
              </w:rPr>
            </w:pPr>
          </w:p>
        </w:tc>
        <w:tc>
          <w:tcPr>
            <w:tcW w:w="0" w:type="auto"/>
            <w:shd w:val="clear" w:color="auto" w:fill="auto"/>
          </w:tcPr>
          <w:p w14:paraId="7E78540E" w14:textId="77777777" w:rsidR="00A82082" w:rsidRDefault="00A82082">
            <w:pPr>
              <w:rPr>
                <w:rFonts w:ascii="宋体"/>
                <w:vanish/>
              </w:rPr>
            </w:pPr>
          </w:p>
        </w:tc>
        <w:tc>
          <w:tcPr>
            <w:tcW w:w="0" w:type="auto"/>
            <w:shd w:val="clear" w:color="auto" w:fill="auto"/>
          </w:tcPr>
          <w:p w14:paraId="7E78540F" w14:textId="77777777" w:rsidR="00A82082" w:rsidRDefault="00A82082">
            <w:pPr>
              <w:rPr>
                <w:rFonts w:ascii="宋体"/>
                <w:vanish/>
              </w:rPr>
            </w:pPr>
          </w:p>
        </w:tc>
        <w:tc>
          <w:tcPr>
            <w:tcW w:w="0" w:type="auto"/>
            <w:gridSpan w:val="3"/>
            <w:shd w:val="clear" w:color="auto" w:fill="auto"/>
          </w:tcPr>
          <w:p w14:paraId="7E785410" w14:textId="77777777" w:rsidR="00A82082" w:rsidRDefault="00A82082">
            <w:pPr>
              <w:rPr>
                <w:rFonts w:ascii="宋体"/>
                <w:vanish/>
              </w:rPr>
            </w:pPr>
          </w:p>
        </w:tc>
        <w:tc>
          <w:tcPr>
            <w:tcW w:w="0" w:type="auto"/>
            <w:gridSpan w:val="3"/>
            <w:shd w:val="clear" w:color="auto" w:fill="auto"/>
          </w:tcPr>
          <w:p w14:paraId="7E785411" w14:textId="77777777" w:rsidR="00A82082" w:rsidRDefault="00A82082">
            <w:pPr>
              <w:rPr>
                <w:rFonts w:ascii="宋体"/>
                <w:vanish/>
              </w:rPr>
            </w:pPr>
          </w:p>
        </w:tc>
      </w:tr>
      <w:tr w:rsidR="00A82082" w14:paraId="7E785424" w14:textId="77777777">
        <w:tc>
          <w:tcPr>
            <w:tcW w:w="0" w:type="auto"/>
            <w:gridSpan w:val="3"/>
            <w:shd w:val="clear" w:color="auto" w:fill="FFFFFF"/>
            <w:tcMar>
              <w:top w:w="40" w:type="dxa"/>
              <w:left w:w="380" w:type="dxa"/>
              <w:bottom w:w="40" w:type="dxa"/>
              <w:right w:w="20" w:type="dxa"/>
            </w:tcMar>
            <w:vAlign w:val="center"/>
          </w:tcPr>
          <w:p w14:paraId="7E785413" w14:textId="77777777" w:rsidR="00A82082" w:rsidRDefault="00E946F9">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tcPr>
          <w:p w14:paraId="7E78541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15" w14:textId="77777777" w:rsidR="00A82082" w:rsidRDefault="00E946F9">
            <w:pPr>
              <w:jc w:val="right"/>
              <w:textAlignment w:val="center"/>
            </w:pPr>
            <w:r>
              <w:rPr>
                <w:rFonts w:ascii="Times New Roman" w:eastAsia="宋体" w:hAnsi="Times New Roman"/>
                <w:color w:val="000000"/>
                <w:sz w:val="16"/>
                <w:szCs w:val="16"/>
              </w:rPr>
              <w:t>(320)</w:t>
            </w:r>
          </w:p>
        </w:tc>
        <w:tc>
          <w:tcPr>
            <w:tcW w:w="0" w:type="auto"/>
            <w:shd w:val="clear" w:color="auto" w:fill="FFFFFF"/>
            <w:tcMar>
              <w:top w:w="40" w:type="dxa"/>
              <w:left w:w="0" w:type="dxa"/>
              <w:bottom w:w="40" w:type="dxa"/>
              <w:right w:w="20" w:type="dxa"/>
            </w:tcMar>
            <w:vAlign w:val="center"/>
          </w:tcPr>
          <w:p w14:paraId="7E78541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1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18" w14:textId="77777777" w:rsidR="00A82082" w:rsidRDefault="00E946F9">
            <w:pPr>
              <w:jc w:val="right"/>
              <w:textAlignment w:val="center"/>
            </w:pPr>
            <w:r>
              <w:rPr>
                <w:rFonts w:ascii="Times New Roman" w:eastAsia="宋体" w:hAnsi="Times New Roman"/>
                <w:color w:val="000000"/>
                <w:sz w:val="16"/>
                <w:szCs w:val="16"/>
              </w:rPr>
              <w:t>(419)</w:t>
            </w:r>
          </w:p>
        </w:tc>
        <w:tc>
          <w:tcPr>
            <w:tcW w:w="0" w:type="auto"/>
            <w:shd w:val="clear" w:color="auto" w:fill="FFFFFF"/>
            <w:tcMar>
              <w:top w:w="40" w:type="dxa"/>
              <w:left w:w="0" w:type="dxa"/>
              <w:bottom w:w="40" w:type="dxa"/>
              <w:right w:w="20" w:type="dxa"/>
            </w:tcMar>
            <w:vAlign w:val="center"/>
          </w:tcPr>
          <w:p w14:paraId="7E78541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1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1B" w14:textId="77777777" w:rsidR="00A82082" w:rsidRDefault="00E946F9">
            <w:pPr>
              <w:jc w:val="right"/>
              <w:textAlignment w:val="center"/>
            </w:pPr>
            <w:r>
              <w:rPr>
                <w:rFonts w:ascii="Times New Roman" w:eastAsia="宋体" w:hAnsi="Times New Roman"/>
                <w:color w:val="000000"/>
                <w:sz w:val="16"/>
                <w:szCs w:val="16"/>
              </w:rPr>
              <w:t>(1,100)</w:t>
            </w:r>
          </w:p>
        </w:tc>
        <w:tc>
          <w:tcPr>
            <w:tcW w:w="0" w:type="auto"/>
            <w:shd w:val="clear" w:color="auto" w:fill="FFFFFF"/>
            <w:tcMar>
              <w:top w:w="40" w:type="dxa"/>
              <w:left w:w="0" w:type="dxa"/>
              <w:bottom w:w="40" w:type="dxa"/>
              <w:right w:w="20" w:type="dxa"/>
            </w:tcMar>
            <w:vAlign w:val="center"/>
          </w:tcPr>
          <w:p w14:paraId="7E78541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1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1E" w14:textId="77777777" w:rsidR="00A82082" w:rsidRDefault="00E946F9">
            <w:pPr>
              <w:jc w:val="right"/>
              <w:textAlignment w:val="center"/>
            </w:pPr>
            <w:r>
              <w:rPr>
                <w:rFonts w:ascii="Times New Roman" w:eastAsia="宋体" w:hAnsi="Times New Roman"/>
                <w:color w:val="000000"/>
                <w:sz w:val="16"/>
                <w:szCs w:val="16"/>
              </w:rPr>
              <w:t>(1,254)</w:t>
            </w:r>
          </w:p>
        </w:tc>
        <w:tc>
          <w:tcPr>
            <w:tcW w:w="0" w:type="auto"/>
            <w:shd w:val="clear" w:color="auto" w:fill="FFFFFF"/>
            <w:tcMar>
              <w:top w:w="40" w:type="dxa"/>
              <w:left w:w="0" w:type="dxa"/>
              <w:bottom w:w="40" w:type="dxa"/>
              <w:right w:w="20" w:type="dxa"/>
            </w:tcMar>
            <w:vAlign w:val="center"/>
          </w:tcPr>
          <w:p w14:paraId="7E78541F" w14:textId="77777777" w:rsidR="00A82082" w:rsidRDefault="00A82082">
            <w:pPr>
              <w:jc w:val="right"/>
              <w:rPr>
                <w:rFonts w:ascii="宋体"/>
              </w:rPr>
            </w:pPr>
          </w:p>
        </w:tc>
        <w:tc>
          <w:tcPr>
            <w:tcW w:w="0" w:type="auto"/>
            <w:shd w:val="clear" w:color="auto" w:fill="auto"/>
          </w:tcPr>
          <w:p w14:paraId="7E785420" w14:textId="77777777" w:rsidR="00A82082" w:rsidRDefault="00A82082">
            <w:pPr>
              <w:rPr>
                <w:rFonts w:ascii="宋体"/>
                <w:vanish/>
              </w:rPr>
            </w:pPr>
          </w:p>
        </w:tc>
        <w:tc>
          <w:tcPr>
            <w:tcW w:w="0" w:type="auto"/>
            <w:shd w:val="clear" w:color="auto" w:fill="auto"/>
          </w:tcPr>
          <w:p w14:paraId="7E785421" w14:textId="77777777" w:rsidR="00A82082" w:rsidRDefault="00A82082">
            <w:pPr>
              <w:rPr>
                <w:rFonts w:ascii="宋体"/>
                <w:vanish/>
              </w:rPr>
            </w:pPr>
          </w:p>
        </w:tc>
        <w:tc>
          <w:tcPr>
            <w:tcW w:w="0" w:type="auto"/>
            <w:gridSpan w:val="3"/>
            <w:shd w:val="clear" w:color="auto" w:fill="auto"/>
          </w:tcPr>
          <w:p w14:paraId="7E785422" w14:textId="77777777" w:rsidR="00A82082" w:rsidRDefault="00A82082">
            <w:pPr>
              <w:rPr>
                <w:rFonts w:ascii="宋体"/>
                <w:vanish/>
              </w:rPr>
            </w:pPr>
          </w:p>
        </w:tc>
        <w:tc>
          <w:tcPr>
            <w:tcW w:w="0" w:type="auto"/>
            <w:gridSpan w:val="3"/>
            <w:shd w:val="clear" w:color="auto" w:fill="auto"/>
          </w:tcPr>
          <w:p w14:paraId="7E785423" w14:textId="77777777" w:rsidR="00A82082" w:rsidRDefault="00A82082">
            <w:pPr>
              <w:rPr>
                <w:rFonts w:ascii="宋体"/>
                <w:vanish/>
              </w:rPr>
            </w:pPr>
          </w:p>
        </w:tc>
      </w:tr>
      <w:tr w:rsidR="00A82082" w14:paraId="7E785436" w14:textId="77777777">
        <w:tc>
          <w:tcPr>
            <w:tcW w:w="0" w:type="auto"/>
            <w:gridSpan w:val="3"/>
            <w:shd w:val="clear" w:color="auto" w:fill="CCEEFF"/>
            <w:tcMar>
              <w:top w:w="40" w:type="dxa"/>
              <w:left w:w="20" w:type="dxa"/>
              <w:bottom w:w="40" w:type="dxa"/>
              <w:right w:w="20" w:type="dxa"/>
            </w:tcMar>
            <w:vAlign w:val="center"/>
          </w:tcPr>
          <w:p w14:paraId="7E785425" w14:textId="77777777" w:rsidR="00A82082" w:rsidRDefault="00E946F9">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tcPr>
          <w:p w14:paraId="7E785426"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427" w14:textId="77777777" w:rsidR="00A82082" w:rsidRDefault="00E946F9">
            <w:pPr>
              <w:jc w:val="right"/>
              <w:textAlignment w:val="center"/>
            </w:pPr>
            <w:r>
              <w:rPr>
                <w:rFonts w:ascii="Times New Roman" w:eastAsia="宋体" w:hAnsi="Times New Roman"/>
                <w:color w:val="000000"/>
                <w:sz w:val="16"/>
                <w:szCs w:val="16"/>
              </w:rPr>
              <w:t>5,778 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42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29"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42A" w14:textId="77777777" w:rsidR="00A82082" w:rsidRDefault="00E946F9">
            <w:pPr>
              <w:jc w:val="right"/>
              <w:textAlignment w:val="center"/>
            </w:pPr>
            <w:r>
              <w:rPr>
                <w:rFonts w:ascii="Times New Roman" w:eastAsia="宋体" w:hAnsi="Times New Roman"/>
                <w:color w:val="000000"/>
                <w:sz w:val="16"/>
                <w:szCs w:val="16"/>
              </w:rPr>
              <w:t>4,718 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42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2C"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42D" w14:textId="77777777" w:rsidR="00A82082" w:rsidRDefault="00E946F9">
            <w:pPr>
              <w:jc w:val="right"/>
              <w:textAlignment w:val="center"/>
            </w:pPr>
            <w:r>
              <w:rPr>
                <w:rFonts w:ascii="Times New Roman" w:eastAsia="宋体" w:hAnsi="Times New Roman"/>
                <w:color w:val="000000"/>
                <w:sz w:val="16"/>
                <w:szCs w:val="16"/>
              </w:rPr>
              <w:t>17,061 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42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2F"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430" w14:textId="77777777" w:rsidR="00A82082" w:rsidRDefault="00E946F9">
            <w:pPr>
              <w:jc w:val="right"/>
              <w:textAlignment w:val="center"/>
            </w:pPr>
            <w:r>
              <w:rPr>
                <w:rFonts w:ascii="Times New Roman" w:eastAsia="宋体" w:hAnsi="Times New Roman"/>
                <w:color w:val="000000"/>
                <w:sz w:val="16"/>
                <w:szCs w:val="16"/>
              </w:rPr>
              <w:t>15,246 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431" w14:textId="77777777" w:rsidR="00A82082" w:rsidRDefault="00A82082">
            <w:pPr>
              <w:jc w:val="right"/>
              <w:rPr>
                <w:rFonts w:ascii="宋体"/>
              </w:rPr>
            </w:pPr>
          </w:p>
        </w:tc>
        <w:tc>
          <w:tcPr>
            <w:tcW w:w="0" w:type="auto"/>
            <w:shd w:val="clear" w:color="auto" w:fill="auto"/>
          </w:tcPr>
          <w:p w14:paraId="7E785432" w14:textId="77777777" w:rsidR="00A82082" w:rsidRDefault="00A82082">
            <w:pPr>
              <w:rPr>
                <w:rFonts w:ascii="宋体"/>
                <w:vanish/>
              </w:rPr>
            </w:pPr>
          </w:p>
        </w:tc>
        <w:tc>
          <w:tcPr>
            <w:tcW w:w="0" w:type="auto"/>
            <w:shd w:val="clear" w:color="auto" w:fill="auto"/>
          </w:tcPr>
          <w:p w14:paraId="7E785433" w14:textId="77777777" w:rsidR="00A82082" w:rsidRDefault="00A82082">
            <w:pPr>
              <w:rPr>
                <w:rFonts w:ascii="宋体"/>
                <w:vanish/>
              </w:rPr>
            </w:pPr>
          </w:p>
        </w:tc>
        <w:tc>
          <w:tcPr>
            <w:tcW w:w="0" w:type="auto"/>
            <w:gridSpan w:val="3"/>
            <w:shd w:val="clear" w:color="auto" w:fill="auto"/>
          </w:tcPr>
          <w:p w14:paraId="7E785434" w14:textId="77777777" w:rsidR="00A82082" w:rsidRDefault="00A82082">
            <w:pPr>
              <w:rPr>
                <w:rFonts w:ascii="宋体"/>
                <w:vanish/>
              </w:rPr>
            </w:pPr>
          </w:p>
        </w:tc>
        <w:tc>
          <w:tcPr>
            <w:tcW w:w="0" w:type="auto"/>
            <w:gridSpan w:val="3"/>
            <w:shd w:val="clear" w:color="auto" w:fill="auto"/>
          </w:tcPr>
          <w:p w14:paraId="7E785435" w14:textId="77777777" w:rsidR="00A82082" w:rsidRDefault="00A82082">
            <w:pPr>
              <w:rPr>
                <w:rFonts w:ascii="宋体"/>
                <w:vanish/>
              </w:rPr>
            </w:pPr>
          </w:p>
        </w:tc>
      </w:tr>
      <w:tr w:rsidR="00A82082" w14:paraId="7E785448" w14:textId="77777777">
        <w:tc>
          <w:tcPr>
            <w:tcW w:w="0" w:type="auto"/>
            <w:gridSpan w:val="3"/>
            <w:shd w:val="clear" w:color="auto" w:fill="FFFFFF"/>
            <w:tcMar>
              <w:top w:w="40" w:type="dxa"/>
              <w:left w:w="380" w:type="dxa"/>
              <w:bottom w:w="40" w:type="dxa"/>
              <w:right w:w="20" w:type="dxa"/>
            </w:tcMar>
            <w:vAlign w:val="center"/>
          </w:tcPr>
          <w:p w14:paraId="7E785437" w14:textId="77777777" w:rsidR="00A82082" w:rsidRDefault="00E946F9">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7E78543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39" w14:textId="77777777" w:rsidR="00A82082" w:rsidRDefault="00E946F9">
            <w:pPr>
              <w:jc w:val="right"/>
              <w:textAlignment w:val="center"/>
            </w:pPr>
            <w:r>
              <w:rPr>
                <w:rFonts w:ascii="Times New Roman" w:eastAsia="宋体" w:hAnsi="Times New Roman"/>
                <w:color w:val="000000"/>
                <w:sz w:val="16"/>
                <w:szCs w:val="16"/>
              </w:rPr>
              <w:t>516 </w:t>
            </w:r>
          </w:p>
        </w:tc>
        <w:tc>
          <w:tcPr>
            <w:tcW w:w="0" w:type="auto"/>
            <w:shd w:val="clear" w:color="auto" w:fill="FFFFFF"/>
            <w:tcMar>
              <w:top w:w="40" w:type="dxa"/>
              <w:left w:w="0" w:type="dxa"/>
              <w:bottom w:w="40" w:type="dxa"/>
              <w:right w:w="20" w:type="dxa"/>
            </w:tcMar>
            <w:vAlign w:val="center"/>
          </w:tcPr>
          <w:p w14:paraId="7E78543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3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3C" w14:textId="77777777" w:rsidR="00A82082" w:rsidRDefault="00E946F9">
            <w:pPr>
              <w:jc w:val="right"/>
              <w:textAlignment w:val="center"/>
            </w:pPr>
            <w:r>
              <w:rPr>
                <w:rFonts w:ascii="Times New Roman" w:eastAsia="宋体" w:hAnsi="Times New Roman"/>
                <w:color w:val="000000"/>
                <w:sz w:val="16"/>
                <w:szCs w:val="16"/>
              </w:rPr>
              <w:t>589 </w:t>
            </w:r>
          </w:p>
        </w:tc>
        <w:tc>
          <w:tcPr>
            <w:tcW w:w="0" w:type="auto"/>
            <w:shd w:val="clear" w:color="auto" w:fill="FFFFFF"/>
            <w:tcMar>
              <w:top w:w="40" w:type="dxa"/>
              <w:left w:w="0" w:type="dxa"/>
              <w:bottom w:w="40" w:type="dxa"/>
              <w:right w:w="20" w:type="dxa"/>
            </w:tcMar>
            <w:vAlign w:val="center"/>
          </w:tcPr>
          <w:p w14:paraId="7E78543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3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3F" w14:textId="77777777" w:rsidR="00A82082" w:rsidRDefault="00E946F9">
            <w:pPr>
              <w:jc w:val="right"/>
              <w:textAlignment w:val="center"/>
            </w:pPr>
            <w:r>
              <w:rPr>
                <w:rFonts w:ascii="Times New Roman" w:eastAsia="宋体" w:hAnsi="Times New Roman"/>
                <w:color w:val="000000"/>
                <w:sz w:val="16"/>
                <w:szCs w:val="16"/>
              </w:rPr>
              <w:t>1,700 </w:t>
            </w:r>
          </w:p>
        </w:tc>
        <w:tc>
          <w:tcPr>
            <w:tcW w:w="0" w:type="auto"/>
            <w:shd w:val="clear" w:color="auto" w:fill="FFFFFF"/>
            <w:tcMar>
              <w:top w:w="40" w:type="dxa"/>
              <w:left w:w="0" w:type="dxa"/>
              <w:bottom w:w="40" w:type="dxa"/>
              <w:right w:w="20" w:type="dxa"/>
            </w:tcMar>
            <w:vAlign w:val="center"/>
          </w:tcPr>
          <w:p w14:paraId="7E78544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4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442" w14:textId="77777777" w:rsidR="00A82082" w:rsidRDefault="00E946F9">
            <w:pPr>
              <w:jc w:val="right"/>
              <w:textAlignment w:val="center"/>
            </w:pPr>
            <w:r>
              <w:rPr>
                <w:rFonts w:ascii="Times New Roman" w:eastAsia="宋体" w:hAnsi="Times New Roman"/>
                <w:color w:val="000000"/>
                <w:sz w:val="16"/>
                <w:szCs w:val="16"/>
              </w:rPr>
              <w:t>1,799 </w:t>
            </w:r>
          </w:p>
        </w:tc>
        <w:tc>
          <w:tcPr>
            <w:tcW w:w="0" w:type="auto"/>
            <w:shd w:val="clear" w:color="auto" w:fill="FFFFFF"/>
            <w:tcMar>
              <w:top w:w="40" w:type="dxa"/>
              <w:left w:w="0" w:type="dxa"/>
              <w:bottom w:w="40" w:type="dxa"/>
              <w:right w:w="20" w:type="dxa"/>
            </w:tcMar>
            <w:vAlign w:val="center"/>
          </w:tcPr>
          <w:p w14:paraId="7E785443" w14:textId="77777777" w:rsidR="00A82082" w:rsidRDefault="00A82082">
            <w:pPr>
              <w:jc w:val="right"/>
              <w:rPr>
                <w:rFonts w:ascii="宋体"/>
              </w:rPr>
            </w:pPr>
          </w:p>
        </w:tc>
        <w:tc>
          <w:tcPr>
            <w:tcW w:w="0" w:type="auto"/>
            <w:shd w:val="clear" w:color="auto" w:fill="auto"/>
          </w:tcPr>
          <w:p w14:paraId="7E785444" w14:textId="77777777" w:rsidR="00A82082" w:rsidRDefault="00A82082">
            <w:pPr>
              <w:rPr>
                <w:rFonts w:ascii="宋体"/>
                <w:vanish/>
              </w:rPr>
            </w:pPr>
          </w:p>
        </w:tc>
        <w:tc>
          <w:tcPr>
            <w:tcW w:w="0" w:type="auto"/>
            <w:shd w:val="clear" w:color="auto" w:fill="auto"/>
          </w:tcPr>
          <w:p w14:paraId="7E785445" w14:textId="77777777" w:rsidR="00A82082" w:rsidRDefault="00A82082">
            <w:pPr>
              <w:rPr>
                <w:rFonts w:ascii="宋体"/>
                <w:vanish/>
              </w:rPr>
            </w:pPr>
          </w:p>
        </w:tc>
        <w:tc>
          <w:tcPr>
            <w:tcW w:w="0" w:type="auto"/>
            <w:gridSpan w:val="3"/>
            <w:shd w:val="clear" w:color="auto" w:fill="auto"/>
          </w:tcPr>
          <w:p w14:paraId="7E785446" w14:textId="77777777" w:rsidR="00A82082" w:rsidRDefault="00A82082">
            <w:pPr>
              <w:rPr>
                <w:rFonts w:ascii="宋体"/>
                <w:vanish/>
              </w:rPr>
            </w:pPr>
          </w:p>
        </w:tc>
        <w:tc>
          <w:tcPr>
            <w:tcW w:w="0" w:type="auto"/>
            <w:gridSpan w:val="3"/>
            <w:shd w:val="clear" w:color="auto" w:fill="auto"/>
          </w:tcPr>
          <w:p w14:paraId="7E785447" w14:textId="77777777" w:rsidR="00A82082" w:rsidRDefault="00A82082">
            <w:pPr>
              <w:rPr>
                <w:rFonts w:ascii="宋体"/>
                <w:vanish/>
              </w:rPr>
            </w:pPr>
          </w:p>
        </w:tc>
      </w:tr>
      <w:tr w:rsidR="00A82082" w14:paraId="7E785456" w14:textId="77777777">
        <w:trPr>
          <w:hidden/>
        </w:trPr>
        <w:tc>
          <w:tcPr>
            <w:tcW w:w="0" w:type="auto"/>
            <w:gridSpan w:val="3"/>
            <w:shd w:val="clear" w:color="auto" w:fill="auto"/>
          </w:tcPr>
          <w:p w14:paraId="7E785449" w14:textId="77777777" w:rsidR="00A82082" w:rsidRDefault="00A82082">
            <w:pPr>
              <w:rPr>
                <w:rFonts w:ascii="宋体"/>
                <w:vanish/>
              </w:rPr>
            </w:pPr>
          </w:p>
        </w:tc>
        <w:tc>
          <w:tcPr>
            <w:tcW w:w="0" w:type="auto"/>
            <w:gridSpan w:val="3"/>
            <w:shd w:val="clear" w:color="auto" w:fill="auto"/>
          </w:tcPr>
          <w:p w14:paraId="7E78544A" w14:textId="77777777" w:rsidR="00A82082" w:rsidRDefault="00A82082">
            <w:pPr>
              <w:rPr>
                <w:rFonts w:ascii="宋体"/>
                <w:vanish/>
              </w:rPr>
            </w:pPr>
          </w:p>
        </w:tc>
        <w:tc>
          <w:tcPr>
            <w:tcW w:w="0" w:type="auto"/>
            <w:gridSpan w:val="3"/>
            <w:shd w:val="clear" w:color="auto" w:fill="auto"/>
          </w:tcPr>
          <w:p w14:paraId="7E78544B" w14:textId="77777777" w:rsidR="00A82082" w:rsidRDefault="00A82082">
            <w:pPr>
              <w:rPr>
                <w:rFonts w:ascii="宋体"/>
                <w:vanish/>
              </w:rPr>
            </w:pPr>
          </w:p>
        </w:tc>
        <w:tc>
          <w:tcPr>
            <w:tcW w:w="0" w:type="auto"/>
            <w:gridSpan w:val="3"/>
            <w:shd w:val="clear" w:color="auto" w:fill="auto"/>
          </w:tcPr>
          <w:p w14:paraId="7E78544C" w14:textId="77777777" w:rsidR="00A82082" w:rsidRDefault="00A82082">
            <w:pPr>
              <w:rPr>
                <w:rFonts w:ascii="宋体"/>
                <w:vanish/>
              </w:rPr>
            </w:pPr>
          </w:p>
        </w:tc>
        <w:tc>
          <w:tcPr>
            <w:tcW w:w="0" w:type="auto"/>
            <w:gridSpan w:val="3"/>
            <w:shd w:val="clear" w:color="auto" w:fill="auto"/>
          </w:tcPr>
          <w:p w14:paraId="7E78544D" w14:textId="77777777" w:rsidR="00A82082" w:rsidRDefault="00A82082">
            <w:pPr>
              <w:rPr>
                <w:rFonts w:ascii="宋体"/>
                <w:vanish/>
              </w:rPr>
            </w:pPr>
          </w:p>
        </w:tc>
        <w:tc>
          <w:tcPr>
            <w:tcW w:w="0" w:type="auto"/>
            <w:gridSpan w:val="3"/>
            <w:shd w:val="clear" w:color="auto" w:fill="auto"/>
          </w:tcPr>
          <w:p w14:paraId="7E78544E" w14:textId="77777777" w:rsidR="00A82082" w:rsidRDefault="00A82082">
            <w:pPr>
              <w:rPr>
                <w:rFonts w:ascii="宋体"/>
                <w:vanish/>
              </w:rPr>
            </w:pPr>
          </w:p>
        </w:tc>
        <w:tc>
          <w:tcPr>
            <w:tcW w:w="0" w:type="auto"/>
            <w:gridSpan w:val="3"/>
            <w:shd w:val="clear" w:color="auto" w:fill="auto"/>
          </w:tcPr>
          <w:p w14:paraId="7E78544F" w14:textId="77777777" w:rsidR="00A82082" w:rsidRDefault="00A82082">
            <w:pPr>
              <w:rPr>
                <w:rFonts w:ascii="宋体"/>
                <w:vanish/>
              </w:rPr>
            </w:pPr>
          </w:p>
        </w:tc>
        <w:tc>
          <w:tcPr>
            <w:tcW w:w="0" w:type="auto"/>
            <w:gridSpan w:val="3"/>
            <w:shd w:val="clear" w:color="auto" w:fill="auto"/>
          </w:tcPr>
          <w:p w14:paraId="7E785450" w14:textId="77777777" w:rsidR="00A82082" w:rsidRDefault="00A82082">
            <w:pPr>
              <w:rPr>
                <w:rFonts w:ascii="宋体"/>
                <w:vanish/>
              </w:rPr>
            </w:pPr>
          </w:p>
        </w:tc>
        <w:tc>
          <w:tcPr>
            <w:tcW w:w="0" w:type="auto"/>
            <w:gridSpan w:val="3"/>
            <w:shd w:val="clear" w:color="auto" w:fill="auto"/>
          </w:tcPr>
          <w:p w14:paraId="7E785451" w14:textId="77777777" w:rsidR="00A82082" w:rsidRDefault="00A82082">
            <w:pPr>
              <w:rPr>
                <w:rFonts w:ascii="宋体"/>
                <w:vanish/>
              </w:rPr>
            </w:pPr>
          </w:p>
        </w:tc>
        <w:tc>
          <w:tcPr>
            <w:tcW w:w="0" w:type="auto"/>
            <w:shd w:val="clear" w:color="auto" w:fill="auto"/>
          </w:tcPr>
          <w:p w14:paraId="7E785452" w14:textId="77777777" w:rsidR="00A82082" w:rsidRDefault="00A82082">
            <w:pPr>
              <w:rPr>
                <w:rFonts w:ascii="宋体"/>
                <w:vanish/>
              </w:rPr>
            </w:pPr>
          </w:p>
        </w:tc>
        <w:tc>
          <w:tcPr>
            <w:tcW w:w="0" w:type="auto"/>
            <w:shd w:val="clear" w:color="auto" w:fill="auto"/>
          </w:tcPr>
          <w:p w14:paraId="7E785453" w14:textId="77777777" w:rsidR="00A82082" w:rsidRDefault="00A82082">
            <w:pPr>
              <w:rPr>
                <w:rFonts w:ascii="宋体"/>
                <w:vanish/>
              </w:rPr>
            </w:pPr>
          </w:p>
        </w:tc>
        <w:tc>
          <w:tcPr>
            <w:tcW w:w="0" w:type="auto"/>
            <w:gridSpan w:val="3"/>
            <w:shd w:val="clear" w:color="auto" w:fill="auto"/>
          </w:tcPr>
          <w:p w14:paraId="7E785454" w14:textId="77777777" w:rsidR="00A82082" w:rsidRDefault="00A82082">
            <w:pPr>
              <w:rPr>
                <w:rFonts w:ascii="宋体"/>
                <w:vanish/>
              </w:rPr>
            </w:pPr>
          </w:p>
        </w:tc>
        <w:tc>
          <w:tcPr>
            <w:tcW w:w="0" w:type="auto"/>
            <w:gridSpan w:val="3"/>
            <w:shd w:val="clear" w:color="auto" w:fill="auto"/>
          </w:tcPr>
          <w:p w14:paraId="7E785455" w14:textId="77777777" w:rsidR="00A82082" w:rsidRDefault="00A82082">
            <w:pPr>
              <w:rPr>
                <w:rFonts w:ascii="宋体"/>
                <w:vanish/>
              </w:rPr>
            </w:pPr>
          </w:p>
        </w:tc>
      </w:tr>
      <w:tr w:rsidR="00A82082" w14:paraId="7E785468" w14:textId="77777777">
        <w:tc>
          <w:tcPr>
            <w:tcW w:w="0" w:type="auto"/>
            <w:gridSpan w:val="3"/>
            <w:shd w:val="clear" w:color="auto" w:fill="CCEEFF"/>
            <w:tcMar>
              <w:top w:w="40" w:type="dxa"/>
              <w:left w:w="380" w:type="dxa"/>
              <w:bottom w:w="40" w:type="dxa"/>
              <w:right w:w="20" w:type="dxa"/>
            </w:tcMar>
            <w:vAlign w:val="center"/>
          </w:tcPr>
          <w:p w14:paraId="7E785457" w14:textId="77777777" w:rsidR="00A82082" w:rsidRDefault="00E946F9">
            <w:pPr>
              <w:textAlignment w:val="center"/>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(gains) and losses</w:t>
            </w:r>
          </w:p>
        </w:tc>
        <w:tc>
          <w:tcPr>
            <w:tcW w:w="0" w:type="auto"/>
            <w:gridSpan w:val="3"/>
            <w:shd w:val="clear" w:color="auto" w:fill="CCEEFF"/>
            <w:tcMar>
              <w:top w:w="0" w:type="dxa"/>
              <w:left w:w="20" w:type="dxa"/>
              <w:bottom w:w="0" w:type="dxa"/>
              <w:right w:w="20" w:type="dxa"/>
            </w:tcMar>
          </w:tcPr>
          <w:p w14:paraId="7E78545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59" w14:textId="77777777" w:rsidR="00A82082" w:rsidRDefault="00E946F9">
            <w:pPr>
              <w:jc w:val="right"/>
              <w:textAlignment w:val="center"/>
            </w:pPr>
            <w:r>
              <w:rPr>
                <w:rFonts w:ascii="Times New Roman" w:eastAsia="宋体" w:hAnsi="Times New Roman"/>
                <w:color w:val="000000"/>
                <w:sz w:val="16"/>
                <w:szCs w:val="16"/>
              </w:rPr>
              <w:t>(1,853)</w:t>
            </w:r>
          </w:p>
        </w:tc>
        <w:tc>
          <w:tcPr>
            <w:tcW w:w="0" w:type="auto"/>
            <w:shd w:val="clear" w:color="auto" w:fill="CCEEFF"/>
            <w:tcMar>
              <w:top w:w="40" w:type="dxa"/>
              <w:left w:w="0" w:type="dxa"/>
              <w:bottom w:w="40" w:type="dxa"/>
              <w:right w:w="20" w:type="dxa"/>
            </w:tcMar>
            <w:vAlign w:val="center"/>
          </w:tcPr>
          <w:p w14:paraId="7E78545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5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5C" w14:textId="77777777" w:rsidR="00A82082" w:rsidRDefault="00E946F9">
            <w:pPr>
              <w:jc w:val="right"/>
              <w:textAlignment w:val="center"/>
            </w:pPr>
            <w:r>
              <w:rPr>
                <w:rFonts w:ascii="Times New Roman" w:eastAsia="宋体" w:hAnsi="Times New Roman"/>
                <w:color w:val="000000"/>
                <w:sz w:val="16"/>
                <w:szCs w:val="16"/>
              </w:rPr>
              <w:t>(244)</w:t>
            </w:r>
          </w:p>
        </w:tc>
        <w:tc>
          <w:tcPr>
            <w:tcW w:w="0" w:type="auto"/>
            <w:shd w:val="clear" w:color="auto" w:fill="CCEEFF"/>
            <w:tcMar>
              <w:top w:w="40" w:type="dxa"/>
              <w:left w:w="0" w:type="dxa"/>
              <w:bottom w:w="40" w:type="dxa"/>
              <w:right w:w="20" w:type="dxa"/>
            </w:tcMar>
            <w:vAlign w:val="center"/>
          </w:tcPr>
          <w:p w14:paraId="7E78545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5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5F" w14:textId="77777777" w:rsidR="00A82082" w:rsidRDefault="00E946F9">
            <w:pPr>
              <w:jc w:val="right"/>
              <w:textAlignment w:val="center"/>
            </w:pPr>
            <w:r>
              <w:rPr>
                <w:rFonts w:ascii="Times New Roman" w:eastAsia="宋体" w:hAnsi="Times New Roman"/>
                <w:color w:val="000000"/>
                <w:sz w:val="16"/>
                <w:szCs w:val="16"/>
              </w:rPr>
              <w:t>(5,796)</w:t>
            </w:r>
          </w:p>
        </w:tc>
        <w:tc>
          <w:tcPr>
            <w:tcW w:w="0" w:type="auto"/>
            <w:shd w:val="clear" w:color="auto" w:fill="CCEEFF"/>
            <w:tcMar>
              <w:top w:w="40" w:type="dxa"/>
              <w:left w:w="0" w:type="dxa"/>
              <w:bottom w:w="40" w:type="dxa"/>
              <w:right w:w="20" w:type="dxa"/>
            </w:tcMar>
            <w:vAlign w:val="center"/>
          </w:tcPr>
          <w:p w14:paraId="7E78546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6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462" w14:textId="77777777" w:rsidR="00A82082" w:rsidRDefault="00E946F9">
            <w:pPr>
              <w:jc w:val="right"/>
              <w:textAlignment w:val="center"/>
            </w:pPr>
            <w:r>
              <w:rPr>
                <w:rFonts w:ascii="Times New Roman" w:eastAsia="宋体" w:hAnsi="Times New Roman"/>
                <w:color w:val="000000"/>
                <w:sz w:val="16"/>
                <w:szCs w:val="16"/>
              </w:rPr>
              <w:t>(996)</w:t>
            </w:r>
          </w:p>
        </w:tc>
        <w:tc>
          <w:tcPr>
            <w:tcW w:w="0" w:type="auto"/>
            <w:shd w:val="clear" w:color="auto" w:fill="CCEEFF"/>
            <w:tcMar>
              <w:top w:w="40" w:type="dxa"/>
              <w:left w:w="0" w:type="dxa"/>
              <w:bottom w:w="40" w:type="dxa"/>
              <w:right w:w="20" w:type="dxa"/>
            </w:tcMar>
            <w:vAlign w:val="center"/>
          </w:tcPr>
          <w:p w14:paraId="7E785463" w14:textId="77777777" w:rsidR="00A82082" w:rsidRDefault="00A82082">
            <w:pPr>
              <w:jc w:val="right"/>
              <w:rPr>
                <w:rFonts w:ascii="宋体"/>
              </w:rPr>
            </w:pPr>
          </w:p>
        </w:tc>
        <w:tc>
          <w:tcPr>
            <w:tcW w:w="0" w:type="auto"/>
            <w:shd w:val="clear" w:color="auto" w:fill="auto"/>
          </w:tcPr>
          <w:p w14:paraId="7E785464" w14:textId="77777777" w:rsidR="00A82082" w:rsidRDefault="00A82082">
            <w:pPr>
              <w:rPr>
                <w:rFonts w:ascii="宋体"/>
                <w:vanish/>
              </w:rPr>
            </w:pPr>
          </w:p>
        </w:tc>
        <w:tc>
          <w:tcPr>
            <w:tcW w:w="0" w:type="auto"/>
            <w:shd w:val="clear" w:color="auto" w:fill="auto"/>
          </w:tcPr>
          <w:p w14:paraId="7E785465" w14:textId="77777777" w:rsidR="00A82082" w:rsidRDefault="00A82082">
            <w:pPr>
              <w:rPr>
                <w:rFonts w:ascii="宋体"/>
                <w:vanish/>
              </w:rPr>
            </w:pPr>
          </w:p>
        </w:tc>
        <w:tc>
          <w:tcPr>
            <w:tcW w:w="0" w:type="auto"/>
            <w:gridSpan w:val="3"/>
            <w:shd w:val="clear" w:color="auto" w:fill="auto"/>
          </w:tcPr>
          <w:p w14:paraId="7E785466" w14:textId="77777777" w:rsidR="00A82082" w:rsidRDefault="00A82082">
            <w:pPr>
              <w:rPr>
                <w:rFonts w:ascii="宋体"/>
                <w:vanish/>
              </w:rPr>
            </w:pPr>
          </w:p>
        </w:tc>
        <w:tc>
          <w:tcPr>
            <w:tcW w:w="0" w:type="auto"/>
            <w:gridSpan w:val="3"/>
            <w:shd w:val="clear" w:color="auto" w:fill="auto"/>
          </w:tcPr>
          <w:p w14:paraId="7E785467" w14:textId="77777777" w:rsidR="00A82082" w:rsidRDefault="00A82082">
            <w:pPr>
              <w:rPr>
                <w:rFonts w:ascii="宋体"/>
                <w:vanish/>
              </w:rPr>
            </w:pPr>
          </w:p>
        </w:tc>
      </w:tr>
      <w:tr w:rsidR="00A82082" w14:paraId="7E78547E" w14:textId="77777777">
        <w:tc>
          <w:tcPr>
            <w:tcW w:w="0" w:type="auto"/>
            <w:gridSpan w:val="3"/>
            <w:shd w:val="clear" w:color="auto" w:fill="FFFFFF"/>
            <w:tcMar>
              <w:top w:w="40" w:type="dxa"/>
              <w:left w:w="20" w:type="dxa"/>
              <w:bottom w:w="40" w:type="dxa"/>
              <w:right w:w="20" w:type="dxa"/>
            </w:tcMar>
            <w:vAlign w:val="center"/>
          </w:tcPr>
          <w:p w14:paraId="7E785469" w14:textId="77777777" w:rsidR="00A82082" w:rsidRDefault="00E946F9">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7E78546A"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46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46C" w14:textId="77777777" w:rsidR="00A82082" w:rsidRDefault="00E946F9">
            <w:pPr>
              <w:jc w:val="right"/>
              <w:textAlignment w:val="center"/>
            </w:pPr>
            <w:r>
              <w:rPr>
                <w:rFonts w:ascii="Times New Roman" w:eastAsia="宋体" w:hAnsi="Times New Roman"/>
                <w:color w:val="000000"/>
                <w:sz w:val="16"/>
                <w:szCs w:val="16"/>
              </w:rPr>
              <w:t>7,115 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46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6E"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46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470" w14:textId="77777777" w:rsidR="00A82082" w:rsidRDefault="00E946F9">
            <w:pPr>
              <w:jc w:val="right"/>
              <w:textAlignment w:val="center"/>
            </w:pPr>
            <w:r>
              <w:rPr>
                <w:rFonts w:ascii="Times New Roman" w:eastAsia="宋体" w:hAnsi="Times New Roman"/>
                <w:color w:val="000000"/>
                <w:sz w:val="16"/>
                <w:szCs w:val="16"/>
              </w:rPr>
              <w:t>4,373 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47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72"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47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474" w14:textId="77777777" w:rsidR="00A82082" w:rsidRDefault="00E946F9">
            <w:pPr>
              <w:jc w:val="right"/>
              <w:textAlignment w:val="center"/>
            </w:pPr>
            <w:r>
              <w:rPr>
                <w:rFonts w:ascii="Times New Roman" w:eastAsia="宋体" w:hAnsi="Times New Roman"/>
                <w:color w:val="000000"/>
                <w:sz w:val="16"/>
                <w:szCs w:val="16"/>
              </w:rPr>
              <w:t>21,157 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47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76"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47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478" w14:textId="77777777" w:rsidR="00A82082" w:rsidRDefault="00E946F9">
            <w:pPr>
              <w:jc w:val="right"/>
              <w:textAlignment w:val="center"/>
            </w:pPr>
            <w:r>
              <w:rPr>
                <w:rFonts w:ascii="Times New Roman" w:eastAsia="宋体" w:hAnsi="Times New Roman"/>
                <w:color w:val="000000"/>
                <w:sz w:val="16"/>
                <w:szCs w:val="16"/>
              </w:rPr>
              <w:t>14,443 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479" w14:textId="77777777" w:rsidR="00A82082" w:rsidRDefault="00A82082">
            <w:pPr>
              <w:jc w:val="right"/>
              <w:rPr>
                <w:rFonts w:ascii="宋体"/>
              </w:rPr>
            </w:pPr>
          </w:p>
        </w:tc>
        <w:tc>
          <w:tcPr>
            <w:tcW w:w="0" w:type="auto"/>
            <w:shd w:val="clear" w:color="auto" w:fill="auto"/>
          </w:tcPr>
          <w:p w14:paraId="7E78547A" w14:textId="77777777" w:rsidR="00A82082" w:rsidRDefault="00A82082">
            <w:pPr>
              <w:rPr>
                <w:rFonts w:ascii="宋体"/>
                <w:vanish/>
              </w:rPr>
            </w:pPr>
          </w:p>
        </w:tc>
        <w:tc>
          <w:tcPr>
            <w:tcW w:w="0" w:type="auto"/>
            <w:shd w:val="clear" w:color="auto" w:fill="auto"/>
          </w:tcPr>
          <w:p w14:paraId="7E78547B" w14:textId="77777777" w:rsidR="00A82082" w:rsidRDefault="00A82082">
            <w:pPr>
              <w:rPr>
                <w:rFonts w:ascii="宋体"/>
                <w:vanish/>
              </w:rPr>
            </w:pPr>
          </w:p>
        </w:tc>
        <w:tc>
          <w:tcPr>
            <w:tcW w:w="0" w:type="auto"/>
            <w:gridSpan w:val="3"/>
            <w:shd w:val="clear" w:color="auto" w:fill="auto"/>
          </w:tcPr>
          <w:p w14:paraId="7E78547C" w14:textId="77777777" w:rsidR="00A82082" w:rsidRDefault="00A82082">
            <w:pPr>
              <w:rPr>
                <w:rFonts w:ascii="宋体"/>
                <w:vanish/>
              </w:rPr>
            </w:pPr>
          </w:p>
        </w:tc>
        <w:tc>
          <w:tcPr>
            <w:tcW w:w="0" w:type="auto"/>
            <w:gridSpan w:val="3"/>
            <w:shd w:val="clear" w:color="auto" w:fill="auto"/>
          </w:tcPr>
          <w:p w14:paraId="7E78547D" w14:textId="77777777" w:rsidR="00A82082" w:rsidRDefault="00A82082">
            <w:pPr>
              <w:rPr>
                <w:rFonts w:ascii="宋体"/>
                <w:vanish/>
              </w:rPr>
            </w:pPr>
          </w:p>
        </w:tc>
      </w:tr>
    </w:tbl>
    <w:p w14:paraId="7E78547F" w14:textId="77777777" w:rsidR="00A82082" w:rsidRDefault="00E946F9">
      <w:pPr>
        <w:spacing w:before="180"/>
      </w:pPr>
      <w:r>
        <w:rPr>
          <w:rFonts w:ascii="Times New Roman" w:eastAsia="宋体" w:hAnsi="Times New Roman"/>
          <w:i/>
          <w:iCs/>
          <w:color w:val="000000"/>
          <w:sz w:val="20"/>
          <w:szCs w:val="20"/>
        </w:rPr>
        <w:t>Disaggregated Revenues</w:t>
      </w:r>
    </w:p>
    <w:p w14:paraId="7E785480" w14:textId="77777777" w:rsidR="00A82082" w:rsidRDefault="00E946F9">
      <w:pPr>
        <w:spacing w:before="100"/>
      </w:pPr>
      <w:r>
        <w:rPr>
          <w:rFonts w:ascii="Times New Roman" w:eastAsia="宋体" w:hAnsi="Times New Roman"/>
          <w:color w:val="000000"/>
          <w:sz w:val="20"/>
          <w:szCs w:val="20"/>
        </w:rPr>
        <w:t xml:space="preserve">In the following tables, </w:t>
      </w:r>
      <w:r>
        <w:rPr>
          <w:rFonts w:ascii="Times New Roman" w:eastAsia="宋体" w:hAnsi="Times New Roman"/>
          <w:color w:val="000000"/>
          <w:sz w:val="20"/>
          <w:szCs w:val="20"/>
        </w:rPr>
        <w:t>segment net sales are disaggregated by either merchandise category or by market. From time to time, the Company revises the assignment of net sales of a particular item to a merchandise category. When the assignment changes, previous period amounts are rec</w:t>
      </w:r>
      <w:r>
        <w:rPr>
          <w:rFonts w:ascii="Times New Roman" w:eastAsia="宋体" w:hAnsi="Times New Roman"/>
          <w:color w:val="000000"/>
          <w:sz w:val="20"/>
          <w:szCs w:val="20"/>
        </w:rPr>
        <w:t>lassified to be comparable to the current period's presentation.</w:t>
      </w:r>
    </w:p>
    <w:p w14:paraId="7E785481" w14:textId="77777777" w:rsidR="00A82082" w:rsidRDefault="00E946F9">
      <w:pPr>
        <w:spacing w:before="100"/>
      </w:pPr>
      <w:r>
        <w:rPr>
          <w:rFonts w:ascii="Times New Roman" w:eastAsia="宋体" w:hAnsi="Times New Roman"/>
          <w:color w:val="000000"/>
          <w:sz w:val="20"/>
          <w:szCs w:val="20"/>
        </w:rPr>
        <w:t>In addition, net sales related to eCommerce are provided for each segment, which include omni-channel sales, where a customer initiates an order digitally and the order is fulfilled through a</w:t>
      </w:r>
      <w:r>
        <w:rPr>
          <w:rFonts w:ascii="Times New Roman" w:eastAsia="宋体" w:hAnsi="Times New Roman"/>
          <w:color w:val="000000"/>
          <w:sz w:val="20"/>
          <w:szCs w:val="20"/>
        </w:rPr>
        <w:t xml:space="preserve"> store or club. </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097"/>
        <w:gridCol w:w="38"/>
        <w:gridCol w:w="36"/>
        <w:gridCol w:w="36"/>
        <w:gridCol w:w="36"/>
        <w:gridCol w:w="100"/>
        <w:gridCol w:w="792"/>
        <w:gridCol w:w="36"/>
        <w:gridCol w:w="36"/>
        <w:gridCol w:w="36"/>
        <w:gridCol w:w="36"/>
        <w:gridCol w:w="100"/>
        <w:gridCol w:w="793"/>
        <w:gridCol w:w="36"/>
        <w:gridCol w:w="36"/>
        <w:gridCol w:w="36"/>
        <w:gridCol w:w="36"/>
        <w:gridCol w:w="100"/>
        <w:gridCol w:w="794"/>
        <w:gridCol w:w="36"/>
        <w:gridCol w:w="36"/>
        <w:gridCol w:w="36"/>
        <w:gridCol w:w="36"/>
        <w:gridCol w:w="100"/>
        <w:gridCol w:w="794"/>
        <w:gridCol w:w="36"/>
      </w:tblGrid>
      <w:tr w:rsidR="00A82082" w14:paraId="7E78549D" w14:textId="77777777">
        <w:trPr>
          <w:jc w:val="center"/>
        </w:trPr>
        <w:tc>
          <w:tcPr>
            <w:tcW w:w="50" w:type="pct"/>
            <w:shd w:val="clear" w:color="auto" w:fill="auto"/>
          </w:tcPr>
          <w:p w14:paraId="7E785482" w14:textId="77777777" w:rsidR="00A82082" w:rsidRDefault="00A82082">
            <w:pPr>
              <w:rPr>
                <w:rFonts w:ascii="宋体"/>
              </w:rPr>
            </w:pPr>
          </w:p>
        </w:tc>
        <w:tc>
          <w:tcPr>
            <w:tcW w:w="2485" w:type="pct"/>
            <w:shd w:val="clear" w:color="auto" w:fill="auto"/>
          </w:tcPr>
          <w:p w14:paraId="7E785483" w14:textId="77777777" w:rsidR="00A82082" w:rsidRDefault="00A82082">
            <w:pPr>
              <w:rPr>
                <w:rFonts w:ascii="宋体"/>
              </w:rPr>
            </w:pPr>
          </w:p>
        </w:tc>
        <w:tc>
          <w:tcPr>
            <w:tcW w:w="5" w:type="pct"/>
            <w:shd w:val="clear" w:color="auto" w:fill="auto"/>
          </w:tcPr>
          <w:p w14:paraId="7E785484" w14:textId="77777777" w:rsidR="00A82082" w:rsidRDefault="00A82082">
            <w:pPr>
              <w:rPr>
                <w:rFonts w:ascii="宋体"/>
              </w:rPr>
            </w:pPr>
          </w:p>
        </w:tc>
        <w:tc>
          <w:tcPr>
            <w:tcW w:w="5" w:type="pct"/>
            <w:shd w:val="clear" w:color="auto" w:fill="auto"/>
          </w:tcPr>
          <w:p w14:paraId="7E785485" w14:textId="77777777" w:rsidR="00A82082" w:rsidRDefault="00A82082">
            <w:pPr>
              <w:rPr>
                <w:rFonts w:ascii="宋体"/>
              </w:rPr>
            </w:pPr>
          </w:p>
        </w:tc>
        <w:tc>
          <w:tcPr>
            <w:tcW w:w="26" w:type="pct"/>
            <w:shd w:val="clear" w:color="auto" w:fill="auto"/>
          </w:tcPr>
          <w:p w14:paraId="7E785486" w14:textId="77777777" w:rsidR="00A82082" w:rsidRDefault="00A82082">
            <w:pPr>
              <w:rPr>
                <w:rFonts w:ascii="宋体"/>
              </w:rPr>
            </w:pPr>
          </w:p>
        </w:tc>
        <w:tc>
          <w:tcPr>
            <w:tcW w:w="5" w:type="pct"/>
            <w:shd w:val="clear" w:color="auto" w:fill="auto"/>
          </w:tcPr>
          <w:p w14:paraId="7E785487" w14:textId="77777777" w:rsidR="00A82082" w:rsidRDefault="00A82082">
            <w:pPr>
              <w:rPr>
                <w:rFonts w:ascii="宋体"/>
              </w:rPr>
            </w:pPr>
          </w:p>
        </w:tc>
        <w:tc>
          <w:tcPr>
            <w:tcW w:w="50" w:type="pct"/>
            <w:shd w:val="clear" w:color="auto" w:fill="auto"/>
          </w:tcPr>
          <w:p w14:paraId="7E785488" w14:textId="77777777" w:rsidR="00A82082" w:rsidRDefault="00A82082">
            <w:pPr>
              <w:rPr>
                <w:rFonts w:ascii="宋体"/>
              </w:rPr>
            </w:pPr>
          </w:p>
        </w:tc>
        <w:tc>
          <w:tcPr>
            <w:tcW w:w="523" w:type="pct"/>
            <w:shd w:val="clear" w:color="auto" w:fill="auto"/>
          </w:tcPr>
          <w:p w14:paraId="7E785489" w14:textId="77777777" w:rsidR="00A82082" w:rsidRDefault="00A82082">
            <w:pPr>
              <w:rPr>
                <w:rFonts w:ascii="宋体"/>
              </w:rPr>
            </w:pPr>
          </w:p>
        </w:tc>
        <w:tc>
          <w:tcPr>
            <w:tcW w:w="5" w:type="pct"/>
            <w:shd w:val="clear" w:color="auto" w:fill="auto"/>
          </w:tcPr>
          <w:p w14:paraId="7E78548A" w14:textId="77777777" w:rsidR="00A82082" w:rsidRDefault="00A82082">
            <w:pPr>
              <w:rPr>
                <w:rFonts w:ascii="宋体"/>
              </w:rPr>
            </w:pPr>
          </w:p>
        </w:tc>
        <w:tc>
          <w:tcPr>
            <w:tcW w:w="5" w:type="pct"/>
            <w:shd w:val="clear" w:color="auto" w:fill="auto"/>
          </w:tcPr>
          <w:p w14:paraId="7E78548B" w14:textId="77777777" w:rsidR="00A82082" w:rsidRDefault="00A82082">
            <w:pPr>
              <w:rPr>
                <w:rFonts w:ascii="宋体"/>
              </w:rPr>
            </w:pPr>
          </w:p>
        </w:tc>
        <w:tc>
          <w:tcPr>
            <w:tcW w:w="26" w:type="pct"/>
            <w:shd w:val="clear" w:color="auto" w:fill="auto"/>
          </w:tcPr>
          <w:p w14:paraId="7E78548C" w14:textId="77777777" w:rsidR="00A82082" w:rsidRDefault="00A82082">
            <w:pPr>
              <w:rPr>
                <w:rFonts w:ascii="宋体"/>
              </w:rPr>
            </w:pPr>
          </w:p>
        </w:tc>
        <w:tc>
          <w:tcPr>
            <w:tcW w:w="5" w:type="pct"/>
            <w:shd w:val="clear" w:color="auto" w:fill="auto"/>
          </w:tcPr>
          <w:p w14:paraId="7E78548D" w14:textId="77777777" w:rsidR="00A82082" w:rsidRDefault="00A82082">
            <w:pPr>
              <w:rPr>
                <w:rFonts w:ascii="宋体"/>
              </w:rPr>
            </w:pPr>
          </w:p>
        </w:tc>
        <w:tc>
          <w:tcPr>
            <w:tcW w:w="50" w:type="pct"/>
            <w:shd w:val="clear" w:color="auto" w:fill="auto"/>
          </w:tcPr>
          <w:p w14:paraId="7E78548E" w14:textId="77777777" w:rsidR="00A82082" w:rsidRDefault="00A82082">
            <w:pPr>
              <w:rPr>
                <w:rFonts w:ascii="宋体"/>
              </w:rPr>
            </w:pPr>
          </w:p>
        </w:tc>
        <w:tc>
          <w:tcPr>
            <w:tcW w:w="523" w:type="pct"/>
            <w:shd w:val="clear" w:color="auto" w:fill="auto"/>
          </w:tcPr>
          <w:p w14:paraId="7E78548F" w14:textId="77777777" w:rsidR="00A82082" w:rsidRDefault="00A82082">
            <w:pPr>
              <w:rPr>
                <w:rFonts w:ascii="宋体"/>
              </w:rPr>
            </w:pPr>
          </w:p>
        </w:tc>
        <w:tc>
          <w:tcPr>
            <w:tcW w:w="5" w:type="pct"/>
            <w:shd w:val="clear" w:color="auto" w:fill="auto"/>
          </w:tcPr>
          <w:p w14:paraId="7E785490" w14:textId="77777777" w:rsidR="00A82082" w:rsidRDefault="00A82082">
            <w:pPr>
              <w:rPr>
                <w:rFonts w:ascii="宋体"/>
              </w:rPr>
            </w:pPr>
          </w:p>
        </w:tc>
        <w:tc>
          <w:tcPr>
            <w:tcW w:w="5" w:type="pct"/>
            <w:shd w:val="clear" w:color="auto" w:fill="auto"/>
          </w:tcPr>
          <w:p w14:paraId="7E785491" w14:textId="77777777" w:rsidR="00A82082" w:rsidRDefault="00A82082">
            <w:pPr>
              <w:rPr>
                <w:rFonts w:ascii="宋体"/>
              </w:rPr>
            </w:pPr>
          </w:p>
        </w:tc>
        <w:tc>
          <w:tcPr>
            <w:tcW w:w="26" w:type="pct"/>
            <w:shd w:val="clear" w:color="auto" w:fill="auto"/>
          </w:tcPr>
          <w:p w14:paraId="7E785492" w14:textId="77777777" w:rsidR="00A82082" w:rsidRDefault="00A82082">
            <w:pPr>
              <w:rPr>
                <w:rFonts w:ascii="宋体"/>
              </w:rPr>
            </w:pPr>
          </w:p>
        </w:tc>
        <w:tc>
          <w:tcPr>
            <w:tcW w:w="5" w:type="pct"/>
            <w:shd w:val="clear" w:color="auto" w:fill="auto"/>
          </w:tcPr>
          <w:p w14:paraId="7E785493" w14:textId="77777777" w:rsidR="00A82082" w:rsidRDefault="00A82082">
            <w:pPr>
              <w:rPr>
                <w:rFonts w:ascii="宋体"/>
              </w:rPr>
            </w:pPr>
          </w:p>
        </w:tc>
        <w:tc>
          <w:tcPr>
            <w:tcW w:w="50" w:type="pct"/>
            <w:shd w:val="clear" w:color="auto" w:fill="auto"/>
          </w:tcPr>
          <w:p w14:paraId="7E785494" w14:textId="77777777" w:rsidR="00A82082" w:rsidRDefault="00A82082">
            <w:pPr>
              <w:rPr>
                <w:rFonts w:ascii="宋体"/>
              </w:rPr>
            </w:pPr>
          </w:p>
        </w:tc>
        <w:tc>
          <w:tcPr>
            <w:tcW w:w="523" w:type="pct"/>
            <w:shd w:val="clear" w:color="auto" w:fill="auto"/>
          </w:tcPr>
          <w:p w14:paraId="7E785495" w14:textId="77777777" w:rsidR="00A82082" w:rsidRDefault="00A82082">
            <w:pPr>
              <w:rPr>
                <w:rFonts w:ascii="宋体"/>
              </w:rPr>
            </w:pPr>
          </w:p>
        </w:tc>
        <w:tc>
          <w:tcPr>
            <w:tcW w:w="5" w:type="pct"/>
            <w:shd w:val="clear" w:color="auto" w:fill="auto"/>
          </w:tcPr>
          <w:p w14:paraId="7E785496" w14:textId="77777777" w:rsidR="00A82082" w:rsidRDefault="00A82082">
            <w:pPr>
              <w:rPr>
                <w:rFonts w:ascii="宋体"/>
              </w:rPr>
            </w:pPr>
          </w:p>
        </w:tc>
        <w:tc>
          <w:tcPr>
            <w:tcW w:w="5" w:type="pct"/>
            <w:shd w:val="clear" w:color="auto" w:fill="auto"/>
          </w:tcPr>
          <w:p w14:paraId="7E785497" w14:textId="77777777" w:rsidR="00A82082" w:rsidRDefault="00A82082">
            <w:pPr>
              <w:rPr>
                <w:rFonts w:ascii="宋体"/>
              </w:rPr>
            </w:pPr>
          </w:p>
        </w:tc>
        <w:tc>
          <w:tcPr>
            <w:tcW w:w="26" w:type="pct"/>
            <w:shd w:val="clear" w:color="auto" w:fill="auto"/>
          </w:tcPr>
          <w:p w14:paraId="7E785498" w14:textId="77777777" w:rsidR="00A82082" w:rsidRDefault="00A82082">
            <w:pPr>
              <w:rPr>
                <w:rFonts w:ascii="宋体"/>
              </w:rPr>
            </w:pPr>
          </w:p>
        </w:tc>
        <w:tc>
          <w:tcPr>
            <w:tcW w:w="5" w:type="pct"/>
            <w:shd w:val="clear" w:color="auto" w:fill="auto"/>
          </w:tcPr>
          <w:p w14:paraId="7E785499" w14:textId="77777777" w:rsidR="00A82082" w:rsidRDefault="00A82082">
            <w:pPr>
              <w:rPr>
                <w:rFonts w:ascii="宋体"/>
              </w:rPr>
            </w:pPr>
          </w:p>
        </w:tc>
        <w:tc>
          <w:tcPr>
            <w:tcW w:w="50" w:type="pct"/>
            <w:shd w:val="clear" w:color="auto" w:fill="auto"/>
          </w:tcPr>
          <w:p w14:paraId="7E78549A" w14:textId="77777777" w:rsidR="00A82082" w:rsidRDefault="00A82082">
            <w:pPr>
              <w:rPr>
                <w:rFonts w:ascii="宋体"/>
              </w:rPr>
            </w:pPr>
          </w:p>
        </w:tc>
        <w:tc>
          <w:tcPr>
            <w:tcW w:w="523" w:type="pct"/>
            <w:shd w:val="clear" w:color="auto" w:fill="auto"/>
          </w:tcPr>
          <w:p w14:paraId="7E78549B" w14:textId="77777777" w:rsidR="00A82082" w:rsidRDefault="00A82082">
            <w:pPr>
              <w:rPr>
                <w:rFonts w:ascii="宋体"/>
              </w:rPr>
            </w:pPr>
          </w:p>
        </w:tc>
        <w:tc>
          <w:tcPr>
            <w:tcW w:w="5" w:type="pct"/>
            <w:shd w:val="clear" w:color="auto" w:fill="auto"/>
          </w:tcPr>
          <w:p w14:paraId="7E78549C" w14:textId="77777777" w:rsidR="00A82082" w:rsidRDefault="00A82082">
            <w:pPr>
              <w:rPr>
                <w:rFonts w:ascii="宋体"/>
              </w:rPr>
            </w:pPr>
          </w:p>
        </w:tc>
      </w:tr>
      <w:tr w:rsidR="00A82082" w14:paraId="7E7854A3" w14:textId="77777777">
        <w:trPr>
          <w:jc w:val="center"/>
        </w:trPr>
        <w:tc>
          <w:tcPr>
            <w:tcW w:w="0" w:type="auto"/>
            <w:gridSpan w:val="3"/>
            <w:shd w:val="clear" w:color="auto" w:fill="auto"/>
            <w:tcMar>
              <w:top w:w="40" w:type="dxa"/>
              <w:left w:w="20" w:type="dxa"/>
              <w:bottom w:w="40" w:type="dxa"/>
              <w:right w:w="20" w:type="dxa"/>
            </w:tcMar>
            <w:vAlign w:val="bottom"/>
          </w:tcPr>
          <w:p w14:paraId="7E78549E"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49F"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4A0"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4A1"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4A2"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54AD" w14:textId="77777777">
        <w:trPr>
          <w:jc w:val="center"/>
        </w:trPr>
        <w:tc>
          <w:tcPr>
            <w:tcW w:w="0" w:type="auto"/>
            <w:gridSpan w:val="3"/>
            <w:shd w:val="clear" w:color="auto" w:fill="auto"/>
            <w:tcMar>
              <w:top w:w="40" w:type="dxa"/>
              <w:left w:w="20" w:type="dxa"/>
              <w:bottom w:w="40" w:type="dxa"/>
              <w:right w:w="20" w:type="dxa"/>
            </w:tcMar>
            <w:vAlign w:val="bottom"/>
          </w:tcPr>
          <w:p w14:paraId="7E7854A4" w14:textId="77777777" w:rsidR="00A82082" w:rsidRDefault="00E946F9">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tcPr>
          <w:p w14:paraId="7E7854A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4A6"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4A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4A8"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4A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4AA"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4A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4AC"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4BF" w14:textId="77777777">
        <w:trPr>
          <w:jc w:val="center"/>
        </w:trPr>
        <w:tc>
          <w:tcPr>
            <w:tcW w:w="0" w:type="auto"/>
            <w:gridSpan w:val="3"/>
            <w:shd w:val="clear" w:color="auto" w:fill="CCEEFF"/>
            <w:tcMar>
              <w:top w:w="40" w:type="dxa"/>
              <w:left w:w="380" w:type="dxa"/>
              <w:bottom w:w="40" w:type="dxa"/>
              <w:right w:w="20" w:type="dxa"/>
            </w:tcMar>
            <w:vAlign w:val="center"/>
          </w:tcPr>
          <w:p w14:paraId="7E7854AE" w14:textId="77777777" w:rsidR="00A82082" w:rsidRDefault="00E946F9">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tcPr>
          <w:p w14:paraId="7E7854AF"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4B0"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4B1" w14:textId="77777777" w:rsidR="00A82082" w:rsidRDefault="00E946F9">
            <w:pPr>
              <w:jc w:val="right"/>
              <w:textAlignment w:val="bottom"/>
            </w:pPr>
            <w:r>
              <w:rPr>
                <w:rFonts w:ascii="Times New Roman" w:eastAsia="宋体" w:hAnsi="Times New Roman"/>
                <w:color w:val="000000"/>
                <w:sz w:val="16"/>
                <w:szCs w:val="16"/>
              </w:rPr>
              <w:t>50,683 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4B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B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4B4"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4B5" w14:textId="77777777" w:rsidR="00A82082" w:rsidRDefault="00E946F9">
            <w:pPr>
              <w:jc w:val="right"/>
              <w:textAlignment w:val="bottom"/>
            </w:pPr>
            <w:r>
              <w:rPr>
                <w:rFonts w:ascii="Times New Roman" w:eastAsia="宋体" w:hAnsi="Times New Roman"/>
                <w:color w:val="000000"/>
                <w:sz w:val="16"/>
                <w:szCs w:val="16"/>
              </w:rPr>
              <w:t>48,117 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4B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B7"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4B8"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4B9" w14:textId="77777777" w:rsidR="00A82082" w:rsidRDefault="00E946F9">
            <w:pPr>
              <w:jc w:val="right"/>
              <w:textAlignment w:val="bottom"/>
            </w:pPr>
            <w:r>
              <w:rPr>
                <w:rFonts w:ascii="Times New Roman" w:eastAsia="宋体" w:hAnsi="Times New Roman"/>
                <w:color w:val="000000"/>
                <w:sz w:val="16"/>
                <w:szCs w:val="16"/>
              </w:rPr>
              <w:t>155,149 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4B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BB"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4BC"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4BD" w14:textId="77777777" w:rsidR="00A82082" w:rsidRDefault="00E946F9">
            <w:pPr>
              <w:jc w:val="right"/>
              <w:textAlignment w:val="bottom"/>
            </w:pPr>
            <w:r>
              <w:rPr>
                <w:rFonts w:ascii="Times New Roman" w:eastAsia="宋体" w:hAnsi="Times New Roman"/>
                <w:color w:val="000000"/>
                <w:sz w:val="16"/>
                <w:szCs w:val="16"/>
              </w:rPr>
              <w:t>142,511 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4BE" w14:textId="77777777" w:rsidR="00A82082" w:rsidRDefault="00A82082">
            <w:pPr>
              <w:jc w:val="right"/>
              <w:rPr>
                <w:rFonts w:ascii="宋体"/>
              </w:rPr>
            </w:pPr>
          </w:p>
        </w:tc>
      </w:tr>
      <w:tr w:rsidR="00A82082" w14:paraId="7E7854CD" w14:textId="77777777">
        <w:trPr>
          <w:jc w:val="center"/>
        </w:trPr>
        <w:tc>
          <w:tcPr>
            <w:tcW w:w="0" w:type="auto"/>
            <w:gridSpan w:val="3"/>
            <w:shd w:val="clear" w:color="auto" w:fill="FFFFFF"/>
            <w:tcMar>
              <w:top w:w="40" w:type="dxa"/>
              <w:left w:w="380" w:type="dxa"/>
              <w:bottom w:w="40" w:type="dxa"/>
              <w:right w:w="20" w:type="dxa"/>
            </w:tcMar>
            <w:vAlign w:val="bottom"/>
          </w:tcPr>
          <w:p w14:paraId="7E7854C0" w14:textId="77777777" w:rsidR="00A82082" w:rsidRDefault="00E946F9">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tcPr>
          <w:p w14:paraId="7E7854C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C2" w14:textId="77777777" w:rsidR="00A82082" w:rsidRDefault="00E946F9">
            <w:pPr>
              <w:jc w:val="right"/>
              <w:textAlignment w:val="bottom"/>
            </w:pPr>
            <w:r>
              <w:rPr>
                <w:rFonts w:ascii="Times New Roman" w:eastAsia="宋体" w:hAnsi="Times New Roman"/>
                <w:color w:val="000000"/>
                <w:sz w:val="16"/>
                <w:szCs w:val="16"/>
              </w:rPr>
              <w:t>26,927 </w:t>
            </w:r>
          </w:p>
        </w:tc>
        <w:tc>
          <w:tcPr>
            <w:tcW w:w="0" w:type="auto"/>
            <w:shd w:val="clear" w:color="auto" w:fill="FFFFFF"/>
            <w:tcMar>
              <w:top w:w="40" w:type="dxa"/>
              <w:left w:w="0" w:type="dxa"/>
              <w:bottom w:w="40" w:type="dxa"/>
              <w:right w:w="20" w:type="dxa"/>
            </w:tcMar>
            <w:vAlign w:val="bottom"/>
          </w:tcPr>
          <w:p w14:paraId="7E7854C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C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C5" w14:textId="77777777" w:rsidR="00A82082" w:rsidRDefault="00E946F9">
            <w:pPr>
              <w:jc w:val="right"/>
              <w:textAlignment w:val="bottom"/>
            </w:pPr>
            <w:r>
              <w:rPr>
                <w:rFonts w:ascii="Times New Roman" w:eastAsia="宋体" w:hAnsi="Times New Roman"/>
                <w:color w:val="000000"/>
                <w:sz w:val="16"/>
                <w:szCs w:val="16"/>
              </w:rPr>
              <w:t>24,964 </w:t>
            </w:r>
          </w:p>
        </w:tc>
        <w:tc>
          <w:tcPr>
            <w:tcW w:w="0" w:type="auto"/>
            <w:shd w:val="clear" w:color="auto" w:fill="FFFFFF"/>
            <w:tcMar>
              <w:top w:w="40" w:type="dxa"/>
              <w:left w:w="0" w:type="dxa"/>
              <w:bottom w:w="40" w:type="dxa"/>
              <w:right w:w="20" w:type="dxa"/>
            </w:tcMar>
            <w:vAlign w:val="bottom"/>
          </w:tcPr>
          <w:p w14:paraId="7E7854C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C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C8" w14:textId="77777777" w:rsidR="00A82082" w:rsidRDefault="00E946F9">
            <w:pPr>
              <w:jc w:val="right"/>
              <w:textAlignment w:val="bottom"/>
            </w:pPr>
            <w:r>
              <w:rPr>
                <w:rFonts w:ascii="Times New Roman" w:eastAsia="宋体" w:hAnsi="Times New Roman"/>
                <w:color w:val="000000"/>
                <w:sz w:val="16"/>
                <w:szCs w:val="16"/>
              </w:rPr>
              <w:t>84,075 </w:t>
            </w:r>
          </w:p>
        </w:tc>
        <w:tc>
          <w:tcPr>
            <w:tcW w:w="0" w:type="auto"/>
            <w:shd w:val="clear" w:color="auto" w:fill="FFFFFF"/>
            <w:tcMar>
              <w:top w:w="40" w:type="dxa"/>
              <w:left w:w="0" w:type="dxa"/>
              <w:bottom w:w="40" w:type="dxa"/>
              <w:right w:w="20" w:type="dxa"/>
            </w:tcMar>
            <w:vAlign w:val="bottom"/>
          </w:tcPr>
          <w:p w14:paraId="7E7854C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C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CB" w14:textId="77777777" w:rsidR="00A82082" w:rsidRDefault="00E946F9">
            <w:pPr>
              <w:jc w:val="right"/>
              <w:textAlignment w:val="bottom"/>
            </w:pPr>
            <w:r>
              <w:rPr>
                <w:rFonts w:ascii="Times New Roman" w:eastAsia="宋体" w:hAnsi="Times New Roman"/>
                <w:color w:val="000000"/>
                <w:sz w:val="16"/>
                <w:szCs w:val="16"/>
              </w:rPr>
              <w:t>76,602 </w:t>
            </w:r>
          </w:p>
        </w:tc>
        <w:tc>
          <w:tcPr>
            <w:tcW w:w="0" w:type="auto"/>
            <w:shd w:val="clear" w:color="auto" w:fill="FFFFFF"/>
            <w:tcMar>
              <w:top w:w="40" w:type="dxa"/>
              <w:left w:w="0" w:type="dxa"/>
              <w:bottom w:w="40" w:type="dxa"/>
              <w:right w:w="20" w:type="dxa"/>
            </w:tcMar>
            <w:vAlign w:val="bottom"/>
          </w:tcPr>
          <w:p w14:paraId="7E7854CC" w14:textId="77777777" w:rsidR="00A82082" w:rsidRDefault="00A82082">
            <w:pPr>
              <w:jc w:val="right"/>
              <w:rPr>
                <w:rFonts w:ascii="宋体"/>
              </w:rPr>
            </w:pPr>
          </w:p>
        </w:tc>
      </w:tr>
      <w:tr w:rsidR="00A82082" w14:paraId="7E7854DB" w14:textId="77777777">
        <w:trPr>
          <w:jc w:val="center"/>
        </w:trPr>
        <w:tc>
          <w:tcPr>
            <w:tcW w:w="0" w:type="auto"/>
            <w:gridSpan w:val="3"/>
            <w:shd w:val="clear" w:color="auto" w:fill="CCEEFF"/>
            <w:tcMar>
              <w:top w:w="40" w:type="dxa"/>
              <w:left w:w="380" w:type="dxa"/>
              <w:bottom w:w="40" w:type="dxa"/>
              <w:right w:w="20" w:type="dxa"/>
            </w:tcMar>
            <w:vAlign w:val="bottom"/>
          </w:tcPr>
          <w:p w14:paraId="7E7854CE" w14:textId="77777777" w:rsidR="00A82082" w:rsidRDefault="00E946F9">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tcPr>
          <w:p w14:paraId="7E7854C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4D0" w14:textId="77777777" w:rsidR="00A82082" w:rsidRDefault="00E946F9">
            <w:pPr>
              <w:jc w:val="right"/>
              <w:textAlignment w:val="bottom"/>
            </w:pPr>
            <w:r>
              <w:rPr>
                <w:rFonts w:ascii="Times New Roman" w:eastAsia="宋体" w:hAnsi="Times New Roman"/>
                <w:color w:val="000000"/>
                <w:sz w:val="16"/>
                <w:szCs w:val="16"/>
              </w:rPr>
              <w:t>9,806 </w:t>
            </w:r>
          </w:p>
        </w:tc>
        <w:tc>
          <w:tcPr>
            <w:tcW w:w="0" w:type="auto"/>
            <w:shd w:val="clear" w:color="auto" w:fill="CCEEFF"/>
            <w:tcMar>
              <w:top w:w="40" w:type="dxa"/>
              <w:left w:w="0" w:type="dxa"/>
              <w:bottom w:w="40" w:type="dxa"/>
              <w:right w:w="20" w:type="dxa"/>
            </w:tcMar>
            <w:vAlign w:val="bottom"/>
          </w:tcPr>
          <w:p w14:paraId="7E7854D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D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4D3" w14:textId="77777777" w:rsidR="00A82082" w:rsidRDefault="00E946F9">
            <w:pPr>
              <w:jc w:val="right"/>
              <w:textAlignment w:val="bottom"/>
            </w:pPr>
            <w:r>
              <w:rPr>
                <w:rFonts w:ascii="Times New Roman" w:eastAsia="宋体" w:hAnsi="Times New Roman"/>
                <w:color w:val="000000"/>
                <w:sz w:val="16"/>
                <w:szCs w:val="16"/>
              </w:rPr>
              <w:t>9,225 </w:t>
            </w:r>
          </w:p>
        </w:tc>
        <w:tc>
          <w:tcPr>
            <w:tcW w:w="0" w:type="auto"/>
            <w:shd w:val="clear" w:color="auto" w:fill="CCEEFF"/>
            <w:tcMar>
              <w:top w:w="40" w:type="dxa"/>
              <w:left w:w="0" w:type="dxa"/>
              <w:bottom w:w="40" w:type="dxa"/>
              <w:right w:w="20" w:type="dxa"/>
            </w:tcMar>
            <w:vAlign w:val="bottom"/>
          </w:tcPr>
          <w:p w14:paraId="7E7854D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D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4D6" w14:textId="77777777" w:rsidR="00A82082" w:rsidRDefault="00E946F9">
            <w:pPr>
              <w:jc w:val="right"/>
              <w:textAlignment w:val="bottom"/>
            </w:pPr>
            <w:r>
              <w:rPr>
                <w:rFonts w:ascii="Times New Roman" w:eastAsia="宋体" w:hAnsi="Times New Roman"/>
                <w:color w:val="000000"/>
                <w:sz w:val="16"/>
                <w:szCs w:val="16"/>
              </w:rPr>
              <w:t>28,560 </w:t>
            </w:r>
          </w:p>
        </w:tc>
        <w:tc>
          <w:tcPr>
            <w:tcW w:w="0" w:type="auto"/>
            <w:shd w:val="clear" w:color="auto" w:fill="CCEEFF"/>
            <w:tcMar>
              <w:top w:w="40" w:type="dxa"/>
              <w:left w:w="0" w:type="dxa"/>
              <w:bottom w:w="40" w:type="dxa"/>
              <w:right w:w="20" w:type="dxa"/>
            </w:tcMar>
            <w:vAlign w:val="bottom"/>
          </w:tcPr>
          <w:p w14:paraId="7E7854D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D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4D9" w14:textId="77777777" w:rsidR="00A82082" w:rsidRDefault="00E946F9">
            <w:pPr>
              <w:jc w:val="right"/>
              <w:textAlignment w:val="bottom"/>
            </w:pPr>
            <w:r>
              <w:rPr>
                <w:rFonts w:ascii="Times New Roman" w:eastAsia="宋体" w:hAnsi="Times New Roman"/>
                <w:color w:val="000000"/>
                <w:sz w:val="16"/>
                <w:szCs w:val="16"/>
              </w:rPr>
              <w:t>27,113 </w:t>
            </w:r>
          </w:p>
        </w:tc>
        <w:tc>
          <w:tcPr>
            <w:tcW w:w="0" w:type="auto"/>
            <w:shd w:val="clear" w:color="auto" w:fill="CCEEFF"/>
            <w:tcMar>
              <w:top w:w="40" w:type="dxa"/>
              <w:left w:w="0" w:type="dxa"/>
              <w:bottom w:w="40" w:type="dxa"/>
              <w:right w:w="20" w:type="dxa"/>
            </w:tcMar>
            <w:vAlign w:val="bottom"/>
          </w:tcPr>
          <w:p w14:paraId="7E7854DA" w14:textId="77777777" w:rsidR="00A82082" w:rsidRDefault="00A82082">
            <w:pPr>
              <w:jc w:val="right"/>
              <w:rPr>
                <w:rFonts w:ascii="宋体"/>
              </w:rPr>
            </w:pPr>
          </w:p>
        </w:tc>
      </w:tr>
      <w:tr w:rsidR="00A82082" w14:paraId="7E7854E9" w14:textId="77777777">
        <w:trPr>
          <w:jc w:val="center"/>
        </w:trPr>
        <w:tc>
          <w:tcPr>
            <w:tcW w:w="0" w:type="auto"/>
            <w:gridSpan w:val="3"/>
            <w:shd w:val="clear" w:color="auto" w:fill="FFFFFF"/>
            <w:tcMar>
              <w:top w:w="40" w:type="dxa"/>
              <w:left w:w="380" w:type="dxa"/>
              <w:bottom w:w="40" w:type="dxa"/>
              <w:right w:w="20" w:type="dxa"/>
            </w:tcMar>
            <w:vAlign w:val="bottom"/>
          </w:tcPr>
          <w:p w14:paraId="7E7854DC" w14:textId="77777777" w:rsidR="00A82082" w:rsidRDefault="00E946F9">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tcPr>
          <w:p w14:paraId="7E7854D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DE" w14:textId="77777777" w:rsidR="00A82082" w:rsidRDefault="00E946F9">
            <w:pPr>
              <w:jc w:val="right"/>
              <w:textAlignment w:val="bottom"/>
            </w:pPr>
            <w:r>
              <w:rPr>
                <w:rFonts w:ascii="Times New Roman" w:eastAsia="宋体" w:hAnsi="Times New Roman"/>
                <w:color w:val="000000"/>
                <w:sz w:val="16"/>
                <w:szCs w:val="16"/>
              </w:rPr>
              <w:t>937 </w:t>
            </w:r>
          </w:p>
        </w:tc>
        <w:tc>
          <w:tcPr>
            <w:tcW w:w="0" w:type="auto"/>
            <w:shd w:val="clear" w:color="auto" w:fill="FFFFFF"/>
            <w:tcMar>
              <w:top w:w="40" w:type="dxa"/>
              <w:left w:w="0" w:type="dxa"/>
              <w:bottom w:w="40" w:type="dxa"/>
              <w:right w:w="20" w:type="dxa"/>
            </w:tcMar>
            <w:vAlign w:val="bottom"/>
          </w:tcPr>
          <w:p w14:paraId="7E7854D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E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E1" w14:textId="77777777" w:rsidR="00A82082" w:rsidRDefault="00E946F9">
            <w:pPr>
              <w:jc w:val="right"/>
              <w:textAlignment w:val="bottom"/>
            </w:pPr>
            <w:r>
              <w:rPr>
                <w:rFonts w:ascii="Times New Roman" w:eastAsia="宋体" w:hAnsi="Times New Roman"/>
                <w:color w:val="000000"/>
                <w:sz w:val="16"/>
                <w:szCs w:val="16"/>
              </w:rPr>
              <w:t>883 </w:t>
            </w:r>
          </w:p>
        </w:tc>
        <w:tc>
          <w:tcPr>
            <w:tcW w:w="0" w:type="auto"/>
            <w:shd w:val="clear" w:color="auto" w:fill="FFFFFF"/>
            <w:tcMar>
              <w:top w:w="40" w:type="dxa"/>
              <w:left w:w="0" w:type="dxa"/>
              <w:bottom w:w="40" w:type="dxa"/>
              <w:right w:w="20" w:type="dxa"/>
            </w:tcMar>
            <w:vAlign w:val="bottom"/>
          </w:tcPr>
          <w:p w14:paraId="7E7854E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E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E4" w14:textId="77777777" w:rsidR="00A82082" w:rsidRDefault="00E946F9">
            <w:pPr>
              <w:jc w:val="right"/>
              <w:textAlignment w:val="bottom"/>
            </w:pPr>
            <w:r>
              <w:rPr>
                <w:rFonts w:ascii="Times New Roman" w:eastAsia="宋体" w:hAnsi="Times New Roman"/>
                <w:color w:val="000000"/>
                <w:sz w:val="16"/>
                <w:szCs w:val="16"/>
              </w:rPr>
              <w:t>2,594 </w:t>
            </w:r>
          </w:p>
        </w:tc>
        <w:tc>
          <w:tcPr>
            <w:tcW w:w="0" w:type="auto"/>
            <w:shd w:val="clear" w:color="auto" w:fill="FFFFFF"/>
            <w:tcMar>
              <w:top w:w="40" w:type="dxa"/>
              <w:left w:w="0" w:type="dxa"/>
              <w:bottom w:w="40" w:type="dxa"/>
              <w:right w:w="20" w:type="dxa"/>
            </w:tcMar>
            <w:vAlign w:val="bottom"/>
          </w:tcPr>
          <w:p w14:paraId="7E7854E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4E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4E7" w14:textId="77777777" w:rsidR="00A82082" w:rsidRDefault="00E946F9">
            <w:pPr>
              <w:jc w:val="right"/>
              <w:textAlignment w:val="bottom"/>
            </w:pPr>
            <w:r>
              <w:rPr>
                <w:rFonts w:ascii="Times New Roman" w:eastAsia="宋体" w:hAnsi="Times New Roman"/>
                <w:color w:val="000000"/>
                <w:sz w:val="16"/>
                <w:szCs w:val="16"/>
              </w:rPr>
              <w:t>2,507 </w:t>
            </w:r>
          </w:p>
        </w:tc>
        <w:tc>
          <w:tcPr>
            <w:tcW w:w="0" w:type="auto"/>
            <w:shd w:val="clear" w:color="auto" w:fill="FFFFFF"/>
            <w:tcMar>
              <w:top w:w="40" w:type="dxa"/>
              <w:left w:w="0" w:type="dxa"/>
              <w:bottom w:w="40" w:type="dxa"/>
              <w:right w:w="20" w:type="dxa"/>
            </w:tcMar>
            <w:vAlign w:val="bottom"/>
          </w:tcPr>
          <w:p w14:paraId="7E7854E8" w14:textId="77777777" w:rsidR="00A82082" w:rsidRDefault="00A82082">
            <w:pPr>
              <w:jc w:val="right"/>
              <w:rPr>
                <w:rFonts w:ascii="宋体"/>
              </w:rPr>
            </w:pPr>
          </w:p>
        </w:tc>
      </w:tr>
      <w:tr w:rsidR="00A82082" w14:paraId="7E7854FB" w14:textId="77777777">
        <w:trPr>
          <w:jc w:val="center"/>
        </w:trPr>
        <w:tc>
          <w:tcPr>
            <w:tcW w:w="0" w:type="auto"/>
            <w:gridSpan w:val="3"/>
            <w:shd w:val="clear" w:color="auto" w:fill="CCEEFF"/>
            <w:tcMar>
              <w:top w:w="40" w:type="dxa"/>
              <w:left w:w="20" w:type="dxa"/>
              <w:bottom w:w="40" w:type="dxa"/>
              <w:right w:w="20" w:type="dxa"/>
            </w:tcMar>
            <w:vAlign w:val="bottom"/>
          </w:tcPr>
          <w:p w14:paraId="7E7854EA" w14:textId="77777777" w:rsidR="00A82082" w:rsidRDefault="00E946F9">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7E7854EB"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4EC"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4ED" w14:textId="77777777" w:rsidR="00A82082" w:rsidRDefault="00E946F9">
            <w:pPr>
              <w:jc w:val="right"/>
              <w:textAlignment w:val="bottom"/>
            </w:pPr>
            <w:r>
              <w:rPr>
                <w:rFonts w:ascii="Times New Roman" w:eastAsia="宋体" w:hAnsi="Times New Roman"/>
                <w:color w:val="000000"/>
                <w:sz w:val="16"/>
                <w:szCs w:val="16"/>
              </w:rPr>
              <w:t>88,353 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4E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EF"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4F0"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4F1" w14:textId="77777777" w:rsidR="00A82082" w:rsidRDefault="00E946F9">
            <w:pPr>
              <w:jc w:val="right"/>
              <w:textAlignment w:val="bottom"/>
            </w:pPr>
            <w:r>
              <w:rPr>
                <w:rFonts w:ascii="Times New Roman" w:eastAsia="宋体" w:hAnsi="Times New Roman"/>
                <w:color w:val="000000"/>
                <w:sz w:val="16"/>
                <w:szCs w:val="16"/>
              </w:rPr>
              <w:t>83,189 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4F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F3"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4F4"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4F5" w14:textId="77777777" w:rsidR="00A82082" w:rsidRDefault="00E946F9">
            <w:pPr>
              <w:jc w:val="right"/>
              <w:textAlignment w:val="bottom"/>
            </w:pPr>
            <w:r>
              <w:rPr>
                <w:rFonts w:ascii="Times New Roman" w:eastAsia="宋体" w:hAnsi="Times New Roman"/>
                <w:color w:val="000000"/>
                <w:sz w:val="16"/>
                <w:szCs w:val="16"/>
              </w:rPr>
              <w:t>270,378 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4F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4F7"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7854F8"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7854F9" w14:textId="77777777" w:rsidR="00A82082" w:rsidRDefault="00E946F9">
            <w:pPr>
              <w:jc w:val="right"/>
              <w:textAlignment w:val="bottom"/>
            </w:pPr>
            <w:r>
              <w:rPr>
                <w:rFonts w:ascii="Times New Roman" w:eastAsia="宋体" w:hAnsi="Times New Roman"/>
                <w:color w:val="000000"/>
                <w:sz w:val="16"/>
                <w:szCs w:val="16"/>
              </w:rPr>
              <w:t>248,733 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7854FA" w14:textId="77777777" w:rsidR="00A82082" w:rsidRDefault="00A82082">
            <w:pPr>
              <w:jc w:val="right"/>
              <w:rPr>
                <w:rFonts w:ascii="宋体"/>
              </w:rPr>
            </w:pPr>
          </w:p>
        </w:tc>
      </w:tr>
    </w:tbl>
    <w:p w14:paraId="7E7854FC" w14:textId="77777777" w:rsidR="00A82082" w:rsidRDefault="00E946F9">
      <w:pPr>
        <w:spacing w:before="180"/>
      </w:pPr>
      <w:r>
        <w:rPr>
          <w:rFonts w:ascii="Times New Roman" w:eastAsia="宋体" w:hAnsi="Times New Roman"/>
          <w:color w:val="000000"/>
          <w:sz w:val="20"/>
          <w:szCs w:val="20"/>
        </w:rPr>
        <w:t xml:space="preserve">Of Walmart U.S.'s total net sales, approximately $10.3 billion and $5.7 billion </w:t>
      </w:r>
      <w:r>
        <w:rPr>
          <w:rFonts w:ascii="Times New Roman" w:eastAsia="宋体" w:hAnsi="Times New Roman"/>
          <w:color w:val="000000"/>
          <w:sz w:val="20"/>
          <w:szCs w:val="20"/>
        </w:rPr>
        <w:t xml:space="preserve">related to eCommerce for the three months ended October 31, 2020 and 2019, respectively. Approximately $29.1 billion and $15.8 billion related to eCommerce for the nine months ended October 31, 2020 and 2019, respectively. </w:t>
      </w:r>
    </w:p>
    <w:p w14:paraId="7E7854FD" w14:textId="77777777" w:rsidR="00A82082" w:rsidRDefault="00E946F9">
      <w:pPr>
        <w:jc w:val="center"/>
      </w:pPr>
      <w:r>
        <w:rPr>
          <w:rFonts w:ascii="Times New Roman" w:eastAsia="宋体" w:hAnsi="Times New Roman"/>
          <w:color w:val="000000"/>
          <w:sz w:val="20"/>
          <w:szCs w:val="20"/>
        </w:rPr>
        <w:t>14</w:t>
      </w:r>
    </w:p>
    <w:p w14:paraId="7E7854FE" w14:textId="77777777" w:rsidR="00A82082" w:rsidRDefault="00E946F9">
      <w:r>
        <w:pict w14:anchorId="7E786156">
          <v:rect id="_x0000_i1038" style="width:415.3pt;height:1.5pt" o:hralign="center" o:hrstd="t" o:hr="t" fillcolor="#a0a0a0" stroked="f"/>
        </w:pict>
      </w:r>
    </w:p>
    <w:p w14:paraId="7E7854FF" w14:textId="77777777" w:rsidR="00A82082" w:rsidRDefault="00E946F9">
      <w:hyperlink r:id="rId66" w:anchor="i5c815528a95c4409b9043de534639b9a_7" w:history="1">
        <w:r>
          <w:rPr>
            <w:rStyle w:val="a5"/>
            <w:rFonts w:ascii="Times New Roman" w:eastAsia="宋体" w:hAnsi="Times New Roman"/>
            <w:sz w:val="20"/>
            <w:szCs w:val="20"/>
          </w:rPr>
          <w:t>Table of C</w:t>
        </w:r>
      </w:hyperlink>
      <w:hyperlink r:id="rId67" w:anchor="i5c815528a95c4409b9043de534639b9a_7" w:history="1">
        <w:r>
          <w:rPr>
            <w:rStyle w:val="a5"/>
            <w:rFonts w:ascii="Times New Roman" w:eastAsia="宋体" w:hAnsi="Times New Roman"/>
            <w:sz w:val="20"/>
            <w:szCs w:val="20"/>
          </w:rPr>
          <w:t>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40"/>
        <w:gridCol w:w="4097"/>
        <w:gridCol w:w="38"/>
        <w:gridCol w:w="36"/>
        <w:gridCol w:w="36"/>
        <w:gridCol w:w="36"/>
        <w:gridCol w:w="100"/>
        <w:gridCol w:w="792"/>
        <w:gridCol w:w="36"/>
        <w:gridCol w:w="36"/>
        <w:gridCol w:w="36"/>
        <w:gridCol w:w="36"/>
        <w:gridCol w:w="100"/>
        <w:gridCol w:w="793"/>
        <w:gridCol w:w="36"/>
        <w:gridCol w:w="36"/>
        <w:gridCol w:w="36"/>
        <w:gridCol w:w="36"/>
        <w:gridCol w:w="100"/>
        <w:gridCol w:w="794"/>
        <w:gridCol w:w="36"/>
        <w:gridCol w:w="36"/>
        <w:gridCol w:w="36"/>
        <w:gridCol w:w="36"/>
        <w:gridCol w:w="100"/>
        <w:gridCol w:w="794"/>
        <w:gridCol w:w="36"/>
      </w:tblGrid>
      <w:tr w:rsidR="00A82082" w14:paraId="7E78551B" w14:textId="77777777">
        <w:tc>
          <w:tcPr>
            <w:tcW w:w="50" w:type="pct"/>
            <w:shd w:val="clear" w:color="auto" w:fill="auto"/>
          </w:tcPr>
          <w:p w14:paraId="7E785500" w14:textId="77777777" w:rsidR="00A82082" w:rsidRDefault="00A82082">
            <w:pPr>
              <w:rPr>
                <w:rFonts w:ascii="宋体"/>
              </w:rPr>
            </w:pPr>
          </w:p>
        </w:tc>
        <w:tc>
          <w:tcPr>
            <w:tcW w:w="2485" w:type="pct"/>
            <w:shd w:val="clear" w:color="auto" w:fill="auto"/>
          </w:tcPr>
          <w:p w14:paraId="7E785501" w14:textId="77777777" w:rsidR="00A82082" w:rsidRDefault="00A82082">
            <w:pPr>
              <w:rPr>
                <w:rFonts w:ascii="宋体"/>
              </w:rPr>
            </w:pPr>
          </w:p>
        </w:tc>
        <w:tc>
          <w:tcPr>
            <w:tcW w:w="5" w:type="pct"/>
            <w:shd w:val="clear" w:color="auto" w:fill="auto"/>
          </w:tcPr>
          <w:p w14:paraId="7E785502" w14:textId="77777777" w:rsidR="00A82082" w:rsidRDefault="00A82082">
            <w:pPr>
              <w:rPr>
                <w:rFonts w:ascii="宋体"/>
              </w:rPr>
            </w:pPr>
          </w:p>
        </w:tc>
        <w:tc>
          <w:tcPr>
            <w:tcW w:w="5" w:type="pct"/>
            <w:shd w:val="clear" w:color="auto" w:fill="auto"/>
          </w:tcPr>
          <w:p w14:paraId="7E785503" w14:textId="77777777" w:rsidR="00A82082" w:rsidRDefault="00A82082">
            <w:pPr>
              <w:rPr>
                <w:rFonts w:ascii="宋体"/>
              </w:rPr>
            </w:pPr>
          </w:p>
        </w:tc>
        <w:tc>
          <w:tcPr>
            <w:tcW w:w="26" w:type="pct"/>
            <w:shd w:val="clear" w:color="auto" w:fill="auto"/>
          </w:tcPr>
          <w:p w14:paraId="7E785504" w14:textId="77777777" w:rsidR="00A82082" w:rsidRDefault="00A82082">
            <w:pPr>
              <w:rPr>
                <w:rFonts w:ascii="宋体"/>
              </w:rPr>
            </w:pPr>
          </w:p>
        </w:tc>
        <w:tc>
          <w:tcPr>
            <w:tcW w:w="5" w:type="pct"/>
            <w:shd w:val="clear" w:color="auto" w:fill="auto"/>
          </w:tcPr>
          <w:p w14:paraId="7E785505" w14:textId="77777777" w:rsidR="00A82082" w:rsidRDefault="00A82082">
            <w:pPr>
              <w:rPr>
                <w:rFonts w:ascii="宋体"/>
              </w:rPr>
            </w:pPr>
          </w:p>
        </w:tc>
        <w:tc>
          <w:tcPr>
            <w:tcW w:w="50" w:type="pct"/>
            <w:shd w:val="clear" w:color="auto" w:fill="auto"/>
          </w:tcPr>
          <w:p w14:paraId="7E785506" w14:textId="77777777" w:rsidR="00A82082" w:rsidRDefault="00A82082">
            <w:pPr>
              <w:rPr>
                <w:rFonts w:ascii="宋体"/>
              </w:rPr>
            </w:pPr>
          </w:p>
        </w:tc>
        <w:tc>
          <w:tcPr>
            <w:tcW w:w="523" w:type="pct"/>
            <w:shd w:val="clear" w:color="auto" w:fill="auto"/>
          </w:tcPr>
          <w:p w14:paraId="7E785507" w14:textId="77777777" w:rsidR="00A82082" w:rsidRDefault="00A82082">
            <w:pPr>
              <w:rPr>
                <w:rFonts w:ascii="宋体"/>
              </w:rPr>
            </w:pPr>
          </w:p>
        </w:tc>
        <w:tc>
          <w:tcPr>
            <w:tcW w:w="5" w:type="pct"/>
            <w:shd w:val="clear" w:color="auto" w:fill="auto"/>
          </w:tcPr>
          <w:p w14:paraId="7E785508" w14:textId="77777777" w:rsidR="00A82082" w:rsidRDefault="00A82082">
            <w:pPr>
              <w:rPr>
                <w:rFonts w:ascii="宋体"/>
              </w:rPr>
            </w:pPr>
          </w:p>
        </w:tc>
        <w:tc>
          <w:tcPr>
            <w:tcW w:w="5" w:type="pct"/>
            <w:shd w:val="clear" w:color="auto" w:fill="auto"/>
          </w:tcPr>
          <w:p w14:paraId="7E785509" w14:textId="77777777" w:rsidR="00A82082" w:rsidRDefault="00A82082">
            <w:pPr>
              <w:rPr>
                <w:rFonts w:ascii="宋体"/>
              </w:rPr>
            </w:pPr>
          </w:p>
        </w:tc>
        <w:tc>
          <w:tcPr>
            <w:tcW w:w="26" w:type="pct"/>
            <w:shd w:val="clear" w:color="auto" w:fill="auto"/>
          </w:tcPr>
          <w:p w14:paraId="7E78550A" w14:textId="77777777" w:rsidR="00A82082" w:rsidRDefault="00A82082">
            <w:pPr>
              <w:rPr>
                <w:rFonts w:ascii="宋体"/>
              </w:rPr>
            </w:pPr>
          </w:p>
        </w:tc>
        <w:tc>
          <w:tcPr>
            <w:tcW w:w="5" w:type="pct"/>
            <w:shd w:val="clear" w:color="auto" w:fill="auto"/>
          </w:tcPr>
          <w:p w14:paraId="7E78550B" w14:textId="77777777" w:rsidR="00A82082" w:rsidRDefault="00A82082">
            <w:pPr>
              <w:rPr>
                <w:rFonts w:ascii="宋体"/>
              </w:rPr>
            </w:pPr>
          </w:p>
        </w:tc>
        <w:tc>
          <w:tcPr>
            <w:tcW w:w="50" w:type="pct"/>
            <w:shd w:val="clear" w:color="auto" w:fill="auto"/>
          </w:tcPr>
          <w:p w14:paraId="7E78550C" w14:textId="77777777" w:rsidR="00A82082" w:rsidRDefault="00A82082">
            <w:pPr>
              <w:rPr>
                <w:rFonts w:ascii="宋体"/>
              </w:rPr>
            </w:pPr>
          </w:p>
        </w:tc>
        <w:tc>
          <w:tcPr>
            <w:tcW w:w="523" w:type="pct"/>
            <w:shd w:val="clear" w:color="auto" w:fill="auto"/>
          </w:tcPr>
          <w:p w14:paraId="7E78550D" w14:textId="77777777" w:rsidR="00A82082" w:rsidRDefault="00A82082">
            <w:pPr>
              <w:rPr>
                <w:rFonts w:ascii="宋体"/>
              </w:rPr>
            </w:pPr>
          </w:p>
        </w:tc>
        <w:tc>
          <w:tcPr>
            <w:tcW w:w="5" w:type="pct"/>
            <w:shd w:val="clear" w:color="auto" w:fill="auto"/>
          </w:tcPr>
          <w:p w14:paraId="7E78550E" w14:textId="77777777" w:rsidR="00A82082" w:rsidRDefault="00A82082">
            <w:pPr>
              <w:rPr>
                <w:rFonts w:ascii="宋体"/>
              </w:rPr>
            </w:pPr>
          </w:p>
        </w:tc>
        <w:tc>
          <w:tcPr>
            <w:tcW w:w="5" w:type="pct"/>
            <w:shd w:val="clear" w:color="auto" w:fill="auto"/>
          </w:tcPr>
          <w:p w14:paraId="7E78550F" w14:textId="77777777" w:rsidR="00A82082" w:rsidRDefault="00A82082">
            <w:pPr>
              <w:rPr>
                <w:rFonts w:ascii="宋体"/>
              </w:rPr>
            </w:pPr>
          </w:p>
        </w:tc>
        <w:tc>
          <w:tcPr>
            <w:tcW w:w="26" w:type="pct"/>
            <w:shd w:val="clear" w:color="auto" w:fill="auto"/>
          </w:tcPr>
          <w:p w14:paraId="7E785510" w14:textId="77777777" w:rsidR="00A82082" w:rsidRDefault="00A82082">
            <w:pPr>
              <w:rPr>
                <w:rFonts w:ascii="宋体"/>
              </w:rPr>
            </w:pPr>
          </w:p>
        </w:tc>
        <w:tc>
          <w:tcPr>
            <w:tcW w:w="5" w:type="pct"/>
            <w:shd w:val="clear" w:color="auto" w:fill="auto"/>
          </w:tcPr>
          <w:p w14:paraId="7E785511" w14:textId="77777777" w:rsidR="00A82082" w:rsidRDefault="00A82082">
            <w:pPr>
              <w:rPr>
                <w:rFonts w:ascii="宋体"/>
              </w:rPr>
            </w:pPr>
          </w:p>
        </w:tc>
        <w:tc>
          <w:tcPr>
            <w:tcW w:w="50" w:type="pct"/>
            <w:shd w:val="clear" w:color="auto" w:fill="auto"/>
          </w:tcPr>
          <w:p w14:paraId="7E785512" w14:textId="77777777" w:rsidR="00A82082" w:rsidRDefault="00A82082">
            <w:pPr>
              <w:rPr>
                <w:rFonts w:ascii="宋体"/>
              </w:rPr>
            </w:pPr>
          </w:p>
        </w:tc>
        <w:tc>
          <w:tcPr>
            <w:tcW w:w="523" w:type="pct"/>
            <w:shd w:val="clear" w:color="auto" w:fill="auto"/>
          </w:tcPr>
          <w:p w14:paraId="7E785513" w14:textId="77777777" w:rsidR="00A82082" w:rsidRDefault="00A82082">
            <w:pPr>
              <w:rPr>
                <w:rFonts w:ascii="宋体"/>
              </w:rPr>
            </w:pPr>
          </w:p>
        </w:tc>
        <w:tc>
          <w:tcPr>
            <w:tcW w:w="5" w:type="pct"/>
            <w:shd w:val="clear" w:color="auto" w:fill="auto"/>
          </w:tcPr>
          <w:p w14:paraId="7E785514" w14:textId="77777777" w:rsidR="00A82082" w:rsidRDefault="00A82082">
            <w:pPr>
              <w:rPr>
                <w:rFonts w:ascii="宋体"/>
              </w:rPr>
            </w:pPr>
          </w:p>
        </w:tc>
        <w:tc>
          <w:tcPr>
            <w:tcW w:w="5" w:type="pct"/>
            <w:shd w:val="clear" w:color="auto" w:fill="auto"/>
          </w:tcPr>
          <w:p w14:paraId="7E785515" w14:textId="77777777" w:rsidR="00A82082" w:rsidRDefault="00A82082">
            <w:pPr>
              <w:rPr>
                <w:rFonts w:ascii="宋体"/>
              </w:rPr>
            </w:pPr>
          </w:p>
        </w:tc>
        <w:tc>
          <w:tcPr>
            <w:tcW w:w="26" w:type="pct"/>
            <w:shd w:val="clear" w:color="auto" w:fill="auto"/>
          </w:tcPr>
          <w:p w14:paraId="7E785516" w14:textId="77777777" w:rsidR="00A82082" w:rsidRDefault="00A82082">
            <w:pPr>
              <w:rPr>
                <w:rFonts w:ascii="宋体"/>
              </w:rPr>
            </w:pPr>
          </w:p>
        </w:tc>
        <w:tc>
          <w:tcPr>
            <w:tcW w:w="5" w:type="pct"/>
            <w:shd w:val="clear" w:color="auto" w:fill="auto"/>
          </w:tcPr>
          <w:p w14:paraId="7E785517" w14:textId="77777777" w:rsidR="00A82082" w:rsidRDefault="00A82082">
            <w:pPr>
              <w:rPr>
                <w:rFonts w:ascii="宋体"/>
              </w:rPr>
            </w:pPr>
          </w:p>
        </w:tc>
        <w:tc>
          <w:tcPr>
            <w:tcW w:w="50" w:type="pct"/>
            <w:shd w:val="clear" w:color="auto" w:fill="auto"/>
          </w:tcPr>
          <w:p w14:paraId="7E785518" w14:textId="77777777" w:rsidR="00A82082" w:rsidRDefault="00A82082">
            <w:pPr>
              <w:rPr>
                <w:rFonts w:ascii="宋体"/>
              </w:rPr>
            </w:pPr>
          </w:p>
        </w:tc>
        <w:tc>
          <w:tcPr>
            <w:tcW w:w="523" w:type="pct"/>
            <w:shd w:val="clear" w:color="auto" w:fill="auto"/>
          </w:tcPr>
          <w:p w14:paraId="7E785519" w14:textId="77777777" w:rsidR="00A82082" w:rsidRDefault="00A82082">
            <w:pPr>
              <w:rPr>
                <w:rFonts w:ascii="宋体"/>
              </w:rPr>
            </w:pPr>
          </w:p>
        </w:tc>
        <w:tc>
          <w:tcPr>
            <w:tcW w:w="5" w:type="pct"/>
            <w:shd w:val="clear" w:color="auto" w:fill="auto"/>
          </w:tcPr>
          <w:p w14:paraId="7E78551A" w14:textId="77777777" w:rsidR="00A82082" w:rsidRDefault="00A82082">
            <w:pPr>
              <w:rPr>
                <w:rFonts w:ascii="宋体"/>
              </w:rPr>
            </w:pPr>
          </w:p>
        </w:tc>
      </w:tr>
      <w:tr w:rsidR="00A82082" w14:paraId="7E785521" w14:textId="77777777">
        <w:tc>
          <w:tcPr>
            <w:tcW w:w="0" w:type="auto"/>
            <w:gridSpan w:val="3"/>
            <w:shd w:val="clear" w:color="auto" w:fill="auto"/>
            <w:tcMar>
              <w:top w:w="40" w:type="dxa"/>
              <w:left w:w="20" w:type="dxa"/>
              <w:bottom w:w="40" w:type="dxa"/>
              <w:right w:w="20" w:type="dxa"/>
            </w:tcMar>
            <w:vAlign w:val="bottom"/>
          </w:tcPr>
          <w:p w14:paraId="7E78551C"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51D"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51E"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51F"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520"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552B" w14:textId="77777777">
        <w:tc>
          <w:tcPr>
            <w:tcW w:w="0" w:type="auto"/>
            <w:gridSpan w:val="3"/>
            <w:shd w:val="clear" w:color="auto" w:fill="auto"/>
            <w:tcMar>
              <w:top w:w="40" w:type="dxa"/>
              <w:left w:w="20" w:type="dxa"/>
              <w:bottom w:w="40" w:type="dxa"/>
              <w:right w:w="20" w:type="dxa"/>
            </w:tcMar>
            <w:vAlign w:val="bottom"/>
          </w:tcPr>
          <w:p w14:paraId="7E785522" w14:textId="77777777" w:rsidR="00A82082" w:rsidRDefault="00E946F9">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tcPr>
          <w:p w14:paraId="7E78552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524"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52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526"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52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528"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tcPr>
          <w:p w14:paraId="7E78552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52A"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53D" w14:textId="77777777">
        <w:tc>
          <w:tcPr>
            <w:tcW w:w="0" w:type="auto"/>
            <w:gridSpan w:val="3"/>
            <w:shd w:val="clear" w:color="auto" w:fill="CCEEFF"/>
            <w:tcMar>
              <w:top w:w="40" w:type="dxa"/>
              <w:left w:w="380" w:type="dxa"/>
              <w:bottom w:w="40" w:type="dxa"/>
              <w:right w:w="20" w:type="dxa"/>
            </w:tcMar>
            <w:vAlign w:val="bottom"/>
          </w:tcPr>
          <w:p w14:paraId="7E78552C" w14:textId="77777777" w:rsidR="00A82082" w:rsidRDefault="00E946F9">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tcPr>
          <w:p w14:paraId="7E78552D"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2E"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2F" w14:textId="77777777" w:rsidR="00A82082" w:rsidRDefault="00E946F9">
            <w:pPr>
              <w:jc w:val="right"/>
              <w:textAlignment w:val="bottom"/>
            </w:pPr>
            <w:r>
              <w:rPr>
                <w:rFonts w:ascii="Times New Roman" w:eastAsia="宋体" w:hAnsi="Times New Roman"/>
                <w:color w:val="000000"/>
                <w:sz w:val="16"/>
                <w:szCs w:val="16"/>
              </w:rPr>
              <w:t>7,429 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3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3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32"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33" w14:textId="77777777" w:rsidR="00A82082" w:rsidRDefault="00E946F9">
            <w:pPr>
              <w:jc w:val="right"/>
              <w:textAlignment w:val="bottom"/>
            </w:pPr>
            <w:r>
              <w:rPr>
                <w:rFonts w:ascii="Times New Roman" w:eastAsia="宋体" w:hAnsi="Times New Roman"/>
                <w:color w:val="000000"/>
                <w:sz w:val="16"/>
                <w:szCs w:val="16"/>
              </w:rPr>
              <w:t>7,913 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3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3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36"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37" w14:textId="77777777" w:rsidR="00A82082" w:rsidRDefault="00E946F9">
            <w:pPr>
              <w:jc w:val="right"/>
              <w:textAlignment w:val="bottom"/>
            </w:pPr>
            <w:r>
              <w:rPr>
                <w:rFonts w:ascii="Times New Roman" w:eastAsia="宋体" w:hAnsi="Times New Roman"/>
                <w:color w:val="000000"/>
                <w:sz w:val="16"/>
                <w:szCs w:val="16"/>
              </w:rPr>
              <w:t>23,133 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3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3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3A"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3B" w14:textId="77777777" w:rsidR="00A82082" w:rsidRDefault="00E946F9">
            <w:pPr>
              <w:jc w:val="right"/>
              <w:textAlignment w:val="bottom"/>
            </w:pPr>
            <w:r>
              <w:rPr>
                <w:rFonts w:ascii="Times New Roman" w:eastAsia="宋体" w:hAnsi="Times New Roman"/>
                <w:color w:val="000000"/>
                <w:sz w:val="16"/>
                <w:szCs w:val="16"/>
              </w:rPr>
              <w:t>23,765 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3C" w14:textId="77777777" w:rsidR="00A82082" w:rsidRDefault="00A82082">
            <w:pPr>
              <w:jc w:val="right"/>
              <w:rPr>
                <w:rFonts w:ascii="宋体"/>
              </w:rPr>
            </w:pPr>
          </w:p>
        </w:tc>
      </w:tr>
      <w:tr w:rsidR="00A82082" w14:paraId="7E78554B" w14:textId="77777777">
        <w:tc>
          <w:tcPr>
            <w:tcW w:w="0" w:type="auto"/>
            <w:gridSpan w:val="3"/>
            <w:shd w:val="clear" w:color="auto" w:fill="FFFFFF"/>
            <w:tcMar>
              <w:top w:w="40" w:type="dxa"/>
              <w:left w:w="380" w:type="dxa"/>
              <w:bottom w:w="40" w:type="dxa"/>
              <w:right w:w="20" w:type="dxa"/>
            </w:tcMar>
            <w:vAlign w:val="bottom"/>
          </w:tcPr>
          <w:p w14:paraId="7E78553E" w14:textId="77777777" w:rsidR="00A82082" w:rsidRDefault="00E946F9">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tcPr>
          <w:p w14:paraId="7E78553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40" w14:textId="77777777" w:rsidR="00A82082" w:rsidRDefault="00E946F9">
            <w:pPr>
              <w:jc w:val="right"/>
              <w:textAlignment w:val="bottom"/>
            </w:pPr>
            <w:r>
              <w:rPr>
                <w:rFonts w:ascii="Times New Roman" w:eastAsia="宋体" w:hAnsi="Times New Roman"/>
                <w:color w:val="000000"/>
                <w:sz w:val="16"/>
                <w:szCs w:val="16"/>
              </w:rPr>
              <w:t>7,249 </w:t>
            </w:r>
          </w:p>
        </w:tc>
        <w:tc>
          <w:tcPr>
            <w:tcW w:w="0" w:type="auto"/>
            <w:shd w:val="clear" w:color="auto" w:fill="FFFFFF"/>
            <w:tcMar>
              <w:top w:w="40" w:type="dxa"/>
              <w:left w:w="0" w:type="dxa"/>
              <w:bottom w:w="40" w:type="dxa"/>
              <w:right w:w="20" w:type="dxa"/>
            </w:tcMar>
            <w:vAlign w:val="bottom"/>
          </w:tcPr>
          <w:p w14:paraId="7E78554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4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43" w14:textId="77777777" w:rsidR="00A82082" w:rsidRDefault="00E946F9">
            <w:pPr>
              <w:jc w:val="right"/>
              <w:textAlignment w:val="bottom"/>
            </w:pPr>
            <w:r>
              <w:rPr>
                <w:rFonts w:ascii="Times New Roman" w:eastAsia="宋体" w:hAnsi="Times New Roman"/>
                <w:color w:val="000000"/>
                <w:sz w:val="16"/>
                <w:szCs w:val="16"/>
              </w:rPr>
              <w:t>6,961 </w:t>
            </w:r>
          </w:p>
        </w:tc>
        <w:tc>
          <w:tcPr>
            <w:tcW w:w="0" w:type="auto"/>
            <w:shd w:val="clear" w:color="auto" w:fill="FFFFFF"/>
            <w:tcMar>
              <w:top w:w="40" w:type="dxa"/>
              <w:left w:w="0" w:type="dxa"/>
              <w:bottom w:w="40" w:type="dxa"/>
              <w:right w:w="20" w:type="dxa"/>
            </w:tcMar>
            <w:vAlign w:val="bottom"/>
          </w:tcPr>
          <w:p w14:paraId="7E78554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4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46" w14:textId="77777777" w:rsidR="00A82082" w:rsidRDefault="00E946F9">
            <w:pPr>
              <w:jc w:val="right"/>
              <w:textAlignment w:val="bottom"/>
            </w:pPr>
            <w:r>
              <w:rPr>
                <w:rFonts w:ascii="Times New Roman" w:eastAsia="宋体" w:hAnsi="Times New Roman"/>
                <w:color w:val="000000"/>
                <w:sz w:val="16"/>
                <w:szCs w:val="16"/>
              </w:rPr>
              <w:t>21,079 </w:t>
            </w:r>
          </w:p>
        </w:tc>
        <w:tc>
          <w:tcPr>
            <w:tcW w:w="0" w:type="auto"/>
            <w:shd w:val="clear" w:color="auto" w:fill="FFFFFF"/>
            <w:tcMar>
              <w:top w:w="40" w:type="dxa"/>
              <w:left w:w="0" w:type="dxa"/>
              <w:bottom w:w="40" w:type="dxa"/>
              <w:right w:w="20" w:type="dxa"/>
            </w:tcMar>
            <w:vAlign w:val="bottom"/>
          </w:tcPr>
          <w:p w14:paraId="7E78554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4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49" w14:textId="77777777" w:rsidR="00A82082" w:rsidRDefault="00E946F9">
            <w:pPr>
              <w:jc w:val="right"/>
              <w:textAlignment w:val="bottom"/>
            </w:pPr>
            <w:r>
              <w:rPr>
                <w:rFonts w:ascii="Times New Roman" w:eastAsia="宋体" w:hAnsi="Times New Roman"/>
                <w:color w:val="000000"/>
                <w:sz w:val="16"/>
                <w:szCs w:val="16"/>
              </w:rPr>
              <w:t>21,355 </w:t>
            </w:r>
          </w:p>
        </w:tc>
        <w:tc>
          <w:tcPr>
            <w:tcW w:w="0" w:type="auto"/>
            <w:shd w:val="clear" w:color="auto" w:fill="FFFFFF"/>
            <w:tcMar>
              <w:top w:w="40" w:type="dxa"/>
              <w:left w:w="0" w:type="dxa"/>
              <w:bottom w:w="40" w:type="dxa"/>
              <w:right w:w="20" w:type="dxa"/>
            </w:tcMar>
            <w:vAlign w:val="bottom"/>
          </w:tcPr>
          <w:p w14:paraId="7E78554A" w14:textId="77777777" w:rsidR="00A82082" w:rsidRDefault="00A82082">
            <w:pPr>
              <w:jc w:val="right"/>
              <w:rPr>
                <w:rFonts w:ascii="宋体"/>
              </w:rPr>
            </w:pPr>
          </w:p>
        </w:tc>
      </w:tr>
      <w:tr w:rsidR="00A82082" w14:paraId="7E785559" w14:textId="77777777">
        <w:tc>
          <w:tcPr>
            <w:tcW w:w="0" w:type="auto"/>
            <w:gridSpan w:val="3"/>
            <w:shd w:val="clear" w:color="auto" w:fill="CCEEFF"/>
            <w:tcMar>
              <w:top w:w="40" w:type="dxa"/>
              <w:left w:w="380" w:type="dxa"/>
              <w:bottom w:w="40" w:type="dxa"/>
              <w:right w:w="20" w:type="dxa"/>
            </w:tcMar>
            <w:vAlign w:val="bottom"/>
          </w:tcPr>
          <w:p w14:paraId="7E78554C" w14:textId="77777777" w:rsidR="00A82082" w:rsidRDefault="00E946F9">
            <w:pPr>
              <w:textAlignment w:val="bottom"/>
            </w:pPr>
            <w:r>
              <w:rPr>
                <w:rFonts w:ascii="Times New Roman" w:eastAsia="宋体" w:hAnsi="Times New Roman"/>
                <w:color w:val="000000"/>
                <w:sz w:val="16"/>
                <w:szCs w:val="16"/>
              </w:rPr>
              <w:t>Canada</w:t>
            </w:r>
          </w:p>
        </w:tc>
        <w:tc>
          <w:tcPr>
            <w:tcW w:w="0" w:type="auto"/>
            <w:gridSpan w:val="3"/>
            <w:shd w:val="clear" w:color="auto" w:fill="CCEEFF"/>
            <w:tcMar>
              <w:top w:w="0" w:type="dxa"/>
              <w:left w:w="20" w:type="dxa"/>
              <w:bottom w:w="0" w:type="dxa"/>
              <w:right w:w="20" w:type="dxa"/>
            </w:tcMar>
          </w:tcPr>
          <w:p w14:paraId="7E78554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4E" w14:textId="77777777" w:rsidR="00A82082" w:rsidRDefault="00E946F9">
            <w:pPr>
              <w:jc w:val="right"/>
              <w:textAlignment w:val="bottom"/>
            </w:pPr>
            <w:r>
              <w:rPr>
                <w:rFonts w:ascii="Times New Roman" w:eastAsia="宋体" w:hAnsi="Times New Roman"/>
                <w:color w:val="000000"/>
                <w:sz w:val="16"/>
                <w:szCs w:val="16"/>
              </w:rPr>
              <w:t>4,969 </w:t>
            </w:r>
          </w:p>
        </w:tc>
        <w:tc>
          <w:tcPr>
            <w:tcW w:w="0" w:type="auto"/>
            <w:shd w:val="clear" w:color="auto" w:fill="CCEEFF"/>
            <w:tcMar>
              <w:top w:w="40" w:type="dxa"/>
              <w:left w:w="0" w:type="dxa"/>
              <w:bottom w:w="40" w:type="dxa"/>
              <w:right w:w="20" w:type="dxa"/>
            </w:tcMar>
            <w:vAlign w:val="bottom"/>
          </w:tcPr>
          <w:p w14:paraId="7E78554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51" w14:textId="77777777" w:rsidR="00A82082" w:rsidRDefault="00E946F9">
            <w:pPr>
              <w:jc w:val="right"/>
              <w:textAlignment w:val="bottom"/>
            </w:pPr>
            <w:r>
              <w:rPr>
                <w:rFonts w:ascii="Times New Roman" w:eastAsia="宋体" w:hAnsi="Times New Roman"/>
                <w:color w:val="000000"/>
                <w:sz w:val="16"/>
                <w:szCs w:val="16"/>
              </w:rPr>
              <w:t>4,608 </w:t>
            </w:r>
          </w:p>
        </w:tc>
        <w:tc>
          <w:tcPr>
            <w:tcW w:w="0" w:type="auto"/>
            <w:shd w:val="clear" w:color="auto" w:fill="CCEEFF"/>
            <w:tcMar>
              <w:top w:w="40" w:type="dxa"/>
              <w:left w:w="0" w:type="dxa"/>
              <w:bottom w:w="40" w:type="dxa"/>
              <w:right w:w="20" w:type="dxa"/>
            </w:tcMar>
            <w:vAlign w:val="bottom"/>
          </w:tcPr>
          <w:p w14:paraId="7E78555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5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54" w14:textId="77777777" w:rsidR="00A82082" w:rsidRDefault="00E946F9">
            <w:pPr>
              <w:jc w:val="right"/>
              <w:textAlignment w:val="bottom"/>
            </w:pPr>
            <w:r>
              <w:rPr>
                <w:rFonts w:ascii="Times New Roman" w:eastAsia="宋体" w:hAnsi="Times New Roman"/>
                <w:color w:val="000000"/>
                <w:sz w:val="16"/>
                <w:szCs w:val="16"/>
              </w:rPr>
              <w:t>14,383 </w:t>
            </w:r>
          </w:p>
        </w:tc>
        <w:tc>
          <w:tcPr>
            <w:tcW w:w="0" w:type="auto"/>
            <w:shd w:val="clear" w:color="auto" w:fill="CCEEFF"/>
            <w:tcMar>
              <w:top w:w="40" w:type="dxa"/>
              <w:left w:w="0" w:type="dxa"/>
              <w:bottom w:w="40" w:type="dxa"/>
              <w:right w:w="20" w:type="dxa"/>
            </w:tcMar>
            <w:vAlign w:val="bottom"/>
          </w:tcPr>
          <w:p w14:paraId="7E78555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5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57" w14:textId="77777777" w:rsidR="00A82082" w:rsidRDefault="00E946F9">
            <w:pPr>
              <w:jc w:val="right"/>
              <w:textAlignment w:val="bottom"/>
            </w:pPr>
            <w:r>
              <w:rPr>
                <w:rFonts w:ascii="Times New Roman" w:eastAsia="宋体" w:hAnsi="Times New Roman"/>
                <w:color w:val="000000"/>
                <w:sz w:val="16"/>
                <w:szCs w:val="16"/>
              </w:rPr>
              <w:t>13,366 </w:t>
            </w:r>
          </w:p>
        </w:tc>
        <w:tc>
          <w:tcPr>
            <w:tcW w:w="0" w:type="auto"/>
            <w:shd w:val="clear" w:color="auto" w:fill="CCEEFF"/>
            <w:tcMar>
              <w:top w:w="40" w:type="dxa"/>
              <w:left w:w="0" w:type="dxa"/>
              <w:bottom w:w="40" w:type="dxa"/>
              <w:right w:w="20" w:type="dxa"/>
            </w:tcMar>
            <w:vAlign w:val="bottom"/>
          </w:tcPr>
          <w:p w14:paraId="7E785558" w14:textId="77777777" w:rsidR="00A82082" w:rsidRDefault="00A82082">
            <w:pPr>
              <w:jc w:val="right"/>
              <w:rPr>
                <w:rFonts w:ascii="宋体"/>
              </w:rPr>
            </w:pPr>
          </w:p>
        </w:tc>
      </w:tr>
      <w:tr w:rsidR="00A82082" w14:paraId="7E785567" w14:textId="77777777">
        <w:tc>
          <w:tcPr>
            <w:tcW w:w="0" w:type="auto"/>
            <w:gridSpan w:val="3"/>
            <w:shd w:val="clear" w:color="auto" w:fill="FFFFFF"/>
            <w:tcMar>
              <w:top w:w="40" w:type="dxa"/>
              <w:left w:w="380" w:type="dxa"/>
              <w:bottom w:w="40" w:type="dxa"/>
              <w:right w:w="20" w:type="dxa"/>
            </w:tcMar>
            <w:vAlign w:val="bottom"/>
          </w:tcPr>
          <w:p w14:paraId="7E78555A" w14:textId="77777777" w:rsidR="00A82082" w:rsidRDefault="00E946F9">
            <w:pPr>
              <w:textAlignment w:val="bottom"/>
            </w:pPr>
            <w:r>
              <w:rPr>
                <w:rFonts w:ascii="Times New Roman" w:eastAsia="宋体" w:hAnsi="Times New Roman"/>
                <w:color w:val="000000"/>
                <w:sz w:val="16"/>
                <w:szCs w:val="16"/>
              </w:rPr>
              <w:t>China</w:t>
            </w:r>
          </w:p>
        </w:tc>
        <w:tc>
          <w:tcPr>
            <w:tcW w:w="0" w:type="auto"/>
            <w:gridSpan w:val="3"/>
            <w:shd w:val="clear" w:color="auto" w:fill="FFFFFF"/>
            <w:tcMar>
              <w:top w:w="0" w:type="dxa"/>
              <w:left w:w="20" w:type="dxa"/>
              <w:bottom w:w="0" w:type="dxa"/>
              <w:right w:w="20" w:type="dxa"/>
            </w:tcMar>
          </w:tcPr>
          <w:p w14:paraId="7E78555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5C" w14:textId="77777777" w:rsidR="00A82082" w:rsidRDefault="00E946F9">
            <w:pPr>
              <w:jc w:val="right"/>
              <w:textAlignment w:val="bottom"/>
            </w:pPr>
            <w:r>
              <w:rPr>
                <w:rFonts w:ascii="Times New Roman" w:eastAsia="宋体" w:hAnsi="Times New Roman"/>
                <w:color w:val="000000"/>
                <w:sz w:val="16"/>
                <w:szCs w:val="16"/>
              </w:rPr>
              <w:t>2,787 </w:t>
            </w:r>
          </w:p>
        </w:tc>
        <w:tc>
          <w:tcPr>
            <w:tcW w:w="0" w:type="auto"/>
            <w:shd w:val="clear" w:color="auto" w:fill="FFFFFF"/>
            <w:tcMar>
              <w:top w:w="40" w:type="dxa"/>
              <w:left w:w="0" w:type="dxa"/>
              <w:bottom w:w="40" w:type="dxa"/>
              <w:right w:w="20" w:type="dxa"/>
            </w:tcMar>
            <w:vAlign w:val="bottom"/>
          </w:tcPr>
          <w:p w14:paraId="7E78555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5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5F" w14:textId="77777777" w:rsidR="00A82082" w:rsidRDefault="00E946F9">
            <w:pPr>
              <w:jc w:val="right"/>
              <w:textAlignment w:val="bottom"/>
            </w:pPr>
            <w:r>
              <w:rPr>
                <w:rFonts w:ascii="Times New Roman" w:eastAsia="宋体" w:hAnsi="Times New Roman"/>
                <w:color w:val="000000"/>
                <w:sz w:val="16"/>
                <w:szCs w:val="16"/>
              </w:rPr>
              <w:t>2,718 </w:t>
            </w:r>
          </w:p>
        </w:tc>
        <w:tc>
          <w:tcPr>
            <w:tcW w:w="0" w:type="auto"/>
            <w:shd w:val="clear" w:color="auto" w:fill="FFFFFF"/>
            <w:tcMar>
              <w:top w:w="40" w:type="dxa"/>
              <w:left w:w="0" w:type="dxa"/>
              <w:bottom w:w="40" w:type="dxa"/>
              <w:right w:w="20" w:type="dxa"/>
            </w:tcMar>
            <w:vAlign w:val="bottom"/>
          </w:tcPr>
          <w:p w14:paraId="7E78556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6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62" w14:textId="77777777" w:rsidR="00A82082" w:rsidRDefault="00E946F9">
            <w:pPr>
              <w:jc w:val="right"/>
              <w:textAlignment w:val="bottom"/>
            </w:pPr>
            <w:r>
              <w:rPr>
                <w:rFonts w:ascii="Times New Roman" w:eastAsia="宋体" w:hAnsi="Times New Roman"/>
                <w:color w:val="000000"/>
                <w:sz w:val="16"/>
                <w:szCs w:val="16"/>
              </w:rPr>
              <w:t>8,735 </w:t>
            </w:r>
          </w:p>
        </w:tc>
        <w:tc>
          <w:tcPr>
            <w:tcW w:w="0" w:type="auto"/>
            <w:shd w:val="clear" w:color="auto" w:fill="FFFFFF"/>
            <w:tcMar>
              <w:top w:w="40" w:type="dxa"/>
              <w:left w:w="0" w:type="dxa"/>
              <w:bottom w:w="40" w:type="dxa"/>
              <w:right w:w="20" w:type="dxa"/>
            </w:tcMar>
            <w:vAlign w:val="bottom"/>
          </w:tcPr>
          <w:p w14:paraId="7E78556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6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bottom"/>
          </w:tcPr>
          <w:p w14:paraId="7E785565" w14:textId="77777777" w:rsidR="00A82082" w:rsidRDefault="00E946F9">
            <w:pPr>
              <w:jc w:val="right"/>
              <w:textAlignment w:val="bottom"/>
            </w:pPr>
            <w:r>
              <w:rPr>
                <w:rFonts w:ascii="Times New Roman" w:eastAsia="宋体" w:hAnsi="Times New Roman"/>
                <w:color w:val="000000"/>
                <w:sz w:val="16"/>
                <w:szCs w:val="16"/>
              </w:rPr>
              <w:t>8,209 </w:t>
            </w:r>
          </w:p>
        </w:tc>
        <w:tc>
          <w:tcPr>
            <w:tcW w:w="0" w:type="auto"/>
            <w:shd w:val="clear" w:color="auto" w:fill="FFFFFF"/>
            <w:tcMar>
              <w:top w:w="40" w:type="dxa"/>
              <w:left w:w="0" w:type="dxa"/>
              <w:bottom w:w="40" w:type="dxa"/>
              <w:right w:w="20" w:type="dxa"/>
            </w:tcMar>
            <w:vAlign w:val="bottom"/>
          </w:tcPr>
          <w:p w14:paraId="7E785566" w14:textId="77777777" w:rsidR="00A82082" w:rsidRDefault="00A82082">
            <w:pPr>
              <w:jc w:val="right"/>
              <w:rPr>
                <w:rFonts w:ascii="宋体"/>
              </w:rPr>
            </w:pPr>
          </w:p>
        </w:tc>
      </w:tr>
      <w:tr w:rsidR="00A82082" w14:paraId="7E785575" w14:textId="77777777">
        <w:tc>
          <w:tcPr>
            <w:tcW w:w="0" w:type="auto"/>
            <w:gridSpan w:val="3"/>
            <w:shd w:val="clear" w:color="auto" w:fill="CCEEFF"/>
            <w:tcMar>
              <w:top w:w="40" w:type="dxa"/>
              <w:left w:w="380" w:type="dxa"/>
              <w:bottom w:w="40" w:type="dxa"/>
              <w:right w:w="20" w:type="dxa"/>
            </w:tcMar>
            <w:vAlign w:val="bottom"/>
          </w:tcPr>
          <w:p w14:paraId="7E785568" w14:textId="77777777" w:rsidR="00A82082" w:rsidRDefault="00E946F9">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tcPr>
          <w:p w14:paraId="7E78556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6A" w14:textId="77777777" w:rsidR="00A82082" w:rsidRDefault="00E946F9">
            <w:pPr>
              <w:jc w:val="right"/>
              <w:textAlignment w:val="bottom"/>
            </w:pPr>
            <w:r>
              <w:rPr>
                <w:rFonts w:ascii="Times New Roman" w:eastAsia="宋体" w:hAnsi="Times New Roman"/>
                <w:color w:val="000000"/>
                <w:sz w:val="16"/>
                <w:szCs w:val="16"/>
              </w:rPr>
              <w:t>7,120 </w:t>
            </w:r>
          </w:p>
        </w:tc>
        <w:tc>
          <w:tcPr>
            <w:tcW w:w="0" w:type="auto"/>
            <w:shd w:val="clear" w:color="auto" w:fill="CCEEFF"/>
            <w:tcMar>
              <w:top w:w="40" w:type="dxa"/>
              <w:left w:w="0" w:type="dxa"/>
              <w:bottom w:w="40" w:type="dxa"/>
              <w:right w:w="20" w:type="dxa"/>
            </w:tcMar>
            <w:vAlign w:val="bottom"/>
          </w:tcPr>
          <w:p w14:paraId="7E78556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6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6D" w14:textId="77777777" w:rsidR="00A82082" w:rsidRDefault="00E946F9">
            <w:pPr>
              <w:jc w:val="right"/>
              <w:textAlignment w:val="bottom"/>
            </w:pPr>
            <w:r>
              <w:rPr>
                <w:rFonts w:ascii="Times New Roman" w:eastAsia="宋体" w:hAnsi="Times New Roman"/>
                <w:color w:val="000000"/>
                <w:sz w:val="16"/>
                <w:szCs w:val="16"/>
              </w:rPr>
              <w:t>6,967 </w:t>
            </w:r>
          </w:p>
        </w:tc>
        <w:tc>
          <w:tcPr>
            <w:tcW w:w="0" w:type="auto"/>
            <w:shd w:val="clear" w:color="auto" w:fill="CCEEFF"/>
            <w:tcMar>
              <w:top w:w="40" w:type="dxa"/>
              <w:left w:w="0" w:type="dxa"/>
              <w:bottom w:w="40" w:type="dxa"/>
              <w:right w:w="20" w:type="dxa"/>
            </w:tcMar>
            <w:vAlign w:val="bottom"/>
          </w:tcPr>
          <w:p w14:paraId="7E78556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6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70" w14:textId="77777777" w:rsidR="00A82082" w:rsidRDefault="00E946F9">
            <w:pPr>
              <w:jc w:val="right"/>
              <w:textAlignment w:val="bottom"/>
            </w:pPr>
            <w:r>
              <w:rPr>
                <w:rFonts w:ascii="Times New Roman" w:eastAsia="宋体" w:hAnsi="Times New Roman"/>
                <w:color w:val="000000"/>
                <w:sz w:val="16"/>
                <w:szCs w:val="16"/>
              </w:rPr>
              <w:t>19,157 </w:t>
            </w:r>
          </w:p>
        </w:tc>
        <w:tc>
          <w:tcPr>
            <w:tcW w:w="0" w:type="auto"/>
            <w:shd w:val="clear" w:color="auto" w:fill="CCEEFF"/>
            <w:tcMar>
              <w:top w:w="40" w:type="dxa"/>
              <w:left w:w="0" w:type="dxa"/>
              <w:bottom w:w="40" w:type="dxa"/>
              <w:right w:w="20" w:type="dxa"/>
            </w:tcMar>
            <w:vAlign w:val="bottom"/>
          </w:tcPr>
          <w:p w14:paraId="7E78557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7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bottom"/>
          </w:tcPr>
          <w:p w14:paraId="7E785573" w14:textId="77777777" w:rsidR="00A82082" w:rsidRDefault="00E946F9">
            <w:pPr>
              <w:jc w:val="right"/>
              <w:textAlignment w:val="bottom"/>
            </w:pPr>
            <w:r>
              <w:rPr>
                <w:rFonts w:ascii="Times New Roman" w:eastAsia="宋体" w:hAnsi="Times New Roman"/>
                <w:color w:val="000000"/>
                <w:sz w:val="16"/>
                <w:szCs w:val="16"/>
              </w:rPr>
              <w:t>20,386 </w:t>
            </w:r>
          </w:p>
        </w:tc>
        <w:tc>
          <w:tcPr>
            <w:tcW w:w="0" w:type="auto"/>
            <w:shd w:val="clear" w:color="auto" w:fill="CCEEFF"/>
            <w:tcMar>
              <w:top w:w="40" w:type="dxa"/>
              <w:left w:w="0" w:type="dxa"/>
              <w:bottom w:w="40" w:type="dxa"/>
              <w:right w:w="20" w:type="dxa"/>
            </w:tcMar>
            <w:vAlign w:val="bottom"/>
          </w:tcPr>
          <w:p w14:paraId="7E785574" w14:textId="77777777" w:rsidR="00A82082" w:rsidRDefault="00A82082">
            <w:pPr>
              <w:jc w:val="right"/>
              <w:rPr>
                <w:rFonts w:ascii="宋体"/>
              </w:rPr>
            </w:pPr>
          </w:p>
        </w:tc>
      </w:tr>
      <w:tr w:rsidR="00A82082" w14:paraId="7E785587" w14:textId="77777777">
        <w:tc>
          <w:tcPr>
            <w:tcW w:w="0" w:type="auto"/>
            <w:gridSpan w:val="3"/>
            <w:shd w:val="clear" w:color="auto" w:fill="FFFFFF"/>
            <w:tcMar>
              <w:top w:w="40" w:type="dxa"/>
              <w:left w:w="20" w:type="dxa"/>
              <w:bottom w:w="40" w:type="dxa"/>
              <w:right w:w="20" w:type="dxa"/>
            </w:tcMar>
            <w:vAlign w:val="bottom"/>
          </w:tcPr>
          <w:p w14:paraId="7E785576" w14:textId="77777777" w:rsidR="00A82082" w:rsidRDefault="00E946F9">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7E785577"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578"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579" w14:textId="77777777" w:rsidR="00A82082" w:rsidRDefault="00E946F9">
            <w:pPr>
              <w:jc w:val="right"/>
              <w:textAlignment w:val="bottom"/>
            </w:pPr>
            <w:r>
              <w:rPr>
                <w:rFonts w:ascii="Times New Roman" w:eastAsia="宋体" w:hAnsi="Times New Roman"/>
                <w:color w:val="000000"/>
                <w:sz w:val="16"/>
                <w:szCs w:val="16"/>
              </w:rPr>
              <w:t>29,554 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57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7B"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57C"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57D" w14:textId="77777777" w:rsidR="00A82082" w:rsidRDefault="00E946F9">
            <w:pPr>
              <w:jc w:val="right"/>
              <w:textAlignment w:val="bottom"/>
            </w:pPr>
            <w:r>
              <w:rPr>
                <w:rFonts w:ascii="Times New Roman" w:eastAsia="宋体" w:hAnsi="Times New Roman"/>
                <w:color w:val="000000"/>
                <w:sz w:val="16"/>
                <w:szCs w:val="16"/>
              </w:rPr>
              <w:t>29,167 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57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7F"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580"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581" w14:textId="77777777" w:rsidR="00A82082" w:rsidRDefault="00E946F9">
            <w:pPr>
              <w:jc w:val="right"/>
              <w:textAlignment w:val="bottom"/>
            </w:pPr>
            <w:r>
              <w:rPr>
                <w:rFonts w:ascii="Times New Roman" w:eastAsia="宋体" w:hAnsi="Times New Roman"/>
                <w:color w:val="000000"/>
                <w:sz w:val="16"/>
                <w:szCs w:val="16"/>
              </w:rPr>
              <w:t>86,487 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58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83"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785584"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785585" w14:textId="77777777" w:rsidR="00A82082" w:rsidRDefault="00E946F9">
            <w:pPr>
              <w:jc w:val="right"/>
              <w:textAlignment w:val="bottom"/>
            </w:pPr>
            <w:r>
              <w:rPr>
                <w:rFonts w:ascii="Times New Roman" w:eastAsia="宋体" w:hAnsi="Times New Roman"/>
                <w:color w:val="000000"/>
                <w:sz w:val="16"/>
                <w:szCs w:val="16"/>
              </w:rPr>
              <w:t>87,081 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785586" w14:textId="77777777" w:rsidR="00A82082" w:rsidRDefault="00A82082">
            <w:pPr>
              <w:jc w:val="right"/>
              <w:rPr>
                <w:rFonts w:ascii="宋体"/>
              </w:rPr>
            </w:pPr>
          </w:p>
        </w:tc>
      </w:tr>
    </w:tbl>
    <w:p w14:paraId="7E785588" w14:textId="77777777" w:rsidR="00A82082" w:rsidRDefault="00E946F9">
      <w:pPr>
        <w:spacing w:before="180"/>
      </w:pPr>
      <w:r>
        <w:rPr>
          <w:rFonts w:ascii="Times New Roman" w:eastAsia="宋体" w:hAnsi="Times New Roman"/>
          <w:color w:val="000000"/>
          <w:sz w:val="20"/>
          <w:szCs w:val="20"/>
        </w:rPr>
        <w:t>Of Walmart International's total net sales, approximately $4.3 billion and $2.9 bi</w:t>
      </w:r>
      <w:r>
        <w:rPr>
          <w:rFonts w:ascii="Times New Roman" w:eastAsia="宋体" w:hAnsi="Times New Roman"/>
          <w:color w:val="000000"/>
          <w:sz w:val="20"/>
          <w:szCs w:val="20"/>
        </w:rPr>
        <w:t>llion related to eCommerce for the three months ended October 31, 2020 and 2019, respectively. Approximately $10.5 billion and $7.9 billion related to eCommerce for the nine months ended October 31, 2020 and 2019, respectively.</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097"/>
        <w:gridCol w:w="39"/>
        <w:gridCol w:w="36"/>
        <w:gridCol w:w="36"/>
        <w:gridCol w:w="36"/>
        <w:gridCol w:w="100"/>
        <w:gridCol w:w="792"/>
        <w:gridCol w:w="36"/>
        <w:gridCol w:w="36"/>
        <w:gridCol w:w="36"/>
        <w:gridCol w:w="36"/>
        <w:gridCol w:w="100"/>
        <w:gridCol w:w="792"/>
        <w:gridCol w:w="36"/>
        <w:gridCol w:w="36"/>
        <w:gridCol w:w="36"/>
        <w:gridCol w:w="36"/>
        <w:gridCol w:w="100"/>
        <w:gridCol w:w="794"/>
        <w:gridCol w:w="36"/>
        <w:gridCol w:w="36"/>
        <w:gridCol w:w="36"/>
        <w:gridCol w:w="36"/>
        <w:gridCol w:w="100"/>
        <w:gridCol w:w="794"/>
        <w:gridCol w:w="36"/>
      </w:tblGrid>
      <w:tr w:rsidR="00A82082" w14:paraId="7E7855A4" w14:textId="77777777">
        <w:trPr>
          <w:jc w:val="center"/>
        </w:trPr>
        <w:tc>
          <w:tcPr>
            <w:tcW w:w="50" w:type="pct"/>
            <w:shd w:val="clear" w:color="auto" w:fill="auto"/>
          </w:tcPr>
          <w:p w14:paraId="7E785589" w14:textId="77777777" w:rsidR="00A82082" w:rsidRDefault="00A82082">
            <w:pPr>
              <w:rPr>
                <w:rFonts w:ascii="宋体"/>
              </w:rPr>
            </w:pPr>
          </w:p>
        </w:tc>
        <w:tc>
          <w:tcPr>
            <w:tcW w:w="2485" w:type="pct"/>
            <w:shd w:val="clear" w:color="auto" w:fill="auto"/>
          </w:tcPr>
          <w:p w14:paraId="7E78558A" w14:textId="77777777" w:rsidR="00A82082" w:rsidRDefault="00A82082">
            <w:pPr>
              <w:rPr>
                <w:rFonts w:ascii="宋体"/>
              </w:rPr>
            </w:pPr>
          </w:p>
        </w:tc>
        <w:tc>
          <w:tcPr>
            <w:tcW w:w="5" w:type="pct"/>
            <w:shd w:val="clear" w:color="auto" w:fill="auto"/>
          </w:tcPr>
          <w:p w14:paraId="7E78558B" w14:textId="77777777" w:rsidR="00A82082" w:rsidRDefault="00A82082">
            <w:pPr>
              <w:rPr>
                <w:rFonts w:ascii="宋体"/>
              </w:rPr>
            </w:pPr>
          </w:p>
        </w:tc>
        <w:tc>
          <w:tcPr>
            <w:tcW w:w="5" w:type="pct"/>
            <w:shd w:val="clear" w:color="auto" w:fill="auto"/>
          </w:tcPr>
          <w:p w14:paraId="7E78558C" w14:textId="77777777" w:rsidR="00A82082" w:rsidRDefault="00A82082">
            <w:pPr>
              <w:rPr>
                <w:rFonts w:ascii="宋体"/>
              </w:rPr>
            </w:pPr>
          </w:p>
        </w:tc>
        <w:tc>
          <w:tcPr>
            <w:tcW w:w="26" w:type="pct"/>
            <w:shd w:val="clear" w:color="auto" w:fill="auto"/>
          </w:tcPr>
          <w:p w14:paraId="7E78558D" w14:textId="77777777" w:rsidR="00A82082" w:rsidRDefault="00A82082">
            <w:pPr>
              <w:rPr>
                <w:rFonts w:ascii="宋体"/>
              </w:rPr>
            </w:pPr>
          </w:p>
        </w:tc>
        <w:tc>
          <w:tcPr>
            <w:tcW w:w="5" w:type="pct"/>
            <w:shd w:val="clear" w:color="auto" w:fill="auto"/>
          </w:tcPr>
          <w:p w14:paraId="7E78558E" w14:textId="77777777" w:rsidR="00A82082" w:rsidRDefault="00A82082">
            <w:pPr>
              <w:rPr>
                <w:rFonts w:ascii="宋体"/>
              </w:rPr>
            </w:pPr>
          </w:p>
        </w:tc>
        <w:tc>
          <w:tcPr>
            <w:tcW w:w="50" w:type="pct"/>
            <w:shd w:val="clear" w:color="auto" w:fill="auto"/>
          </w:tcPr>
          <w:p w14:paraId="7E78558F" w14:textId="77777777" w:rsidR="00A82082" w:rsidRDefault="00A82082">
            <w:pPr>
              <w:rPr>
                <w:rFonts w:ascii="宋体"/>
              </w:rPr>
            </w:pPr>
          </w:p>
        </w:tc>
        <w:tc>
          <w:tcPr>
            <w:tcW w:w="523" w:type="pct"/>
            <w:shd w:val="clear" w:color="auto" w:fill="auto"/>
          </w:tcPr>
          <w:p w14:paraId="7E785590" w14:textId="77777777" w:rsidR="00A82082" w:rsidRDefault="00A82082">
            <w:pPr>
              <w:rPr>
                <w:rFonts w:ascii="宋体"/>
              </w:rPr>
            </w:pPr>
          </w:p>
        </w:tc>
        <w:tc>
          <w:tcPr>
            <w:tcW w:w="5" w:type="pct"/>
            <w:shd w:val="clear" w:color="auto" w:fill="auto"/>
          </w:tcPr>
          <w:p w14:paraId="7E785591" w14:textId="77777777" w:rsidR="00A82082" w:rsidRDefault="00A82082">
            <w:pPr>
              <w:rPr>
                <w:rFonts w:ascii="宋体"/>
              </w:rPr>
            </w:pPr>
          </w:p>
        </w:tc>
        <w:tc>
          <w:tcPr>
            <w:tcW w:w="5" w:type="pct"/>
            <w:shd w:val="clear" w:color="auto" w:fill="auto"/>
          </w:tcPr>
          <w:p w14:paraId="7E785592" w14:textId="77777777" w:rsidR="00A82082" w:rsidRDefault="00A82082">
            <w:pPr>
              <w:rPr>
                <w:rFonts w:ascii="宋体"/>
              </w:rPr>
            </w:pPr>
          </w:p>
        </w:tc>
        <w:tc>
          <w:tcPr>
            <w:tcW w:w="26" w:type="pct"/>
            <w:shd w:val="clear" w:color="auto" w:fill="auto"/>
          </w:tcPr>
          <w:p w14:paraId="7E785593" w14:textId="77777777" w:rsidR="00A82082" w:rsidRDefault="00A82082">
            <w:pPr>
              <w:rPr>
                <w:rFonts w:ascii="宋体"/>
              </w:rPr>
            </w:pPr>
          </w:p>
        </w:tc>
        <w:tc>
          <w:tcPr>
            <w:tcW w:w="5" w:type="pct"/>
            <w:shd w:val="clear" w:color="auto" w:fill="auto"/>
          </w:tcPr>
          <w:p w14:paraId="7E785594" w14:textId="77777777" w:rsidR="00A82082" w:rsidRDefault="00A82082">
            <w:pPr>
              <w:rPr>
                <w:rFonts w:ascii="宋体"/>
              </w:rPr>
            </w:pPr>
          </w:p>
        </w:tc>
        <w:tc>
          <w:tcPr>
            <w:tcW w:w="50" w:type="pct"/>
            <w:shd w:val="clear" w:color="auto" w:fill="auto"/>
          </w:tcPr>
          <w:p w14:paraId="7E785595" w14:textId="77777777" w:rsidR="00A82082" w:rsidRDefault="00A82082">
            <w:pPr>
              <w:rPr>
                <w:rFonts w:ascii="宋体"/>
              </w:rPr>
            </w:pPr>
          </w:p>
        </w:tc>
        <w:tc>
          <w:tcPr>
            <w:tcW w:w="523" w:type="pct"/>
            <w:shd w:val="clear" w:color="auto" w:fill="auto"/>
          </w:tcPr>
          <w:p w14:paraId="7E785596" w14:textId="77777777" w:rsidR="00A82082" w:rsidRDefault="00A82082">
            <w:pPr>
              <w:rPr>
                <w:rFonts w:ascii="宋体"/>
              </w:rPr>
            </w:pPr>
          </w:p>
        </w:tc>
        <w:tc>
          <w:tcPr>
            <w:tcW w:w="5" w:type="pct"/>
            <w:shd w:val="clear" w:color="auto" w:fill="auto"/>
          </w:tcPr>
          <w:p w14:paraId="7E785597" w14:textId="77777777" w:rsidR="00A82082" w:rsidRDefault="00A82082">
            <w:pPr>
              <w:rPr>
                <w:rFonts w:ascii="宋体"/>
              </w:rPr>
            </w:pPr>
          </w:p>
        </w:tc>
        <w:tc>
          <w:tcPr>
            <w:tcW w:w="5" w:type="pct"/>
            <w:shd w:val="clear" w:color="auto" w:fill="auto"/>
          </w:tcPr>
          <w:p w14:paraId="7E785598" w14:textId="77777777" w:rsidR="00A82082" w:rsidRDefault="00A82082">
            <w:pPr>
              <w:rPr>
                <w:rFonts w:ascii="宋体"/>
              </w:rPr>
            </w:pPr>
          </w:p>
        </w:tc>
        <w:tc>
          <w:tcPr>
            <w:tcW w:w="26" w:type="pct"/>
            <w:shd w:val="clear" w:color="auto" w:fill="auto"/>
          </w:tcPr>
          <w:p w14:paraId="7E785599" w14:textId="77777777" w:rsidR="00A82082" w:rsidRDefault="00A82082">
            <w:pPr>
              <w:rPr>
                <w:rFonts w:ascii="宋体"/>
              </w:rPr>
            </w:pPr>
          </w:p>
        </w:tc>
        <w:tc>
          <w:tcPr>
            <w:tcW w:w="5" w:type="pct"/>
            <w:shd w:val="clear" w:color="auto" w:fill="auto"/>
          </w:tcPr>
          <w:p w14:paraId="7E78559A" w14:textId="77777777" w:rsidR="00A82082" w:rsidRDefault="00A82082">
            <w:pPr>
              <w:rPr>
                <w:rFonts w:ascii="宋体"/>
              </w:rPr>
            </w:pPr>
          </w:p>
        </w:tc>
        <w:tc>
          <w:tcPr>
            <w:tcW w:w="50" w:type="pct"/>
            <w:shd w:val="clear" w:color="auto" w:fill="auto"/>
          </w:tcPr>
          <w:p w14:paraId="7E78559B" w14:textId="77777777" w:rsidR="00A82082" w:rsidRDefault="00A82082">
            <w:pPr>
              <w:rPr>
                <w:rFonts w:ascii="宋体"/>
              </w:rPr>
            </w:pPr>
          </w:p>
        </w:tc>
        <w:tc>
          <w:tcPr>
            <w:tcW w:w="523" w:type="pct"/>
            <w:shd w:val="clear" w:color="auto" w:fill="auto"/>
          </w:tcPr>
          <w:p w14:paraId="7E78559C" w14:textId="77777777" w:rsidR="00A82082" w:rsidRDefault="00A82082">
            <w:pPr>
              <w:rPr>
                <w:rFonts w:ascii="宋体"/>
              </w:rPr>
            </w:pPr>
          </w:p>
        </w:tc>
        <w:tc>
          <w:tcPr>
            <w:tcW w:w="5" w:type="pct"/>
            <w:shd w:val="clear" w:color="auto" w:fill="auto"/>
          </w:tcPr>
          <w:p w14:paraId="7E78559D" w14:textId="77777777" w:rsidR="00A82082" w:rsidRDefault="00A82082">
            <w:pPr>
              <w:rPr>
                <w:rFonts w:ascii="宋体"/>
              </w:rPr>
            </w:pPr>
          </w:p>
        </w:tc>
        <w:tc>
          <w:tcPr>
            <w:tcW w:w="5" w:type="pct"/>
            <w:shd w:val="clear" w:color="auto" w:fill="auto"/>
          </w:tcPr>
          <w:p w14:paraId="7E78559E" w14:textId="77777777" w:rsidR="00A82082" w:rsidRDefault="00A82082">
            <w:pPr>
              <w:rPr>
                <w:rFonts w:ascii="宋体"/>
              </w:rPr>
            </w:pPr>
          </w:p>
        </w:tc>
        <w:tc>
          <w:tcPr>
            <w:tcW w:w="26" w:type="pct"/>
            <w:shd w:val="clear" w:color="auto" w:fill="auto"/>
          </w:tcPr>
          <w:p w14:paraId="7E78559F" w14:textId="77777777" w:rsidR="00A82082" w:rsidRDefault="00A82082">
            <w:pPr>
              <w:rPr>
                <w:rFonts w:ascii="宋体"/>
              </w:rPr>
            </w:pPr>
          </w:p>
        </w:tc>
        <w:tc>
          <w:tcPr>
            <w:tcW w:w="5" w:type="pct"/>
            <w:shd w:val="clear" w:color="auto" w:fill="auto"/>
          </w:tcPr>
          <w:p w14:paraId="7E7855A0" w14:textId="77777777" w:rsidR="00A82082" w:rsidRDefault="00A82082">
            <w:pPr>
              <w:rPr>
                <w:rFonts w:ascii="宋体"/>
              </w:rPr>
            </w:pPr>
          </w:p>
        </w:tc>
        <w:tc>
          <w:tcPr>
            <w:tcW w:w="50" w:type="pct"/>
            <w:shd w:val="clear" w:color="auto" w:fill="auto"/>
          </w:tcPr>
          <w:p w14:paraId="7E7855A1" w14:textId="77777777" w:rsidR="00A82082" w:rsidRDefault="00A82082">
            <w:pPr>
              <w:rPr>
                <w:rFonts w:ascii="宋体"/>
              </w:rPr>
            </w:pPr>
          </w:p>
        </w:tc>
        <w:tc>
          <w:tcPr>
            <w:tcW w:w="523" w:type="pct"/>
            <w:shd w:val="clear" w:color="auto" w:fill="auto"/>
          </w:tcPr>
          <w:p w14:paraId="7E7855A2" w14:textId="77777777" w:rsidR="00A82082" w:rsidRDefault="00A82082">
            <w:pPr>
              <w:rPr>
                <w:rFonts w:ascii="宋体"/>
              </w:rPr>
            </w:pPr>
          </w:p>
        </w:tc>
        <w:tc>
          <w:tcPr>
            <w:tcW w:w="5" w:type="pct"/>
            <w:shd w:val="clear" w:color="auto" w:fill="auto"/>
          </w:tcPr>
          <w:p w14:paraId="7E7855A3" w14:textId="77777777" w:rsidR="00A82082" w:rsidRDefault="00A82082">
            <w:pPr>
              <w:rPr>
                <w:rFonts w:ascii="宋体"/>
              </w:rPr>
            </w:pPr>
          </w:p>
        </w:tc>
      </w:tr>
      <w:tr w:rsidR="00A82082" w14:paraId="7E7855AA" w14:textId="77777777">
        <w:trPr>
          <w:jc w:val="center"/>
        </w:trPr>
        <w:tc>
          <w:tcPr>
            <w:tcW w:w="0" w:type="auto"/>
            <w:gridSpan w:val="3"/>
            <w:shd w:val="clear" w:color="auto" w:fill="auto"/>
            <w:tcMar>
              <w:top w:w="40" w:type="dxa"/>
              <w:left w:w="20" w:type="dxa"/>
              <w:bottom w:w="40" w:type="dxa"/>
              <w:right w:w="20" w:type="dxa"/>
            </w:tcMar>
            <w:vAlign w:val="bottom"/>
          </w:tcPr>
          <w:p w14:paraId="7E7855A5"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5A6"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5A7"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5A8"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5A9"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r>
      <w:tr w:rsidR="00A82082" w14:paraId="7E7855B4" w14:textId="77777777">
        <w:trPr>
          <w:jc w:val="center"/>
        </w:trPr>
        <w:tc>
          <w:tcPr>
            <w:tcW w:w="0" w:type="auto"/>
            <w:gridSpan w:val="3"/>
            <w:shd w:val="clear" w:color="auto" w:fill="auto"/>
            <w:tcMar>
              <w:top w:w="40" w:type="dxa"/>
              <w:left w:w="20" w:type="dxa"/>
              <w:bottom w:w="40" w:type="dxa"/>
              <w:right w:w="20" w:type="dxa"/>
            </w:tcMar>
            <w:vAlign w:val="bottom"/>
          </w:tcPr>
          <w:p w14:paraId="7E7855AB" w14:textId="77777777" w:rsidR="00A82082" w:rsidRDefault="00E946F9">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tcPr>
          <w:p w14:paraId="7E7855AC"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5AD"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5A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5AF"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5B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5B1"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5B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5B3"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5C6" w14:textId="77777777">
        <w:trPr>
          <w:jc w:val="center"/>
        </w:trPr>
        <w:tc>
          <w:tcPr>
            <w:tcW w:w="0" w:type="auto"/>
            <w:gridSpan w:val="3"/>
            <w:shd w:val="clear" w:color="auto" w:fill="CCEEFF"/>
            <w:tcMar>
              <w:top w:w="40" w:type="dxa"/>
              <w:left w:w="380" w:type="dxa"/>
              <w:bottom w:w="40" w:type="dxa"/>
              <w:right w:w="20" w:type="dxa"/>
            </w:tcMar>
            <w:vAlign w:val="center"/>
          </w:tcPr>
          <w:p w14:paraId="7E7855B5" w14:textId="77777777" w:rsidR="00A82082" w:rsidRDefault="00E946F9">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tcPr>
          <w:p w14:paraId="7E7855B6"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B7"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B8" w14:textId="77777777" w:rsidR="00A82082" w:rsidRDefault="00E946F9">
            <w:pPr>
              <w:jc w:val="right"/>
              <w:textAlignment w:val="bottom"/>
            </w:pPr>
            <w:r>
              <w:rPr>
                <w:rFonts w:ascii="Times New Roman" w:eastAsia="宋体" w:hAnsi="Times New Roman"/>
                <w:color w:val="000000"/>
                <w:sz w:val="16"/>
                <w:szCs w:val="16"/>
              </w:rPr>
              <w:t>10,450 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B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BA"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BB"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BC" w14:textId="77777777" w:rsidR="00A82082" w:rsidRDefault="00E946F9">
            <w:pPr>
              <w:jc w:val="right"/>
              <w:textAlignment w:val="bottom"/>
            </w:pPr>
            <w:r>
              <w:rPr>
                <w:rFonts w:ascii="Times New Roman" w:eastAsia="宋体" w:hAnsi="Times New Roman"/>
                <w:color w:val="000000"/>
                <w:sz w:val="16"/>
                <w:szCs w:val="16"/>
              </w:rPr>
              <w:t>8,900 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B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BE"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BF"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C0" w14:textId="77777777" w:rsidR="00A82082" w:rsidRDefault="00E946F9">
            <w:pPr>
              <w:jc w:val="right"/>
              <w:textAlignment w:val="bottom"/>
            </w:pPr>
            <w:r>
              <w:rPr>
                <w:rFonts w:ascii="Times New Roman" w:eastAsia="宋体" w:hAnsi="Times New Roman"/>
                <w:color w:val="000000"/>
                <w:sz w:val="16"/>
                <w:szCs w:val="16"/>
              </w:rPr>
              <w:t>31,526 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C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C2"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7855C3" w14:textId="77777777" w:rsidR="00A82082" w:rsidRDefault="00E946F9">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7855C4" w14:textId="77777777" w:rsidR="00A82082" w:rsidRDefault="00E946F9">
            <w:pPr>
              <w:jc w:val="right"/>
              <w:textAlignment w:val="bottom"/>
            </w:pPr>
            <w:r>
              <w:rPr>
                <w:rFonts w:ascii="Times New Roman" w:eastAsia="宋体" w:hAnsi="Times New Roman"/>
                <w:color w:val="000000"/>
                <w:sz w:val="16"/>
                <w:szCs w:val="16"/>
              </w:rPr>
              <w:t>26,151 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7855C5" w14:textId="77777777" w:rsidR="00A82082" w:rsidRDefault="00A82082">
            <w:pPr>
              <w:jc w:val="right"/>
              <w:rPr>
                <w:rFonts w:ascii="宋体"/>
              </w:rPr>
            </w:pPr>
          </w:p>
        </w:tc>
      </w:tr>
      <w:tr w:rsidR="00A82082" w14:paraId="7E7855D4" w14:textId="77777777">
        <w:trPr>
          <w:jc w:val="center"/>
        </w:trPr>
        <w:tc>
          <w:tcPr>
            <w:tcW w:w="0" w:type="auto"/>
            <w:gridSpan w:val="3"/>
            <w:shd w:val="clear" w:color="auto" w:fill="FFFFFF"/>
            <w:tcMar>
              <w:top w:w="40" w:type="dxa"/>
              <w:left w:w="380" w:type="dxa"/>
              <w:bottom w:w="40" w:type="dxa"/>
              <w:right w:w="20" w:type="dxa"/>
            </w:tcMar>
            <w:vAlign w:val="center"/>
          </w:tcPr>
          <w:p w14:paraId="7E7855C7" w14:textId="77777777" w:rsidR="00A82082" w:rsidRDefault="00E946F9">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tcPr>
          <w:p w14:paraId="7E7855C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C9" w14:textId="77777777" w:rsidR="00A82082" w:rsidRDefault="00E946F9">
            <w:pPr>
              <w:jc w:val="right"/>
              <w:textAlignment w:val="center"/>
            </w:pPr>
            <w:r>
              <w:rPr>
                <w:rFonts w:ascii="Times New Roman" w:eastAsia="宋体" w:hAnsi="Times New Roman"/>
                <w:color w:val="000000"/>
                <w:sz w:val="16"/>
                <w:szCs w:val="16"/>
              </w:rPr>
              <w:t>1,942 </w:t>
            </w:r>
          </w:p>
        </w:tc>
        <w:tc>
          <w:tcPr>
            <w:tcW w:w="0" w:type="auto"/>
            <w:shd w:val="clear" w:color="auto" w:fill="FFFFFF"/>
            <w:tcMar>
              <w:top w:w="40" w:type="dxa"/>
              <w:left w:w="0" w:type="dxa"/>
              <w:bottom w:w="40" w:type="dxa"/>
              <w:right w:w="20" w:type="dxa"/>
            </w:tcMar>
            <w:vAlign w:val="center"/>
          </w:tcPr>
          <w:p w14:paraId="7E7855C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C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CC" w14:textId="77777777" w:rsidR="00A82082" w:rsidRDefault="00E946F9">
            <w:pPr>
              <w:jc w:val="right"/>
              <w:textAlignment w:val="center"/>
            </w:pPr>
            <w:r>
              <w:rPr>
                <w:rFonts w:ascii="Times New Roman" w:eastAsia="宋体" w:hAnsi="Times New Roman"/>
                <w:color w:val="000000"/>
                <w:sz w:val="16"/>
                <w:szCs w:val="16"/>
              </w:rPr>
              <w:t>2,646 </w:t>
            </w:r>
          </w:p>
        </w:tc>
        <w:tc>
          <w:tcPr>
            <w:tcW w:w="0" w:type="auto"/>
            <w:shd w:val="clear" w:color="auto" w:fill="FFFFFF"/>
            <w:tcMar>
              <w:top w:w="40" w:type="dxa"/>
              <w:left w:w="0" w:type="dxa"/>
              <w:bottom w:w="40" w:type="dxa"/>
              <w:right w:w="20" w:type="dxa"/>
            </w:tcMar>
            <w:vAlign w:val="center"/>
          </w:tcPr>
          <w:p w14:paraId="7E7855C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C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CF" w14:textId="77777777" w:rsidR="00A82082" w:rsidRDefault="00E946F9">
            <w:pPr>
              <w:jc w:val="right"/>
              <w:textAlignment w:val="center"/>
            </w:pPr>
            <w:r>
              <w:rPr>
                <w:rFonts w:ascii="Times New Roman" w:eastAsia="宋体" w:hAnsi="Times New Roman"/>
                <w:color w:val="000000"/>
                <w:sz w:val="16"/>
                <w:szCs w:val="16"/>
              </w:rPr>
              <w:t>6,023 </w:t>
            </w:r>
          </w:p>
        </w:tc>
        <w:tc>
          <w:tcPr>
            <w:tcW w:w="0" w:type="auto"/>
            <w:shd w:val="clear" w:color="auto" w:fill="FFFFFF"/>
            <w:tcMar>
              <w:top w:w="40" w:type="dxa"/>
              <w:left w:w="0" w:type="dxa"/>
              <w:bottom w:w="40" w:type="dxa"/>
              <w:right w:w="20" w:type="dxa"/>
            </w:tcMar>
            <w:vAlign w:val="center"/>
          </w:tcPr>
          <w:p w14:paraId="7E7855D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D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D2" w14:textId="77777777" w:rsidR="00A82082" w:rsidRDefault="00E946F9">
            <w:pPr>
              <w:jc w:val="right"/>
              <w:textAlignment w:val="center"/>
            </w:pPr>
            <w:r>
              <w:rPr>
                <w:rFonts w:ascii="Times New Roman" w:eastAsia="宋体" w:hAnsi="Times New Roman"/>
                <w:color w:val="000000"/>
                <w:sz w:val="16"/>
                <w:szCs w:val="16"/>
              </w:rPr>
              <w:t>8,127 </w:t>
            </w:r>
          </w:p>
        </w:tc>
        <w:tc>
          <w:tcPr>
            <w:tcW w:w="0" w:type="auto"/>
            <w:shd w:val="clear" w:color="auto" w:fill="FFFFFF"/>
            <w:tcMar>
              <w:top w:w="40" w:type="dxa"/>
              <w:left w:w="0" w:type="dxa"/>
              <w:bottom w:w="40" w:type="dxa"/>
              <w:right w:w="20" w:type="dxa"/>
            </w:tcMar>
            <w:vAlign w:val="center"/>
          </w:tcPr>
          <w:p w14:paraId="7E7855D3" w14:textId="77777777" w:rsidR="00A82082" w:rsidRDefault="00A82082">
            <w:pPr>
              <w:jc w:val="right"/>
              <w:rPr>
                <w:rFonts w:ascii="宋体"/>
              </w:rPr>
            </w:pPr>
          </w:p>
        </w:tc>
      </w:tr>
      <w:tr w:rsidR="00A82082" w14:paraId="7E7855E2" w14:textId="77777777">
        <w:trPr>
          <w:jc w:val="center"/>
        </w:trPr>
        <w:tc>
          <w:tcPr>
            <w:tcW w:w="0" w:type="auto"/>
            <w:gridSpan w:val="3"/>
            <w:shd w:val="clear" w:color="auto" w:fill="CCEEFF"/>
            <w:tcMar>
              <w:top w:w="40" w:type="dxa"/>
              <w:left w:w="380" w:type="dxa"/>
              <w:bottom w:w="40" w:type="dxa"/>
              <w:right w:w="20" w:type="dxa"/>
            </w:tcMar>
            <w:vAlign w:val="center"/>
          </w:tcPr>
          <w:p w14:paraId="7E7855D5" w14:textId="77777777" w:rsidR="00A82082" w:rsidRDefault="00E946F9">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tcPr>
          <w:p w14:paraId="7E7855D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D7" w14:textId="77777777" w:rsidR="00A82082" w:rsidRDefault="00E946F9">
            <w:pPr>
              <w:jc w:val="right"/>
              <w:textAlignment w:val="center"/>
            </w:pPr>
            <w:r>
              <w:rPr>
                <w:rFonts w:ascii="Times New Roman" w:eastAsia="宋体" w:hAnsi="Times New Roman"/>
                <w:color w:val="000000"/>
                <w:sz w:val="16"/>
                <w:szCs w:val="16"/>
              </w:rPr>
              <w:t>1,693 </w:t>
            </w:r>
          </w:p>
        </w:tc>
        <w:tc>
          <w:tcPr>
            <w:tcW w:w="0" w:type="auto"/>
            <w:shd w:val="clear" w:color="auto" w:fill="CCEEFF"/>
            <w:tcMar>
              <w:top w:w="40" w:type="dxa"/>
              <w:left w:w="0" w:type="dxa"/>
              <w:bottom w:w="40" w:type="dxa"/>
              <w:right w:w="20" w:type="dxa"/>
            </w:tcMar>
            <w:vAlign w:val="center"/>
          </w:tcPr>
          <w:p w14:paraId="7E7855D8"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D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DA" w14:textId="77777777" w:rsidR="00A82082" w:rsidRDefault="00E946F9">
            <w:pPr>
              <w:jc w:val="right"/>
              <w:textAlignment w:val="center"/>
            </w:pPr>
            <w:r>
              <w:rPr>
                <w:rFonts w:ascii="Times New Roman" w:eastAsia="宋体" w:hAnsi="Times New Roman"/>
                <w:color w:val="000000"/>
                <w:sz w:val="16"/>
                <w:szCs w:val="16"/>
              </w:rPr>
              <w:t>1,532 </w:t>
            </w:r>
          </w:p>
        </w:tc>
        <w:tc>
          <w:tcPr>
            <w:tcW w:w="0" w:type="auto"/>
            <w:shd w:val="clear" w:color="auto" w:fill="CCEEFF"/>
            <w:tcMar>
              <w:top w:w="40" w:type="dxa"/>
              <w:left w:w="0" w:type="dxa"/>
              <w:bottom w:w="40" w:type="dxa"/>
              <w:right w:w="20" w:type="dxa"/>
            </w:tcMar>
            <w:vAlign w:val="center"/>
          </w:tcPr>
          <w:p w14:paraId="7E7855D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D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DD" w14:textId="77777777" w:rsidR="00A82082" w:rsidRDefault="00E946F9">
            <w:pPr>
              <w:jc w:val="right"/>
              <w:textAlignment w:val="center"/>
            </w:pPr>
            <w:r>
              <w:rPr>
                <w:rFonts w:ascii="Times New Roman" w:eastAsia="宋体" w:hAnsi="Times New Roman"/>
                <w:color w:val="000000"/>
                <w:sz w:val="16"/>
                <w:szCs w:val="16"/>
              </w:rPr>
              <w:t>4,926 </w:t>
            </w:r>
          </w:p>
        </w:tc>
        <w:tc>
          <w:tcPr>
            <w:tcW w:w="0" w:type="auto"/>
            <w:shd w:val="clear" w:color="auto" w:fill="CCEEFF"/>
            <w:tcMar>
              <w:top w:w="40" w:type="dxa"/>
              <w:left w:w="0" w:type="dxa"/>
              <w:bottom w:w="40" w:type="dxa"/>
              <w:right w:w="20" w:type="dxa"/>
            </w:tcMar>
            <w:vAlign w:val="center"/>
          </w:tcPr>
          <w:p w14:paraId="7E7855D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D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E0" w14:textId="77777777" w:rsidR="00A82082" w:rsidRDefault="00E946F9">
            <w:pPr>
              <w:jc w:val="right"/>
              <w:textAlignment w:val="center"/>
            </w:pPr>
            <w:r>
              <w:rPr>
                <w:rFonts w:ascii="Times New Roman" w:eastAsia="宋体" w:hAnsi="Times New Roman"/>
                <w:color w:val="000000"/>
                <w:sz w:val="16"/>
                <w:szCs w:val="16"/>
              </w:rPr>
              <w:t>4,725 </w:t>
            </w:r>
          </w:p>
        </w:tc>
        <w:tc>
          <w:tcPr>
            <w:tcW w:w="0" w:type="auto"/>
            <w:shd w:val="clear" w:color="auto" w:fill="CCEEFF"/>
            <w:tcMar>
              <w:top w:w="40" w:type="dxa"/>
              <w:left w:w="0" w:type="dxa"/>
              <w:bottom w:w="40" w:type="dxa"/>
              <w:right w:w="20" w:type="dxa"/>
            </w:tcMar>
            <w:vAlign w:val="center"/>
          </w:tcPr>
          <w:p w14:paraId="7E7855E1" w14:textId="77777777" w:rsidR="00A82082" w:rsidRDefault="00A82082">
            <w:pPr>
              <w:jc w:val="right"/>
              <w:rPr>
                <w:rFonts w:ascii="宋体"/>
              </w:rPr>
            </w:pPr>
          </w:p>
        </w:tc>
      </w:tr>
      <w:tr w:rsidR="00A82082" w14:paraId="7E7855F0" w14:textId="77777777">
        <w:trPr>
          <w:jc w:val="center"/>
        </w:trPr>
        <w:tc>
          <w:tcPr>
            <w:tcW w:w="0" w:type="auto"/>
            <w:gridSpan w:val="3"/>
            <w:shd w:val="clear" w:color="auto" w:fill="FFFFFF"/>
            <w:tcMar>
              <w:top w:w="40" w:type="dxa"/>
              <w:left w:w="380" w:type="dxa"/>
              <w:bottom w:w="40" w:type="dxa"/>
              <w:right w:w="20" w:type="dxa"/>
            </w:tcMar>
            <w:vAlign w:val="center"/>
          </w:tcPr>
          <w:p w14:paraId="7E7855E3" w14:textId="77777777" w:rsidR="00A82082" w:rsidRDefault="00E946F9">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tcPr>
          <w:p w14:paraId="7E7855E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E5" w14:textId="77777777" w:rsidR="00A82082" w:rsidRDefault="00E946F9">
            <w:pPr>
              <w:jc w:val="right"/>
              <w:textAlignment w:val="center"/>
            </w:pPr>
            <w:r>
              <w:rPr>
                <w:rFonts w:ascii="Times New Roman" w:eastAsia="宋体" w:hAnsi="Times New Roman"/>
                <w:color w:val="000000"/>
                <w:sz w:val="16"/>
                <w:szCs w:val="16"/>
              </w:rPr>
              <w:t>1,017 </w:t>
            </w:r>
          </w:p>
        </w:tc>
        <w:tc>
          <w:tcPr>
            <w:tcW w:w="0" w:type="auto"/>
            <w:shd w:val="clear" w:color="auto" w:fill="FFFFFF"/>
            <w:tcMar>
              <w:top w:w="40" w:type="dxa"/>
              <w:left w:w="0" w:type="dxa"/>
              <w:bottom w:w="40" w:type="dxa"/>
              <w:right w:w="20" w:type="dxa"/>
            </w:tcMar>
            <w:vAlign w:val="center"/>
          </w:tcPr>
          <w:p w14:paraId="7E7855E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E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E8" w14:textId="77777777" w:rsidR="00A82082" w:rsidRDefault="00E946F9">
            <w:pPr>
              <w:jc w:val="right"/>
              <w:textAlignment w:val="center"/>
            </w:pPr>
            <w:r>
              <w:rPr>
                <w:rFonts w:ascii="Times New Roman" w:eastAsia="宋体" w:hAnsi="Times New Roman"/>
                <w:color w:val="000000"/>
                <w:sz w:val="16"/>
                <w:szCs w:val="16"/>
              </w:rPr>
              <w:t>858 </w:t>
            </w:r>
          </w:p>
        </w:tc>
        <w:tc>
          <w:tcPr>
            <w:tcW w:w="0" w:type="auto"/>
            <w:shd w:val="clear" w:color="auto" w:fill="FFFFFF"/>
            <w:tcMar>
              <w:top w:w="40" w:type="dxa"/>
              <w:left w:w="0" w:type="dxa"/>
              <w:bottom w:w="40" w:type="dxa"/>
              <w:right w:w="20" w:type="dxa"/>
            </w:tcMar>
            <w:vAlign w:val="center"/>
          </w:tcPr>
          <w:p w14:paraId="7E7855E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E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EB" w14:textId="77777777" w:rsidR="00A82082" w:rsidRDefault="00E946F9">
            <w:pPr>
              <w:jc w:val="right"/>
              <w:textAlignment w:val="center"/>
            </w:pPr>
            <w:r>
              <w:rPr>
                <w:rFonts w:ascii="Times New Roman" w:eastAsia="宋体" w:hAnsi="Times New Roman"/>
                <w:color w:val="000000"/>
                <w:sz w:val="16"/>
                <w:szCs w:val="16"/>
              </w:rPr>
              <w:t>2,849 </w:t>
            </w:r>
          </w:p>
        </w:tc>
        <w:tc>
          <w:tcPr>
            <w:tcW w:w="0" w:type="auto"/>
            <w:shd w:val="clear" w:color="auto" w:fill="FFFFFF"/>
            <w:tcMar>
              <w:top w:w="40" w:type="dxa"/>
              <w:left w:w="0" w:type="dxa"/>
              <w:bottom w:w="40" w:type="dxa"/>
              <w:right w:w="20" w:type="dxa"/>
            </w:tcMar>
            <w:vAlign w:val="center"/>
          </w:tcPr>
          <w:p w14:paraId="7E7855E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5E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5EE" w14:textId="77777777" w:rsidR="00A82082" w:rsidRDefault="00E946F9">
            <w:pPr>
              <w:jc w:val="right"/>
              <w:textAlignment w:val="center"/>
            </w:pPr>
            <w:r>
              <w:rPr>
                <w:rFonts w:ascii="Times New Roman" w:eastAsia="宋体" w:hAnsi="Times New Roman"/>
                <w:color w:val="000000"/>
                <w:sz w:val="16"/>
                <w:szCs w:val="16"/>
              </w:rPr>
              <w:t>2,527 </w:t>
            </w:r>
          </w:p>
        </w:tc>
        <w:tc>
          <w:tcPr>
            <w:tcW w:w="0" w:type="auto"/>
            <w:shd w:val="clear" w:color="auto" w:fill="FFFFFF"/>
            <w:tcMar>
              <w:top w:w="40" w:type="dxa"/>
              <w:left w:w="0" w:type="dxa"/>
              <w:bottom w:w="40" w:type="dxa"/>
              <w:right w:w="20" w:type="dxa"/>
            </w:tcMar>
            <w:vAlign w:val="center"/>
          </w:tcPr>
          <w:p w14:paraId="7E7855EF" w14:textId="77777777" w:rsidR="00A82082" w:rsidRDefault="00A82082">
            <w:pPr>
              <w:jc w:val="right"/>
              <w:rPr>
                <w:rFonts w:ascii="宋体"/>
              </w:rPr>
            </w:pPr>
          </w:p>
        </w:tc>
      </w:tr>
      <w:tr w:rsidR="00A82082" w14:paraId="7E7855FE" w14:textId="77777777">
        <w:trPr>
          <w:jc w:val="center"/>
        </w:trPr>
        <w:tc>
          <w:tcPr>
            <w:tcW w:w="0" w:type="auto"/>
            <w:gridSpan w:val="3"/>
            <w:shd w:val="clear" w:color="auto" w:fill="CCEEFF"/>
            <w:tcMar>
              <w:top w:w="40" w:type="dxa"/>
              <w:left w:w="380" w:type="dxa"/>
              <w:bottom w:w="40" w:type="dxa"/>
              <w:right w:w="20" w:type="dxa"/>
            </w:tcMar>
            <w:vAlign w:val="center"/>
          </w:tcPr>
          <w:p w14:paraId="7E7855F1" w14:textId="77777777" w:rsidR="00A82082" w:rsidRDefault="00E946F9">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tcPr>
          <w:p w14:paraId="7E7855F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F3" w14:textId="77777777" w:rsidR="00A82082" w:rsidRDefault="00E946F9">
            <w:pPr>
              <w:jc w:val="right"/>
              <w:textAlignment w:val="center"/>
            </w:pPr>
            <w:r>
              <w:rPr>
                <w:rFonts w:ascii="Times New Roman" w:eastAsia="宋体" w:hAnsi="Times New Roman"/>
                <w:color w:val="000000"/>
                <w:sz w:val="16"/>
                <w:szCs w:val="16"/>
              </w:rPr>
              <w:t>743 </w:t>
            </w:r>
          </w:p>
        </w:tc>
        <w:tc>
          <w:tcPr>
            <w:tcW w:w="0" w:type="auto"/>
            <w:shd w:val="clear" w:color="auto" w:fill="CCEEFF"/>
            <w:tcMar>
              <w:top w:w="40" w:type="dxa"/>
              <w:left w:w="0" w:type="dxa"/>
              <w:bottom w:w="40" w:type="dxa"/>
              <w:right w:w="20" w:type="dxa"/>
            </w:tcMar>
            <w:vAlign w:val="center"/>
          </w:tcPr>
          <w:p w14:paraId="7E7855F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F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F6" w14:textId="77777777" w:rsidR="00A82082" w:rsidRDefault="00E946F9">
            <w:pPr>
              <w:jc w:val="right"/>
              <w:textAlignment w:val="center"/>
            </w:pPr>
            <w:r>
              <w:rPr>
                <w:rFonts w:ascii="Times New Roman" w:eastAsia="宋体" w:hAnsi="Times New Roman"/>
                <w:color w:val="000000"/>
                <w:sz w:val="16"/>
                <w:szCs w:val="16"/>
              </w:rPr>
              <w:t>689 </w:t>
            </w:r>
          </w:p>
        </w:tc>
        <w:tc>
          <w:tcPr>
            <w:tcW w:w="0" w:type="auto"/>
            <w:shd w:val="clear" w:color="auto" w:fill="CCEEFF"/>
            <w:tcMar>
              <w:top w:w="40" w:type="dxa"/>
              <w:left w:w="0" w:type="dxa"/>
              <w:bottom w:w="40" w:type="dxa"/>
              <w:right w:w="20" w:type="dxa"/>
            </w:tcMar>
            <w:vAlign w:val="center"/>
          </w:tcPr>
          <w:p w14:paraId="7E7855F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F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F9" w14:textId="77777777" w:rsidR="00A82082" w:rsidRDefault="00E946F9">
            <w:pPr>
              <w:jc w:val="right"/>
              <w:textAlignment w:val="center"/>
            </w:pPr>
            <w:r>
              <w:rPr>
                <w:rFonts w:ascii="Times New Roman" w:eastAsia="宋体" w:hAnsi="Times New Roman"/>
                <w:color w:val="000000"/>
                <w:sz w:val="16"/>
                <w:szCs w:val="16"/>
              </w:rPr>
              <w:t>2,059 </w:t>
            </w:r>
          </w:p>
        </w:tc>
        <w:tc>
          <w:tcPr>
            <w:tcW w:w="0" w:type="auto"/>
            <w:shd w:val="clear" w:color="auto" w:fill="CCEEFF"/>
            <w:tcMar>
              <w:top w:w="40" w:type="dxa"/>
              <w:left w:w="0" w:type="dxa"/>
              <w:bottom w:w="40" w:type="dxa"/>
              <w:right w:w="20" w:type="dxa"/>
            </w:tcMar>
            <w:vAlign w:val="center"/>
          </w:tcPr>
          <w:p w14:paraId="7E7855F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5F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5FC" w14:textId="77777777" w:rsidR="00A82082" w:rsidRDefault="00E946F9">
            <w:pPr>
              <w:jc w:val="right"/>
              <w:textAlignment w:val="center"/>
            </w:pPr>
            <w:r>
              <w:rPr>
                <w:rFonts w:ascii="Times New Roman" w:eastAsia="宋体" w:hAnsi="Times New Roman"/>
                <w:color w:val="000000"/>
                <w:sz w:val="16"/>
                <w:szCs w:val="16"/>
              </w:rPr>
              <w:t>1,974 </w:t>
            </w:r>
          </w:p>
        </w:tc>
        <w:tc>
          <w:tcPr>
            <w:tcW w:w="0" w:type="auto"/>
            <w:shd w:val="clear" w:color="auto" w:fill="CCEEFF"/>
            <w:tcMar>
              <w:top w:w="40" w:type="dxa"/>
              <w:left w:w="0" w:type="dxa"/>
              <w:bottom w:w="40" w:type="dxa"/>
              <w:right w:w="20" w:type="dxa"/>
            </w:tcMar>
            <w:vAlign w:val="center"/>
          </w:tcPr>
          <w:p w14:paraId="7E7855FD" w14:textId="77777777" w:rsidR="00A82082" w:rsidRDefault="00A82082">
            <w:pPr>
              <w:jc w:val="right"/>
              <w:rPr>
                <w:rFonts w:ascii="宋体"/>
              </w:rPr>
            </w:pPr>
          </w:p>
        </w:tc>
      </w:tr>
      <w:tr w:rsidR="00A82082" w14:paraId="7E785610" w14:textId="77777777">
        <w:trPr>
          <w:jc w:val="center"/>
        </w:trPr>
        <w:tc>
          <w:tcPr>
            <w:tcW w:w="0" w:type="auto"/>
            <w:gridSpan w:val="3"/>
            <w:shd w:val="clear" w:color="auto" w:fill="FFFFFF"/>
            <w:tcMar>
              <w:top w:w="40" w:type="dxa"/>
              <w:left w:w="20" w:type="dxa"/>
              <w:bottom w:w="40" w:type="dxa"/>
              <w:right w:w="20" w:type="dxa"/>
            </w:tcMar>
            <w:vAlign w:val="center"/>
          </w:tcPr>
          <w:p w14:paraId="7E7855FF" w14:textId="77777777" w:rsidR="00A82082" w:rsidRDefault="00E946F9">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7E785600"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60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602" w14:textId="77777777" w:rsidR="00A82082" w:rsidRDefault="00E946F9">
            <w:pPr>
              <w:jc w:val="right"/>
              <w:textAlignment w:val="center"/>
            </w:pPr>
            <w:r>
              <w:rPr>
                <w:rFonts w:ascii="Times New Roman" w:eastAsia="宋体" w:hAnsi="Times New Roman"/>
                <w:color w:val="000000"/>
                <w:sz w:val="16"/>
                <w:szCs w:val="16"/>
              </w:rPr>
              <w:t>15,845 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60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604"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60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606" w14:textId="77777777" w:rsidR="00A82082" w:rsidRDefault="00E946F9">
            <w:pPr>
              <w:jc w:val="right"/>
              <w:textAlignment w:val="center"/>
            </w:pPr>
            <w:r>
              <w:rPr>
                <w:rFonts w:ascii="Times New Roman" w:eastAsia="宋体" w:hAnsi="Times New Roman"/>
                <w:color w:val="000000"/>
                <w:sz w:val="16"/>
                <w:szCs w:val="16"/>
              </w:rPr>
              <w:t>14,625 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60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608"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60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60A" w14:textId="77777777" w:rsidR="00A82082" w:rsidRDefault="00E946F9">
            <w:pPr>
              <w:jc w:val="right"/>
              <w:textAlignment w:val="center"/>
            </w:pPr>
            <w:r>
              <w:rPr>
                <w:rFonts w:ascii="Times New Roman" w:eastAsia="宋体" w:hAnsi="Times New Roman"/>
                <w:color w:val="000000"/>
                <w:sz w:val="16"/>
                <w:szCs w:val="16"/>
              </w:rPr>
              <w:t>47,383 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60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60C"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60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60E" w14:textId="77777777" w:rsidR="00A82082" w:rsidRDefault="00E946F9">
            <w:pPr>
              <w:jc w:val="right"/>
              <w:textAlignment w:val="center"/>
            </w:pPr>
            <w:r>
              <w:rPr>
                <w:rFonts w:ascii="Times New Roman" w:eastAsia="宋体" w:hAnsi="Times New Roman"/>
                <w:color w:val="000000"/>
                <w:sz w:val="16"/>
                <w:szCs w:val="16"/>
              </w:rPr>
              <w:t>43,504 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60F" w14:textId="77777777" w:rsidR="00A82082" w:rsidRDefault="00A82082">
            <w:pPr>
              <w:jc w:val="right"/>
              <w:rPr>
                <w:rFonts w:ascii="宋体"/>
              </w:rPr>
            </w:pPr>
          </w:p>
        </w:tc>
      </w:tr>
    </w:tbl>
    <w:p w14:paraId="7E785611" w14:textId="77777777" w:rsidR="00A82082" w:rsidRDefault="00E946F9">
      <w:pPr>
        <w:spacing w:before="180"/>
      </w:pPr>
      <w:r>
        <w:rPr>
          <w:rFonts w:ascii="Times New Roman" w:eastAsia="宋体" w:hAnsi="Times New Roman"/>
          <w:color w:val="000000"/>
          <w:sz w:val="20"/>
          <w:szCs w:val="20"/>
        </w:rPr>
        <w:t>Of Sam's Club's total net sales, approximately $1.3 billion and $0.9 billion rel</w:t>
      </w:r>
      <w:r>
        <w:rPr>
          <w:rFonts w:ascii="Times New Roman" w:eastAsia="宋体" w:hAnsi="Times New Roman"/>
          <w:color w:val="000000"/>
          <w:sz w:val="20"/>
          <w:szCs w:val="20"/>
        </w:rPr>
        <w:t>ated to eCommerce for the three months ended October 31, 2020 and 2019, respectively. Approximately $3.7 billion and $2.6 billion related to eCommerce for the nine months ended October 31, 2020 and 2019, respectively.</w:t>
      </w:r>
    </w:p>
    <w:p w14:paraId="7E785612" w14:textId="77777777" w:rsidR="00A82082" w:rsidRDefault="00A82082">
      <w:pPr>
        <w:spacing w:before="180"/>
      </w:pPr>
    </w:p>
    <w:p w14:paraId="7E785613" w14:textId="77777777" w:rsidR="00A82082" w:rsidRDefault="00E946F9">
      <w:pPr>
        <w:jc w:val="center"/>
      </w:pPr>
      <w:r>
        <w:rPr>
          <w:rFonts w:ascii="Times New Roman" w:eastAsia="宋体" w:hAnsi="Times New Roman"/>
          <w:color w:val="000000"/>
          <w:sz w:val="20"/>
          <w:szCs w:val="20"/>
        </w:rPr>
        <w:t>15</w:t>
      </w:r>
    </w:p>
    <w:p w14:paraId="7E785614" w14:textId="77777777" w:rsidR="00A82082" w:rsidRDefault="00E946F9">
      <w:r>
        <w:pict w14:anchorId="7E786157">
          <v:rect id="_x0000_i1039" style="width:415.3pt;height:1.5pt" o:hralign="center" o:hrstd="t" o:hr="t" fillcolor="#a0a0a0" stroked="f"/>
        </w:pict>
      </w:r>
    </w:p>
    <w:p w14:paraId="7E785615" w14:textId="77777777" w:rsidR="00A82082" w:rsidRDefault="00E946F9">
      <w:hyperlink r:id="rId68" w:anchor="i5c815528a95c4409b9043de534639b9a_7" w:history="1">
        <w:r>
          <w:rPr>
            <w:rStyle w:val="a5"/>
            <w:rFonts w:ascii="Times New Roman" w:eastAsia="宋体" w:hAnsi="Times New Roman"/>
            <w:sz w:val="20"/>
            <w:szCs w:val="20"/>
          </w:rPr>
          <w:t>Table of C</w:t>
        </w:r>
      </w:hyperlink>
      <w:hyperlink r:id="rId69" w:anchor="i5c815528a95c4409b9043de534639b9a_7" w:history="1">
        <w:r>
          <w:rPr>
            <w:rStyle w:val="a5"/>
            <w:rFonts w:ascii="Times New Roman" w:eastAsia="宋体" w:hAnsi="Times New Roman"/>
            <w:sz w:val="20"/>
            <w:szCs w:val="20"/>
          </w:rPr>
          <w:t>ontents</w:t>
        </w:r>
      </w:hyperlink>
    </w:p>
    <w:p w14:paraId="7E785616" w14:textId="77777777" w:rsidR="00A82082" w:rsidRDefault="00E946F9">
      <w:r>
        <w:rPr>
          <w:rFonts w:ascii="Times New Roman" w:eastAsia="宋体" w:hAnsi="Times New Roman"/>
          <w:b/>
          <w:bCs/>
          <w:color w:val="000000"/>
          <w:sz w:val="20"/>
          <w:szCs w:val="20"/>
        </w:rPr>
        <w:t>Item 2. Management's Discussion and Analysis of Financial Condition and Results of Operations</w:t>
      </w:r>
    </w:p>
    <w:p w14:paraId="7E785617" w14:textId="77777777" w:rsidR="00A82082" w:rsidRDefault="00E946F9">
      <w:pPr>
        <w:spacing w:before="100"/>
      </w:pPr>
      <w:r>
        <w:rPr>
          <w:rFonts w:ascii="Times New Roman" w:eastAsia="宋体" w:hAnsi="Times New Roman"/>
          <w:b/>
          <w:bCs/>
          <w:color w:val="000000"/>
          <w:sz w:val="20"/>
          <w:szCs w:val="20"/>
        </w:rPr>
        <w:t>Overview</w:t>
      </w:r>
    </w:p>
    <w:p w14:paraId="7E785618" w14:textId="77777777" w:rsidR="00A82082" w:rsidRDefault="00E946F9">
      <w:pPr>
        <w:spacing w:before="60"/>
      </w:pPr>
      <w:r>
        <w:rPr>
          <w:rFonts w:ascii="Times New Roman" w:eastAsia="宋体" w:hAnsi="Times New Roman"/>
          <w:color w:val="000000"/>
          <w:sz w:val="20"/>
          <w:szCs w:val="20"/>
        </w:rPr>
        <w:t>This discussion, which presents Walmart Inc.'s ("Walmart," the "Company," "our," or "we</w:t>
      </w:r>
      <w:r>
        <w:rPr>
          <w:rFonts w:ascii="Times New Roman" w:eastAsia="宋体" w:hAnsi="Times New Roman"/>
          <w:color w:val="000000"/>
          <w:sz w:val="20"/>
          <w:szCs w:val="20"/>
        </w:rPr>
        <w:t>") results for periods occurring in the fiscal year ending January 31, 2021 ("fiscal 2021") and the fiscal year ended January 31, 2020 ("fiscal 2020"), should be read in conjunction with our Condensed Consolidated Financial Statements as of and for the thr</w:t>
      </w:r>
      <w:r>
        <w:rPr>
          <w:rFonts w:ascii="Times New Roman" w:eastAsia="宋体" w:hAnsi="Times New Roman"/>
          <w:color w:val="000000"/>
          <w:sz w:val="20"/>
          <w:szCs w:val="20"/>
        </w:rPr>
        <w:t xml:space="preserve">ee and nine months ended October 31, 2020, and the accompanying notes included in </w:t>
      </w:r>
      <w:hyperlink r:id="rId70" w:anchor="i5c815528a95c4409b9043de534639b9a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w:t>
      </w:r>
      <w:r>
        <w:rPr>
          <w:rFonts w:ascii="Times New Roman" w:eastAsia="宋体" w:hAnsi="Times New Roman"/>
          <w:color w:val="000000"/>
          <w:sz w:val="20"/>
          <w:szCs w:val="20"/>
        </w:rPr>
        <w:t>s Quarterly Report on Form 10-Q, as well as our Consolidated Financial Statements as of and for the year ended January 31, 2020, the accompanying notes and the related Management's Discussion and Analysis of Financial Condition and Results of Operations, c</w:t>
      </w:r>
      <w:r>
        <w:rPr>
          <w:rFonts w:ascii="Times New Roman" w:eastAsia="宋体" w:hAnsi="Times New Roman"/>
          <w:color w:val="000000"/>
          <w:sz w:val="20"/>
          <w:szCs w:val="20"/>
        </w:rPr>
        <w:t>ontained in our Annual Report on Form 10-K for the year ended January 31, 2020.</w:t>
      </w:r>
    </w:p>
    <w:p w14:paraId="7E785619" w14:textId="77777777" w:rsidR="00A82082" w:rsidRDefault="00E946F9">
      <w:pPr>
        <w:spacing w:before="100"/>
      </w:pPr>
      <w:r>
        <w:rPr>
          <w:rFonts w:ascii="Times New Roman" w:eastAsia="宋体" w:hAnsi="Times New Roman"/>
          <w:color w:val="000000"/>
          <w:sz w:val="20"/>
          <w:szCs w:val="20"/>
        </w:rPr>
        <w:t>We intend for this discussion to provide the reader with information that will assist in understanding our financial statements, the changes in certain key items in those finan</w:t>
      </w:r>
      <w:r>
        <w:rPr>
          <w:rFonts w:ascii="Times New Roman" w:eastAsia="宋体" w:hAnsi="Times New Roman"/>
          <w:color w:val="000000"/>
          <w:sz w:val="20"/>
          <w:szCs w:val="20"/>
        </w:rPr>
        <w:t>cial statements from period to period and the primary factors that accounted for those changes. We also discuss certain performance metrics that management uses to assess the Company's performance. Additionally, the discussion provides information about th</w:t>
      </w:r>
      <w:r>
        <w:rPr>
          <w:rFonts w:ascii="Times New Roman" w:eastAsia="宋体" w:hAnsi="Times New Roman"/>
          <w:color w:val="000000"/>
          <w:sz w:val="20"/>
          <w:szCs w:val="20"/>
        </w:rPr>
        <w:t xml:space="preserve">e financial results of each of the three segments of our business to provide a better understanding of how each of those segments and its results of operations affect the financial condition and results of operations of the Company as a whole. </w:t>
      </w:r>
    </w:p>
    <w:p w14:paraId="7E78561A" w14:textId="77777777" w:rsidR="00A82082" w:rsidRDefault="00E946F9">
      <w:pPr>
        <w:spacing w:before="100"/>
      </w:pPr>
      <w:r>
        <w:rPr>
          <w:rFonts w:ascii="Times New Roman" w:eastAsia="宋体" w:hAnsi="Times New Roman"/>
          <w:color w:val="000000"/>
          <w:sz w:val="20"/>
          <w:szCs w:val="20"/>
        </w:rPr>
        <w:t xml:space="preserve">Throughout </w:t>
      </w:r>
      <w:r>
        <w:rPr>
          <w:rFonts w:ascii="Times New Roman" w:eastAsia="宋体" w:hAnsi="Times New Roman"/>
          <w:color w:val="000000"/>
          <w:sz w:val="20"/>
          <w:szCs w:val="20"/>
        </w:rPr>
        <w:t>this Management's Discussion and Analysis of Financial Condition and Results of Operations, we discuss segment operating income, comparable store and club sales and other measures. Management measures the results of the Company's segments using each segmen</w:t>
      </w:r>
      <w:r>
        <w:rPr>
          <w:rFonts w:ascii="Times New Roman" w:eastAsia="宋体" w:hAnsi="Times New Roman"/>
          <w:color w:val="000000"/>
          <w:sz w:val="20"/>
          <w:szCs w:val="20"/>
        </w:rPr>
        <w:t>t's operating income, including certain corporate overhead allocations, as well as other measures. From time to time, we revise the measurement of each segment's operating income and other measures as determined by the information regularly reviewed by our</w:t>
      </w:r>
      <w:r>
        <w:rPr>
          <w:rFonts w:ascii="Times New Roman" w:eastAsia="宋体" w:hAnsi="Times New Roman"/>
          <w:color w:val="000000"/>
          <w:sz w:val="20"/>
          <w:szCs w:val="20"/>
        </w:rPr>
        <w:t xml:space="preserve"> chief operating decision maker. </w:t>
      </w:r>
    </w:p>
    <w:p w14:paraId="7E78561B" w14:textId="77777777" w:rsidR="00A82082" w:rsidRDefault="00E946F9">
      <w:pPr>
        <w:spacing w:before="100"/>
      </w:pPr>
      <w:r>
        <w:rPr>
          <w:rFonts w:ascii="Times New Roman" w:eastAsia="宋体" w:hAnsi="Times New Roman"/>
          <w:color w:val="000000"/>
          <w:sz w:val="20"/>
          <w:szCs w:val="20"/>
        </w:rPr>
        <w:t>Comparable store and club sales, or comparable sales, is a metric that indicates the performance of our existing stores and clubs by measuring the change in sales for such stores and clubs, including eCommerce sales, for a</w:t>
      </w:r>
      <w:r>
        <w:rPr>
          <w:rFonts w:ascii="Times New Roman" w:eastAsia="宋体" w:hAnsi="Times New Roman"/>
          <w:color w:val="000000"/>
          <w:sz w:val="20"/>
          <w:szCs w:val="20"/>
        </w:rPr>
        <w:t xml:space="preserve"> particular period from the corresponding prior year period. Walmart's definition of comparable sales includes sales from stores and clubs open for the previous 12 months, including remodels, relocations, expansions and conversions, as well as eCommerce sa</w:t>
      </w:r>
      <w:r>
        <w:rPr>
          <w:rFonts w:ascii="Times New Roman" w:eastAsia="宋体" w:hAnsi="Times New Roman"/>
          <w:color w:val="000000"/>
          <w:sz w:val="20"/>
          <w:szCs w:val="20"/>
        </w:rPr>
        <w:t>les. We measure the eCommerce sales impact by including all sales initiated digitally and those initiated through mobile applications, including omni-channel transactions which are fulfilled through our stores and clubs. Sales at a store that has changed i</w:t>
      </w:r>
      <w:r>
        <w:rPr>
          <w:rFonts w:ascii="Times New Roman" w:eastAsia="宋体" w:hAnsi="Times New Roman"/>
          <w:color w:val="000000"/>
          <w:sz w:val="20"/>
          <w:szCs w:val="20"/>
        </w:rPr>
        <w:t xml:space="preserve">n format are excluded from comparable sales when the conversion of that store is accompanied by a relocation or expansion that results in a change in the store's retail square feet of more than five percent. Additionally, sales related to acquisitions are </w:t>
      </w:r>
      <w:r>
        <w:rPr>
          <w:rFonts w:ascii="Times New Roman" w:eastAsia="宋体" w:hAnsi="Times New Roman"/>
          <w:color w:val="000000"/>
          <w:sz w:val="20"/>
          <w:szCs w:val="20"/>
        </w:rPr>
        <w:t>excluded until such acquisitions have been owned for 12 months. Comparable sales are also referred to as "same-store" sales by others within the retail industry. The method of calculating comparable sales varies across the retail industry. As a result, our</w:t>
      </w:r>
      <w:r>
        <w:rPr>
          <w:rFonts w:ascii="Times New Roman" w:eastAsia="宋体" w:hAnsi="Times New Roman"/>
          <w:color w:val="000000"/>
          <w:sz w:val="20"/>
          <w:szCs w:val="20"/>
        </w:rPr>
        <w:t xml:space="preserve"> calculation of comparable sales is not necessarily comparable to similarly titled measures reported by other companies. </w:t>
      </w:r>
    </w:p>
    <w:p w14:paraId="7E78561C" w14:textId="77777777" w:rsidR="00A82082" w:rsidRDefault="00E946F9">
      <w:pPr>
        <w:spacing w:before="100"/>
      </w:pPr>
      <w:r>
        <w:rPr>
          <w:rFonts w:ascii="Times New Roman" w:eastAsia="宋体" w:hAnsi="Times New Roman"/>
          <w:color w:val="000000"/>
          <w:sz w:val="20"/>
          <w:szCs w:val="20"/>
        </w:rPr>
        <w:t>In discussing our operating results, the term currency exchange rates refers to the currency exchange rates we use to convert the oper</w:t>
      </w:r>
      <w:r>
        <w:rPr>
          <w:rFonts w:ascii="Times New Roman" w:eastAsia="宋体" w:hAnsi="Times New Roman"/>
          <w:color w:val="000000"/>
          <w:sz w:val="20"/>
          <w:szCs w:val="20"/>
        </w:rPr>
        <w:t>ating results for countries where the functional currency is not the U.S. dollar into U.S. dollars or for countries experiencing hyperinflation. We calculate the effect of changes in currency exchange rates as the difference between current period activity</w:t>
      </w:r>
      <w:r>
        <w:rPr>
          <w:rFonts w:ascii="Times New Roman" w:eastAsia="宋体" w:hAnsi="Times New Roman"/>
          <w:color w:val="000000"/>
          <w:sz w:val="20"/>
          <w:szCs w:val="20"/>
        </w:rPr>
        <w:t xml:space="preserve"> translated using the current period’s currency exchange rates and the comparable prior year period’s currency exchange rates. Additionally, no currency exchange rate fluctuations are calculated for non-USD acquisitions until owned for 12 months. Throughou</w:t>
      </w:r>
      <w:r>
        <w:rPr>
          <w:rFonts w:ascii="Times New Roman" w:eastAsia="宋体" w:hAnsi="Times New Roman"/>
          <w:color w:val="000000"/>
          <w:sz w:val="20"/>
          <w:szCs w:val="20"/>
        </w:rPr>
        <w:t>t our discussion, we refer to the results of this calculation as the impact of currency exchange rate fluctuations. Volatility in currency exchange rates may impact the results, including net sales and operating income, of the Company and the Walmart Inter</w:t>
      </w:r>
      <w:r>
        <w:rPr>
          <w:rFonts w:ascii="Times New Roman" w:eastAsia="宋体" w:hAnsi="Times New Roman"/>
          <w:color w:val="000000"/>
          <w:sz w:val="20"/>
          <w:szCs w:val="20"/>
        </w:rPr>
        <w:t>national segment in the future.</w:t>
      </w:r>
    </w:p>
    <w:p w14:paraId="7E78561D" w14:textId="77777777" w:rsidR="00A82082" w:rsidRDefault="00E946F9">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rate to the Company's net sales and operating income in recent years other th</w:t>
      </w:r>
      <w:r>
        <w:rPr>
          <w:rFonts w:ascii="Times New Roman" w:eastAsia="宋体" w:hAnsi="Times New Roman"/>
          <w:color w:val="000000"/>
          <w:sz w:val="20"/>
          <w:szCs w:val="20"/>
        </w:rPr>
        <w:t>an minor changes to the contribution rate for the Walmart International segment due to fluctuations in currency exchange rates. Consistent with our strategy to further position our Walmart International portfolio enabling long-term, sustainable and profita</w:t>
      </w:r>
      <w:r>
        <w:rPr>
          <w:rFonts w:ascii="Times New Roman" w:eastAsia="宋体" w:hAnsi="Times New Roman"/>
          <w:color w:val="000000"/>
          <w:sz w:val="20"/>
          <w:szCs w:val="20"/>
        </w:rPr>
        <w:t>ble growth, we have taken the following actions:</w:t>
      </w:r>
    </w:p>
    <w:p w14:paraId="7E78561E" w14:textId="77777777" w:rsidR="00A82082" w:rsidRDefault="00E946F9">
      <w:pPr>
        <w:spacing w:before="60" w:after="60"/>
        <w:ind w:hanging="360"/>
      </w:pPr>
      <w:r>
        <w:rPr>
          <w:rFonts w:ascii="Times New Roman" w:eastAsia="宋体" w:hAnsi="Times New Roman"/>
          <w:color w:val="000000"/>
          <w:sz w:val="20"/>
          <w:szCs w:val="20"/>
        </w:rPr>
        <w:t>•In October 2020, we agreed to sell Asda Group Limited ("Asda”) for an enterprise value of £6.8 billion, or approximately $9.1 billion based on current exchange rates. When the disposal group meets the held for sale criteria, we expect to recognize a non-c</w:t>
      </w:r>
      <w:r>
        <w:rPr>
          <w:rFonts w:ascii="Times New Roman" w:eastAsia="宋体" w:hAnsi="Times New Roman"/>
          <w:color w:val="000000"/>
          <w:sz w:val="20"/>
          <w:szCs w:val="20"/>
        </w:rPr>
        <w:t>ash loss of approximately $5.5 billion, after tax, which includes the estimated loss on sale as well as the loss associated with the derecognition of the Asda pension plan. This loss may fluctuate based on currency exchange rates and customary purchase pri</w:t>
      </w:r>
      <w:r>
        <w:rPr>
          <w:rFonts w:ascii="Times New Roman" w:eastAsia="宋体" w:hAnsi="Times New Roman"/>
          <w:color w:val="000000"/>
          <w:sz w:val="20"/>
          <w:szCs w:val="20"/>
        </w:rPr>
        <w:t>ce adjustments. The loss associated with the derecognition of the Asda pension plan will be recognized at the earlier of either the disposal group meeting the held for sale criteria or the pension buy-out. We expect the impact of removing Asda from our Wal</w:t>
      </w:r>
      <w:r>
        <w:rPr>
          <w:rFonts w:ascii="Times New Roman" w:eastAsia="宋体" w:hAnsi="Times New Roman"/>
          <w:color w:val="000000"/>
          <w:sz w:val="20"/>
          <w:szCs w:val="20"/>
        </w:rPr>
        <w:t xml:space="preserve">mart International segment to dilute earnings per share by $0.25 in the first full year following completion of the transaction reflecting the absence of net income from Asda. Refer to </w:t>
      </w:r>
      <w:hyperlink r:id="rId71" w:anchor="i5c815528a95c4409b9043de534639b9a_1207"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w:t>
      </w:r>
    </w:p>
    <w:p w14:paraId="7E78561F" w14:textId="77777777" w:rsidR="00A82082" w:rsidRDefault="00E946F9">
      <w:pPr>
        <w:spacing w:before="60" w:after="60"/>
        <w:ind w:hanging="360"/>
      </w:pPr>
      <w:r>
        <w:rPr>
          <w:rFonts w:ascii="Times New Roman" w:eastAsia="宋体" w:hAnsi="Times New Roman"/>
          <w:color w:val="000000"/>
          <w:sz w:val="20"/>
          <w:szCs w:val="20"/>
        </w:rPr>
        <w:t>•In November 2020, we completed the sale of Walmart Argentina and classified the disposal group as held for sale as of October 31, 2020 in our Condensed Consolidate</w:t>
      </w:r>
      <w:r>
        <w:rPr>
          <w:rFonts w:ascii="Times New Roman" w:eastAsia="宋体" w:hAnsi="Times New Roman"/>
          <w:color w:val="000000"/>
          <w:sz w:val="20"/>
          <w:szCs w:val="20"/>
        </w:rPr>
        <w:t xml:space="preserve">d Balance Sheet. As a result, we recorded a non-cash loss of $1.0 billion, after-tax, during the three and nine months ended October 31, 2020 primarily due to cumulative foreign currency translation losses. Refer to </w:t>
      </w:r>
      <w:hyperlink r:id="rId72" w:anchor="i5c815528a95c4409b9043de534639b9a_1207"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w:t>
      </w:r>
    </w:p>
    <w:p w14:paraId="7E785620" w14:textId="77777777" w:rsidR="00A82082" w:rsidRDefault="00E946F9">
      <w:pPr>
        <w:jc w:val="center"/>
      </w:pPr>
      <w:r>
        <w:rPr>
          <w:rFonts w:ascii="Times New Roman" w:eastAsia="宋体" w:hAnsi="Times New Roman"/>
          <w:color w:val="000000"/>
          <w:sz w:val="20"/>
          <w:szCs w:val="20"/>
        </w:rPr>
        <w:t>16</w:t>
      </w:r>
    </w:p>
    <w:p w14:paraId="7E785621" w14:textId="77777777" w:rsidR="00A82082" w:rsidRDefault="00E946F9">
      <w:r>
        <w:pict w14:anchorId="7E786158">
          <v:rect id="_x0000_i1040" style="width:415.3pt;height:1.5pt" o:hralign="center" o:hrstd="t" o:hr="t" fillcolor="#a0a0a0" stroked="f"/>
        </w:pict>
      </w:r>
    </w:p>
    <w:p w14:paraId="7E785622" w14:textId="77777777" w:rsidR="00A82082" w:rsidRDefault="00E946F9">
      <w:hyperlink r:id="rId73" w:anchor="i5c815528a95c4409b9043de534639b9a_7" w:history="1">
        <w:r>
          <w:rPr>
            <w:rStyle w:val="a5"/>
            <w:rFonts w:ascii="Times New Roman" w:eastAsia="宋体" w:hAnsi="Times New Roman"/>
            <w:sz w:val="20"/>
            <w:szCs w:val="20"/>
          </w:rPr>
          <w:t>Table of C</w:t>
        </w:r>
      </w:hyperlink>
      <w:hyperlink r:id="rId74" w:anchor="i5c815528a95c4409b9043de534639b9a_7" w:history="1">
        <w:r>
          <w:rPr>
            <w:rStyle w:val="a5"/>
            <w:rFonts w:ascii="Times New Roman" w:eastAsia="宋体" w:hAnsi="Times New Roman"/>
            <w:sz w:val="20"/>
            <w:szCs w:val="20"/>
          </w:rPr>
          <w:t>ontents</w:t>
        </w:r>
      </w:hyperlink>
    </w:p>
    <w:p w14:paraId="7E785623" w14:textId="77777777" w:rsidR="00A82082" w:rsidRDefault="00E946F9">
      <w:pPr>
        <w:spacing w:before="60" w:after="60"/>
        <w:ind w:hanging="360"/>
      </w:pPr>
      <w:r>
        <w:rPr>
          <w:rFonts w:ascii="Times New Roman" w:eastAsia="宋体" w:hAnsi="Times New Roman"/>
          <w:color w:val="000000"/>
          <w:sz w:val="20"/>
          <w:szCs w:val="20"/>
        </w:rPr>
        <w:t>•In November 2020, we agreed to sell a majority stake in Seiyu, our retail business in Japan, for an enterprise value of ¥172.5 billion, or approximately $1.7 billion based on current exchange rates. As the disposal group met the held for sale criteria sub</w:t>
      </w:r>
      <w:r>
        <w:rPr>
          <w:rFonts w:ascii="Times New Roman" w:eastAsia="宋体" w:hAnsi="Times New Roman"/>
          <w:color w:val="000000"/>
          <w:sz w:val="20"/>
          <w:szCs w:val="20"/>
        </w:rPr>
        <w:t>sequent to October 31, 2020, we will recognize a non-cash loss of approximately $2.0 billion, after tax, in the fourth quarter of fiscal 2021. This estimate may fluctuate based on currency exchange rates and customary purchase price adjustments up to the c</w:t>
      </w:r>
      <w:r>
        <w:rPr>
          <w:rFonts w:ascii="Times New Roman" w:eastAsia="宋体" w:hAnsi="Times New Roman"/>
          <w:color w:val="000000"/>
          <w:sz w:val="20"/>
          <w:szCs w:val="20"/>
        </w:rPr>
        <w:t xml:space="preserve">losing date of the transaction, which is expected to occur in the first quarter of fiscal 2022 and is subject to regulatory approvals. Refer to </w:t>
      </w:r>
      <w:hyperlink r:id="rId75" w:anchor="i5c815528a95c4409b9043de534639b9a_1207"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w:t>
      </w:r>
    </w:p>
    <w:p w14:paraId="7E785624" w14:textId="77777777" w:rsidR="00A82082" w:rsidRDefault="00E946F9">
      <w:pPr>
        <w:spacing w:before="100"/>
      </w:pPr>
      <w:r>
        <w:rPr>
          <w:rFonts w:ascii="Times New Roman" w:eastAsia="宋体" w:hAnsi="Times New Roman"/>
          <w:color w:val="000000"/>
          <w:sz w:val="20"/>
          <w:szCs w:val="20"/>
        </w:rPr>
        <w:t>We operate in the highly competitive omni-channel retail industry in all of the markets we serve. We face strong sales competition from other discount, department, drug, dollar, variety and specialty stor</w:t>
      </w:r>
      <w:r>
        <w:rPr>
          <w:rFonts w:ascii="Times New Roman" w:eastAsia="宋体" w:hAnsi="Times New Roman"/>
          <w:color w:val="000000"/>
          <w:sz w:val="20"/>
          <w:szCs w:val="20"/>
        </w:rPr>
        <w:t>es, warehouse clubs and supermarkets, as well as eCommerce businesses. Many of these competitors are national, regional or international chains or have a national or international omni-channel or eCommerce presence. We compete with a number of companies fo</w:t>
      </w:r>
      <w:r>
        <w:rPr>
          <w:rFonts w:ascii="Times New Roman" w:eastAsia="宋体" w:hAnsi="Times New Roman"/>
          <w:color w:val="000000"/>
          <w:sz w:val="20"/>
          <w:szCs w:val="20"/>
        </w:rPr>
        <w:t>r attracting and retaining quality employees ("associates"). We, along with other retail companies, are influenced by a number of factors including, but not limited to: catastrophic events and global health epidemics, including the ongoing COVID-19 pandemi</w:t>
      </w:r>
      <w:r>
        <w:rPr>
          <w:rFonts w:ascii="Times New Roman" w:eastAsia="宋体" w:hAnsi="Times New Roman"/>
          <w:color w:val="000000"/>
          <w:sz w:val="20"/>
          <w:szCs w:val="20"/>
        </w:rPr>
        <w:t>c, weather, competitive pressures, consumer disposable income, consumer debt levels and buying patterns, consumer credit availability, cost of goods, currency exchange rate fluctuations, customer preferences, deflation, inflation, fuel and energy prices, g</w:t>
      </w:r>
      <w:r>
        <w:rPr>
          <w:rFonts w:ascii="Times New Roman" w:eastAsia="宋体" w:hAnsi="Times New Roman"/>
          <w:color w:val="000000"/>
          <w:sz w:val="20"/>
          <w:szCs w:val="20"/>
        </w:rPr>
        <w:t>eneral economic conditions, insurance costs, interest rates, labor costs, tax rates, the imposition of tariffs, cybersecurity attacks and unemployment. Further information on the factors that can affect our operating results and on certain risks to our Com</w:t>
      </w:r>
      <w:r>
        <w:rPr>
          <w:rFonts w:ascii="Times New Roman" w:eastAsia="宋体" w:hAnsi="Times New Roman"/>
          <w:color w:val="000000"/>
          <w:sz w:val="20"/>
          <w:szCs w:val="20"/>
        </w:rPr>
        <w:t>pany and an investment in our securities can be found herein under "</w:t>
      </w:r>
      <w:hyperlink r:id="rId76" w:anchor="i5c815528a95c4409b9043de534639b9a_136"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7E785625" w14:textId="77777777" w:rsidR="00A82082" w:rsidRDefault="00E946F9">
      <w:pPr>
        <w:spacing w:before="100"/>
      </w:pPr>
      <w:r>
        <w:rPr>
          <w:rFonts w:ascii="Times New Roman" w:eastAsia="宋体" w:hAnsi="Times New Roman"/>
          <w:b/>
          <w:bCs/>
          <w:i/>
          <w:iCs/>
          <w:color w:val="000000"/>
          <w:sz w:val="20"/>
          <w:szCs w:val="20"/>
        </w:rPr>
        <w:t>COVID</w:t>
      </w:r>
      <w:r>
        <w:rPr>
          <w:rFonts w:ascii="Times New Roman" w:eastAsia="宋体" w:hAnsi="Times New Roman"/>
          <w:b/>
          <w:bCs/>
          <w:i/>
          <w:iCs/>
          <w:color w:val="000000"/>
          <w:sz w:val="20"/>
          <w:szCs w:val="20"/>
        </w:rPr>
        <w:t>-19 Updates</w:t>
      </w:r>
    </w:p>
    <w:p w14:paraId="7E785626" w14:textId="77777777" w:rsidR="00A82082" w:rsidRDefault="00E946F9">
      <w:pPr>
        <w:spacing w:before="100"/>
      </w:pPr>
      <w:r>
        <w:rPr>
          <w:rFonts w:ascii="Times New Roman" w:eastAsia="宋体" w:hAnsi="Times New Roman"/>
          <w:color w:val="000000"/>
          <w:sz w:val="20"/>
          <w:szCs w:val="20"/>
        </w:rPr>
        <w:t>Our strategy is to make every day easier for busy families, operate with discipline, sharpen our culture, become more digital, and make trust a competitive advantage. These areas of focus are fundamental in running our business every day, and e</w:t>
      </w:r>
      <w:r>
        <w:rPr>
          <w:rFonts w:ascii="Times New Roman" w:eastAsia="宋体" w:hAnsi="Times New Roman"/>
          <w:color w:val="000000"/>
          <w:sz w:val="20"/>
          <w:szCs w:val="20"/>
        </w:rPr>
        <w:t>ven more so now as Walmart plays an important role during the current COVID-19 pandemic. Throughout fiscal 2021, we have operated with a clear set of priorities to guide our decision making through the COVID-19 pandemic. These priorities are:</w:t>
      </w:r>
    </w:p>
    <w:p w14:paraId="7E785627" w14:textId="77777777" w:rsidR="00A82082" w:rsidRDefault="00E946F9">
      <w:pPr>
        <w:spacing w:before="100"/>
        <w:ind w:hanging="360"/>
      </w:pPr>
      <w:r>
        <w:rPr>
          <w:rFonts w:ascii="Times New Roman" w:eastAsia="宋体" w:hAnsi="Times New Roman"/>
          <w:color w:val="000000"/>
          <w:sz w:val="20"/>
          <w:szCs w:val="20"/>
        </w:rPr>
        <w:t>•Supporting o</w:t>
      </w:r>
      <w:r>
        <w:rPr>
          <w:rFonts w:ascii="Times New Roman" w:eastAsia="宋体" w:hAnsi="Times New Roman"/>
          <w:color w:val="000000"/>
          <w:sz w:val="20"/>
          <w:szCs w:val="20"/>
        </w:rPr>
        <w:t>ur associates on the front lines in terms of their physical safety, financial health and emotional well-being. We are providing extra pay and benefits, including $1.3 billion to date in special cash bonuses to field associates and the introduction of a COV</w:t>
      </w:r>
      <w:r>
        <w:rPr>
          <w:rFonts w:ascii="Times New Roman" w:eastAsia="宋体" w:hAnsi="Times New Roman"/>
          <w:color w:val="000000"/>
          <w:sz w:val="20"/>
          <w:szCs w:val="20"/>
        </w:rPr>
        <w:t xml:space="preserve">ID-19 Emergency Leave Policy. </w:t>
      </w:r>
    </w:p>
    <w:p w14:paraId="7E785628" w14:textId="77777777" w:rsidR="00A82082" w:rsidRDefault="00E946F9">
      <w:pPr>
        <w:spacing w:before="100"/>
        <w:ind w:hanging="360"/>
      </w:pPr>
      <w:r>
        <w:rPr>
          <w:rFonts w:ascii="Times New Roman" w:eastAsia="宋体" w:hAnsi="Times New Roman"/>
          <w:color w:val="000000"/>
          <w:sz w:val="20"/>
          <w:szCs w:val="20"/>
        </w:rPr>
        <w:t>•Serving our customers as safely as possible and keeping our supply chain operating. We reduced our store operating hours at the onset of the COVID-19 pandemic and have since expanded store hours slightly during the third qua</w:t>
      </w:r>
      <w:r>
        <w:rPr>
          <w:rFonts w:ascii="Times New Roman" w:eastAsia="宋体" w:hAnsi="Times New Roman"/>
          <w:color w:val="000000"/>
          <w:sz w:val="20"/>
          <w:szCs w:val="20"/>
        </w:rPr>
        <w:t>rter.</w:t>
      </w:r>
      <w:r>
        <w:rPr>
          <w:rFonts w:ascii="Times New Roman" w:eastAsia="宋体" w:hAnsi="Times New Roman"/>
          <w:b/>
          <w:bCs/>
          <w:color w:val="000000"/>
          <w:sz w:val="20"/>
          <w:szCs w:val="20"/>
        </w:rPr>
        <w:t xml:space="preserve"> </w:t>
      </w:r>
    </w:p>
    <w:p w14:paraId="7E785629" w14:textId="77777777" w:rsidR="00A82082" w:rsidRDefault="00E946F9">
      <w:pPr>
        <w:spacing w:before="100"/>
        <w:ind w:hanging="360"/>
      </w:pP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Helping others which includes waiving or discounting rent for in-store tenants in April and May 2020 as well as hiring more than 500,000 new associates. </w:t>
      </w:r>
    </w:p>
    <w:p w14:paraId="7E78562A" w14:textId="77777777" w:rsidR="00A82082" w:rsidRDefault="00E946F9">
      <w:pPr>
        <w:spacing w:before="100"/>
        <w:ind w:hanging="360"/>
      </w:pPr>
      <w:r>
        <w:rPr>
          <w:rFonts w:ascii="Times New Roman" w:eastAsia="宋体" w:hAnsi="Times New Roman"/>
          <w:color w:val="000000"/>
          <w:sz w:val="20"/>
          <w:szCs w:val="20"/>
        </w:rPr>
        <w:t>•Managing the business well both operationally and financially and driving our long-term strat</w:t>
      </w:r>
      <w:r>
        <w:rPr>
          <w:rFonts w:ascii="Times New Roman" w:eastAsia="宋体" w:hAnsi="Times New Roman"/>
          <w:color w:val="000000"/>
          <w:sz w:val="20"/>
          <w:szCs w:val="20"/>
        </w:rPr>
        <w:t>egy.</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are maintaining our everyday low-price discipline while investing in our omni-channel offering which continues to resonate with customers around the world who are increasingly seeking convenience.</w:t>
      </w:r>
    </w:p>
    <w:p w14:paraId="7E78562B" w14:textId="77777777" w:rsidR="00A82082" w:rsidRDefault="00E946F9">
      <w:pPr>
        <w:spacing w:before="100"/>
      </w:pPr>
      <w:r>
        <w:rPr>
          <w:rFonts w:ascii="Times New Roman" w:eastAsia="宋体" w:hAnsi="Times New Roman"/>
          <w:color w:val="000000"/>
          <w:sz w:val="20"/>
          <w:szCs w:val="20"/>
        </w:rPr>
        <w:t>While we incurred incremental costs associated with</w:t>
      </w:r>
      <w:r>
        <w:rPr>
          <w:rFonts w:ascii="Times New Roman" w:eastAsia="宋体" w:hAnsi="Times New Roman"/>
          <w:color w:val="000000"/>
          <w:sz w:val="20"/>
          <w:szCs w:val="20"/>
        </w:rPr>
        <w:t xml:space="preserve"> operating during a global health crisis, the COVID-19 pandemic resulted in overall net sales growth during the first three quarters of fiscal 2021 with strong comparable sales in the U.S. and the majority of our international markets. Sales trends were po</w:t>
      </w:r>
      <w:r>
        <w:rPr>
          <w:rFonts w:ascii="Times New Roman" w:eastAsia="宋体" w:hAnsi="Times New Roman"/>
          <w:color w:val="000000"/>
          <w:sz w:val="20"/>
          <w:szCs w:val="20"/>
        </w:rPr>
        <w:t>sitively impacted by eCommerce growth acceleration as well as customers consolidating shopping trips and purchasing larger baskets. For a detailed discussion on results of operations by reportable segment, refer to "</w:t>
      </w:r>
      <w:hyperlink r:id="rId77" w:anchor="i5c815528a95c4409b9043de534639b9a_100"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7E78562C" w14:textId="77777777" w:rsidR="00A82082" w:rsidRDefault="00E946F9">
      <w:pPr>
        <w:spacing w:before="100"/>
      </w:pPr>
      <w:r>
        <w:rPr>
          <w:rFonts w:ascii="Times New Roman" w:eastAsia="宋体" w:hAnsi="Times New Roman"/>
          <w:color w:val="000000"/>
          <w:sz w:val="20"/>
          <w:szCs w:val="20"/>
        </w:rPr>
        <w:t xml:space="preserve">We expect continued uncertainty in our business and the global economy due to the duration and intensity of the </w:t>
      </w:r>
      <w:r>
        <w:rPr>
          <w:rFonts w:ascii="Times New Roman" w:eastAsia="宋体" w:hAnsi="Times New Roman"/>
          <w:color w:val="000000"/>
          <w:sz w:val="20"/>
          <w:szCs w:val="20"/>
        </w:rPr>
        <w:t>COVID–19 pandemic; the duration and extent of economic stimulus; the length and impact of any stay–at–home orders or government mandates; and volatility in employment trends and consumer confidence which will impact our results in the short term.</w:t>
      </w:r>
    </w:p>
    <w:p w14:paraId="7E78562D" w14:textId="77777777" w:rsidR="00A82082" w:rsidRDefault="00A82082"/>
    <w:p w14:paraId="7E78562E" w14:textId="77777777" w:rsidR="00A82082" w:rsidRDefault="00E946F9">
      <w:r>
        <w:rPr>
          <w:rFonts w:ascii="Times New Roman" w:eastAsia="宋体" w:hAnsi="Times New Roman"/>
          <w:b/>
          <w:bCs/>
          <w:color w:val="000000"/>
          <w:sz w:val="20"/>
          <w:szCs w:val="20"/>
        </w:rPr>
        <w:t xml:space="preserve">Company </w:t>
      </w:r>
      <w:r>
        <w:rPr>
          <w:rFonts w:ascii="Times New Roman" w:eastAsia="宋体" w:hAnsi="Times New Roman"/>
          <w:b/>
          <w:bCs/>
          <w:color w:val="000000"/>
          <w:sz w:val="20"/>
          <w:szCs w:val="20"/>
        </w:rPr>
        <w:t>Performance Metrics</w:t>
      </w:r>
    </w:p>
    <w:p w14:paraId="7E78562F" w14:textId="77777777" w:rsidR="00A82082" w:rsidRDefault="00E946F9">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strategies to maintain and strengthen our competitive positions in the coun</w:t>
      </w:r>
      <w:r>
        <w:rPr>
          <w:rFonts w:ascii="Times New Roman" w:eastAsia="宋体" w:hAnsi="Times New Roman"/>
          <w:color w:val="000000"/>
          <w:sz w:val="20"/>
          <w:szCs w:val="20"/>
        </w:rPr>
        <w:t>tries in which we operate.  We define our financial framework as:</w:t>
      </w:r>
    </w:p>
    <w:p w14:paraId="7E785630" w14:textId="77777777" w:rsidR="00A82082" w:rsidRDefault="00E946F9">
      <w:pPr>
        <w:spacing w:before="100"/>
        <w:ind w:hanging="360"/>
      </w:pPr>
      <w:r>
        <w:rPr>
          <w:rFonts w:ascii="Times New Roman" w:eastAsia="宋体" w:hAnsi="Times New Roman"/>
          <w:color w:val="000000"/>
          <w:sz w:val="20"/>
          <w:szCs w:val="20"/>
        </w:rPr>
        <w:t>•strong, efficient growth;</w:t>
      </w:r>
    </w:p>
    <w:p w14:paraId="7E785631" w14:textId="77777777" w:rsidR="00A82082" w:rsidRDefault="00E946F9">
      <w:pPr>
        <w:spacing w:before="100"/>
        <w:ind w:hanging="360"/>
      </w:pPr>
      <w:r>
        <w:rPr>
          <w:rFonts w:ascii="Times New Roman" w:eastAsia="宋体" w:hAnsi="Times New Roman"/>
          <w:color w:val="000000"/>
          <w:sz w:val="20"/>
          <w:szCs w:val="20"/>
        </w:rPr>
        <w:t>•consistent operating discipline; and</w:t>
      </w:r>
    </w:p>
    <w:p w14:paraId="7E785632" w14:textId="77777777" w:rsidR="00A82082" w:rsidRDefault="00E946F9">
      <w:pPr>
        <w:spacing w:before="100"/>
        <w:ind w:hanging="360"/>
      </w:pPr>
      <w:r>
        <w:rPr>
          <w:rFonts w:ascii="Times New Roman" w:eastAsia="宋体" w:hAnsi="Times New Roman"/>
          <w:color w:val="000000"/>
          <w:sz w:val="20"/>
          <w:szCs w:val="20"/>
        </w:rPr>
        <w:t>•strategic capital allocation.</w:t>
      </w:r>
    </w:p>
    <w:p w14:paraId="7E785633" w14:textId="77777777" w:rsidR="00A82082" w:rsidRDefault="00E946F9">
      <w:pPr>
        <w:spacing w:before="100"/>
      </w:pPr>
      <w:r>
        <w:rPr>
          <w:rFonts w:ascii="Times New Roman" w:eastAsia="宋体" w:hAnsi="Times New Roman"/>
          <w:color w:val="000000"/>
          <w:sz w:val="20"/>
          <w:szCs w:val="20"/>
        </w:rPr>
        <w:t>As we execute on this financial framework, we believe our returns on capital will improve over</w:t>
      </w:r>
      <w:r>
        <w:rPr>
          <w:rFonts w:ascii="Times New Roman" w:eastAsia="宋体" w:hAnsi="Times New Roman"/>
          <w:color w:val="000000"/>
          <w:sz w:val="20"/>
          <w:szCs w:val="20"/>
        </w:rPr>
        <w:t xml:space="preserve"> time. </w:t>
      </w:r>
    </w:p>
    <w:p w14:paraId="7E785634" w14:textId="77777777" w:rsidR="00A82082" w:rsidRDefault="00E946F9">
      <w:pPr>
        <w:spacing w:before="100"/>
      </w:pPr>
      <w:r>
        <w:rPr>
          <w:rFonts w:ascii="Times New Roman" w:eastAsia="宋体" w:hAnsi="Times New Roman"/>
          <w:color w:val="000000"/>
          <w:sz w:val="20"/>
          <w:szCs w:val="20"/>
        </w:rPr>
        <w:t>The COVID-19 pandemic led to increased demand and overall net sales growth through the first three quarters of fiscal 2021. As our Company continues to respond to the COVID-19 pandemic, we have prioritized our focus on associate care, including extra pay a</w:t>
      </w:r>
      <w:r>
        <w:rPr>
          <w:rFonts w:ascii="Times New Roman" w:eastAsia="宋体" w:hAnsi="Times New Roman"/>
          <w:color w:val="000000"/>
          <w:sz w:val="20"/>
          <w:szCs w:val="20"/>
        </w:rPr>
        <w:t xml:space="preserve">nd benefits as well as masks and gloves; increased cleaning and sanitation measures; customer safety; and new associate hiring. Additionally, we've shifted the timing of certain capital spending and consulting projects, and reduced marketing and travel in </w:t>
      </w:r>
      <w:r>
        <w:rPr>
          <w:rFonts w:ascii="Times New Roman" w:eastAsia="宋体" w:hAnsi="Times New Roman"/>
          <w:color w:val="000000"/>
          <w:sz w:val="20"/>
          <w:szCs w:val="20"/>
        </w:rPr>
        <w:t xml:space="preserve">response to the COVID-19 pandemic. </w:t>
      </w:r>
    </w:p>
    <w:p w14:paraId="7E785635" w14:textId="77777777" w:rsidR="00A82082" w:rsidRDefault="00E946F9">
      <w:pPr>
        <w:jc w:val="center"/>
      </w:pPr>
      <w:r>
        <w:rPr>
          <w:rFonts w:ascii="Times New Roman" w:eastAsia="宋体" w:hAnsi="Times New Roman"/>
          <w:color w:val="000000"/>
          <w:sz w:val="20"/>
          <w:szCs w:val="20"/>
        </w:rPr>
        <w:t>17</w:t>
      </w:r>
    </w:p>
    <w:p w14:paraId="7E785636" w14:textId="77777777" w:rsidR="00A82082" w:rsidRDefault="00E946F9">
      <w:r>
        <w:pict w14:anchorId="7E786159">
          <v:rect id="_x0000_i1041" style="width:415.3pt;height:1.5pt" o:hralign="center" o:hrstd="t" o:hr="t" fillcolor="#a0a0a0" stroked="f"/>
        </w:pict>
      </w:r>
    </w:p>
    <w:p w14:paraId="7E785637" w14:textId="77777777" w:rsidR="00A82082" w:rsidRDefault="00E946F9">
      <w:hyperlink r:id="rId78" w:anchor="i5c815528a95c4409b9043de534639b9a_7" w:history="1">
        <w:r>
          <w:rPr>
            <w:rStyle w:val="a5"/>
            <w:rFonts w:ascii="Times New Roman" w:eastAsia="宋体" w:hAnsi="Times New Roman"/>
            <w:sz w:val="20"/>
            <w:szCs w:val="20"/>
          </w:rPr>
          <w:t>Table of C</w:t>
        </w:r>
      </w:hyperlink>
      <w:hyperlink r:id="rId79" w:anchor="i5c815528a95c4409b9043de534639b9a_7" w:history="1">
        <w:r>
          <w:rPr>
            <w:rStyle w:val="a5"/>
            <w:rFonts w:ascii="Times New Roman" w:eastAsia="宋体" w:hAnsi="Times New Roman"/>
            <w:sz w:val="20"/>
            <w:szCs w:val="20"/>
          </w:rPr>
          <w:t>ontents</w:t>
        </w:r>
      </w:hyperlink>
    </w:p>
    <w:p w14:paraId="7E785638" w14:textId="77777777" w:rsidR="00A82082" w:rsidRDefault="00E946F9">
      <w:pPr>
        <w:spacing w:before="180"/>
      </w:pPr>
      <w:r>
        <w:rPr>
          <w:rFonts w:ascii="Times New Roman" w:eastAsia="宋体" w:hAnsi="Times New Roman"/>
          <w:b/>
          <w:bCs/>
          <w:color w:val="000000"/>
          <w:sz w:val="20"/>
          <w:szCs w:val="20"/>
          <w:u w:val="single"/>
        </w:rPr>
        <w:t>Strong, Efficient Growth</w:t>
      </w:r>
    </w:p>
    <w:p w14:paraId="7E785639" w14:textId="77777777" w:rsidR="00A82082" w:rsidRDefault="00E946F9">
      <w:pPr>
        <w:spacing w:before="100"/>
      </w:pPr>
      <w:r>
        <w:rPr>
          <w:rFonts w:ascii="Times New Roman" w:eastAsia="宋体" w:hAnsi="Times New Roman"/>
          <w:color w:val="000000"/>
          <w:sz w:val="20"/>
          <w:szCs w:val="20"/>
        </w:rPr>
        <w:t xml:space="preserve">Our objective of prioritizing strong, efficient growth means we will focus on the most productive growth opportunities, increasing comparable store and club sales, accelerating eCommerce sales growth and expansion of omni-channel initiatives while slowing </w:t>
      </w:r>
      <w:r>
        <w:rPr>
          <w:rFonts w:ascii="Times New Roman" w:eastAsia="宋体" w:hAnsi="Times New Roman"/>
          <w:color w:val="000000"/>
          <w:sz w:val="20"/>
          <w:szCs w:val="20"/>
        </w:rPr>
        <w:t xml:space="preserve">the rate of growth of new stores and clubs. At times, we make strategic investments which are focused on the long-term growth of the Company. </w:t>
      </w:r>
    </w:p>
    <w:p w14:paraId="7E78563A" w14:textId="77777777" w:rsidR="00A82082" w:rsidRDefault="00E946F9">
      <w:pPr>
        <w:spacing w:before="100"/>
      </w:pPr>
      <w:r>
        <w:rPr>
          <w:rFonts w:ascii="Times New Roman" w:eastAsia="宋体" w:hAnsi="Times New Roman"/>
          <w:color w:val="000000"/>
          <w:sz w:val="20"/>
          <w:szCs w:val="20"/>
        </w:rPr>
        <w:t>Comparable sales is a metric that indicates the performance of our existing stores and clubs by measuring the cha</w:t>
      </w:r>
      <w:r>
        <w:rPr>
          <w:rFonts w:ascii="Times New Roman" w:eastAsia="宋体" w:hAnsi="Times New Roman"/>
          <w:color w:val="000000"/>
          <w:sz w:val="20"/>
          <w:szCs w:val="20"/>
        </w:rPr>
        <w:t>nge in sales for such stores and clubs, including eCommerce sales, for a particular period over the corresponding period in the previous year. The retail industry generally reports comparable sales using the retail calendar (also known as the 4-5-4 calenda</w:t>
      </w:r>
      <w:r>
        <w:rPr>
          <w:rFonts w:ascii="Times New Roman" w:eastAsia="宋体" w:hAnsi="Times New Roman"/>
          <w:color w:val="000000"/>
          <w:sz w:val="20"/>
          <w:szCs w:val="20"/>
        </w:rPr>
        <w:t>r). To be consistent with the retail industry, we provide comparable sales using the retail calendar in our quarterly earnings releases. However, when we discuss our comparable sales below, we are referring to our calendar comparable sales calculated using</w:t>
      </w:r>
      <w:r>
        <w:rPr>
          <w:rFonts w:ascii="Times New Roman" w:eastAsia="宋体" w:hAnsi="Times New Roman"/>
          <w:color w:val="000000"/>
          <w:sz w:val="20"/>
          <w:szCs w:val="20"/>
        </w:rPr>
        <w:t xml:space="preserve"> our fiscal calendar. As our fiscal calendar differs from the retail calendar, our fiscal calendar comparable sales also differ from the retail calendar comparable sales provided in our quarterly earnings releases. Calendar comparable sales, as well as the</w:t>
      </w:r>
      <w:r>
        <w:rPr>
          <w:rFonts w:ascii="Times New Roman" w:eastAsia="宋体" w:hAnsi="Times New Roman"/>
          <w:color w:val="000000"/>
          <w:sz w:val="20"/>
          <w:szCs w:val="20"/>
        </w:rPr>
        <w:t xml:space="preserve"> impact of fuel, for the three and nine months ended October 31, 2020 and 2019,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1792"/>
        <w:gridCol w:w="36"/>
        <w:gridCol w:w="36"/>
        <w:gridCol w:w="36"/>
        <w:gridCol w:w="36"/>
        <w:gridCol w:w="41"/>
        <w:gridCol w:w="498"/>
        <w:gridCol w:w="155"/>
        <w:gridCol w:w="36"/>
        <w:gridCol w:w="36"/>
        <w:gridCol w:w="36"/>
        <w:gridCol w:w="41"/>
        <w:gridCol w:w="498"/>
        <w:gridCol w:w="155"/>
        <w:gridCol w:w="36"/>
        <w:gridCol w:w="36"/>
        <w:gridCol w:w="36"/>
        <w:gridCol w:w="41"/>
        <w:gridCol w:w="501"/>
        <w:gridCol w:w="155"/>
        <w:gridCol w:w="36"/>
        <w:gridCol w:w="36"/>
        <w:gridCol w:w="36"/>
        <w:gridCol w:w="41"/>
        <w:gridCol w:w="501"/>
        <w:gridCol w:w="155"/>
        <w:gridCol w:w="36"/>
        <w:gridCol w:w="36"/>
        <w:gridCol w:w="36"/>
        <w:gridCol w:w="41"/>
        <w:gridCol w:w="501"/>
        <w:gridCol w:w="155"/>
        <w:gridCol w:w="36"/>
        <w:gridCol w:w="36"/>
        <w:gridCol w:w="36"/>
        <w:gridCol w:w="41"/>
        <w:gridCol w:w="501"/>
        <w:gridCol w:w="155"/>
        <w:gridCol w:w="36"/>
        <w:gridCol w:w="36"/>
        <w:gridCol w:w="36"/>
        <w:gridCol w:w="41"/>
        <w:gridCol w:w="501"/>
        <w:gridCol w:w="155"/>
        <w:gridCol w:w="36"/>
        <w:gridCol w:w="36"/>
        <w:gridCol w:w="36"/>
        <w:gridCol w:w="41"/>
        <w:gridCol w:w="501"/>
        <w:gridCol w:w="155"/>
      </w:tblGrid>
      <w:tr w:rsidR="00A82082" w14:paraId="7E78566E" w14:textId="77777777">
        <w:trPr>
          <w:jc w:val="center"/>
        </w:trPr>
        <w:tc>
          <w:tcPr>
            <w:tcW w:w="50" w:type="pct"/>
            <w:shd w:val="clear" w:color="auto" w:fill="auto"/>
          </w:tcPr>
          <w:p w14:paraId="7E78563B" w14:textId="77777777" w:rsidR="00A82082" w:rsidRDefault="00A82082">
            <w:pPr>
              <w:rPr>
                <w:rFonts w:ascii="宋体"/>
              </w:rPr>
            </w:pPr>
          </w:p>
        </w:tc>
        <w:tc>
          <w:tcPr>
            <w:tcW w:w="1127" w:type="pct"/>
            <w:shd w:val="clear" w:color="auto" w:fill="auto"/>
          </w:tcPr>
          <w:p w14:paraId="7E78563C" w14:textId="77777777" w:rsidR="00A82082" w:rsidRDefault="00A82082">
            <w:pPr>
              <w:rPr>
                <w:rFonts w:ascii="宋体"/>
              </w:rPr>
            </w:pPr>
          </w:p>
        </w:tc>
        <w:tc>
          <w:tcPr>
            <w:tcW w:w="5" w:type="pct"/>
            <w:shd w:val="clear" w:color="auto" w:fill="auto"/>
          </w:tcPr>
          <w:p w14:paraId="7E78563D" w14:textId="77777777" w:rsidR="00A82082" w:rsidRDefault="00A82082">
            <w:pPr>
              <w:rPr>
                <w:rFonts w:ascii="宋体"/>
              </w:rPr>
            </w:pPr>
          </w:p>
        </w:tc>
        <w:tc>
          <w:tcPr>
            <w:tcW w:w="5" w:type="pct"/>
            <w:shd w:val="clear" w:color="auto" w:fill="auto"/>
          </w:tcPr>
          <w:p w14:paraId="7E78563E" w14:textId="77777777" w:rsidR="00A82082" w:rsidRDefault="00A82082">
            <w:pPr>
              <w:rPr>
                <w:rFonts w:ascii="宋体"/>
              </w:rPr>
            </w:pPr>
          </w:p>
        </w:tc>
        <w:tc>
          <w:tcPr>
            <w:tcW w:w="26" w:type="pct"/>
            <w:shd w:val="clear" w:color="auto" w:fill="auto"/>
          </w:tcPr>
          <w:p w14:paraId="7E78563F" w14:textId="77777777" w:rsidR="00A82082" w:rsidRDefault="00A82082">
            <w:pPr>
              <w:rPr>
                <w:rFonts w:ascii="宋体"/>
              </w:rPr>
            </w:pPr>
          </w:p>
        </w:tc>
        <w:tc>
          <w:tcPr>
            <w:tcW w:w="5" w:type="pct"/>
            <w:shd w:val="clear" w:color="auto" w:fill="auto"/>
          </w:tcPr>
          <w:p w14:paraId="7E785640" w14:textId="77777777" w:rsidR="00A82082" w:rsidRDefault="00A82082">
            <w:pPr>
              <w:rPr>
                <w:rFonts w:ascii="宋体"/>
              </w:rPr>
            </w:pPr>
          </w:p>
        </w:tc>
        <w:tc>
          <w:tcPr>
            <w:tcW w:w="50" w:type="pct"/>
            <w:shd w:val="clear" w:color="auto" w:fill="auto"/>
          </w:tcPr>
          <w:p w14:paraId="7E785641" w14:textId="77777777" w:rsidR="00A82082" w:rsidRDefault="00A82082">
            <w:pPr>
              <w:rPr>
                <w:rFonts w:ascii="宋体"/>
              </w:rPr>
            </w:pPr>
          </w:p>
        </w:tc>
        <w:tc>
          <w:tcPr>
            <w:tcW w:w="385" w:type="pct"/>
            <w:shd w:val="clear" w:color="auto" w:fill="auto"/>
          </w:tcPr>
          <w:p w14:paraId="7E785642" w14:textId="77777777" w:rsidR="00A82082" w:rsidRDefault="00A82082">
            <w:pPr>
              <w:rPr>
                <w:rFonts w:ascii="宋体"/>
              </w:rPr>
            </w:pPr>
          </w:p>
        </w:tc>
        <w:tc>
          <w:tcPr>
            <w:tcW w:w="5" w:type="pct"/>
            <w:shd w:val="clear" w:color="auto" w:fill="auto"/>
          </w:tcPr>
          <w:p w14:paraId="7E785643" w14:textId="77777777" w:rsidR="00A82082" w:rsidRDefault="00A82082">
            <w:pPr>
              <w:rPr>
                <w:rFonts w:ascii="宋体"/>
              </w:rPr>
            </w:pPr>
          </w:p>
        </w:tc>
        <w:tc>
          <w:tcPr>
            <w:tcW w:w="5" w:type="pct"/>
            <w:shd w:val="clear" w:color="auto" w:fill="auto"/>
          </w:tcPr>
          <w:p w14:paraId="7E785644" w14:textId="77777777" w:rsidR="00A82082" w:rsidRDefault="00A82082">
            <w:pPr>
              <w:rPr>
                <w:rFonts w:ascii="宋体"/>
              </w:rPr>
            </w:pPr>
          </w:p>
        </w:tc>
        <w:tc>
          <w:tcPr>
            <w:tcW w:w="26" w:type="pct"/>
            <w:shd w:val="clear" w:color="auto" w:fill="auto"/>
          </w:tcPr>
          <w:p w14:paraId="7E785645" w14:textId="77777777" w:rsidR="00A82082" w:rsidRDefault="00A82082">
            <w:pPr>
              <w:rPr>
                <w:rFonts w:ascii="宋体"/>
              </w:rPr>
            </w:pPr>
          </w:p>
        </w:tc>
        <w:tc>
          <w:tcPr>
            <w:tcW w:w="5" w:type="pct"/>
            <w:shd w:val="clear" w:color="auto" w:fill="auto"/>
          </w:tcPr>
          <w:p w14:paraId="7E785646" w14:textId="77777777" w:rsidR="00A82082" w:rsidRDefault="00A82082">
            <w:pPr>
              <w:rPr>
                <w:rFonts w:ascii="宋体"/>
              </w:rPr>
            </w:pPr>
          </w:p>
        </w:tc>
        <w:tc>
          <w:tcPr>
            <w:tcW w:w="50" w:type="pct"/>
            <w:shd w:val="clear" w:color="auto" w:fill="auto"/>
          </w:tcPr>
          <w:p w14:paraId="7E785647" w14:textId="77777777" w:rsidR="00A82082" w:rsidRDefault="00A82082">
            <w:pPr>
              <w:rPr>
                <w:rFonts w:ascii="宋体"/>
              </w:rPr>
            </w:pPr>
          </w:p>
        </w:tc>
        <w:tc>
          <w:tcPr>
            <w:tcW w:w="385" w:type="pct"/>
            <w:shd w:val="clear" w:color="auto" w:fill="auto"/>
          </w:tcPr>
          <w:p w14:paraId="7E785648" w14:textId="77777777" w:rsidR="00A82082" w:rsidRDefault="00A82082">
            <w:pPr>
              <w:rPr>
                <w:rFonts w:ascii="宋体"/>
              </w:rPr>
            </w:pPr>
          </w:p>
        </w:tc>
        <w:tc>
          <w:tcPr>
            <w:tcW w:w="5" w:type="pct"/>
            <w:shd w:val="clear" w:color="auto" w:fill="auto"/>
          </w:tcPr>
          <w:p w14:paraId="7E785649" w14:textId="77777777" w:rsidR="00A82082" w:rsidRDefault="00A82082">
            <w:pPr>
              <w:rPr>
                <w:rFonts w:ascii="宋体"/>
              </w:rPr>
            </w:pPr>
          </w:p>
        </w:tc>
        <w:tc>
          <w:tcPr>
            <w:tcW w:w="5" w:type="pct"/>
            <w:shd w:val="clear" w:color="auto" w:fill="auto"/>
          </w:tcPr>
          <w:p w14:paraId="7E78564A" w14:textId="77777777" w:rsidR="00A82082" w:rsidRDefault="00A82082">
            <w:pPr>
              <w:rPr>
                <w:rFonts w:ascii="宋体"/>
              </w:rPr>
            </w:pPr>
          </w:p>
        </w:tc>
        <w:tc>
          <w:tcPr>
            <w:tcW w:w="26" w:type="pct"/>
            <w:shd w:val="clear" w:color="auto" w:fill="auto"/>
          </w:tcPr>
          <w:p w14:paraId="7E78564B" w14:textId="77777777" w:rsidR="00A82082" w:rsidRDefault="00A82082">
            <w:pPr>
              <w:rPr>
                <w:rFonts w:ascii="宋体"/>
              </w:rPr>
            </w:pPr>
          </w:p>
        </w:tc>
        <w:tc>
          <w:tcPr>
            <w:tcW w:w="5" w:type="pct"/>
            <w:shd w:val="clear" w:color="auto" w:fill="auto"/>
          </w:tcPr>
          <w:p w14:paraId="7E78564C" w14:textId="77777777" w:rsidR="00A82082" w:rsidRDefault="00A82082">
            <w:pPr>
              <w:rPr>
                <w:rFonts w:ascii="宋体"/>
              </w:rPr>
            </w:pPr>
          </w:p>
        </w:tc>
        <w:tc>
          <w:tcPr>
            <w:tcW w:w="50" w:type="pct"/>
            <w:shd w:val="clear" w:color="auto" w:fill="auto"/>
          </w:tcPr>
          <w:p w14:paraId="7E78564D" w14:textId="77777777" w:rsidR="00A82082" w:rsidRDefault="00A82082">
            <w:pPr>
              <w:rPr>
                <w:rFonts w:ascii="宋体"/>
              </w:rPr>
            </w:pPr>
          </w:p>
        </w:tc>
        <w:tc>
          <w:tcPr>
            <w:tcW w:w="385" w:type="pct"/>
            <w:shd w:val="clear" w:color="auto" w:fill="auto"/>
          </w:tcPr>
          <w:p w14:paraId="7E78564E" w14:textId="77777777" w:rsidR="00A82082" w:rsidRDefault="00A82082">
            <w:pPr>
              <w:rPr>
                <w:rFonts w:ascii="宋体"/>
              </w:rPr>
            </w:pPr>
          </w:p>
        </w:tc>
        <w:tc>
          <w:tcPr>
            <w:tcW w:w="5" w:type="pct"/>
            <w:shd w:val="clear" w:color="auto" w:fill="auto"/>
          </w:tcPr>
          <w:p w14:paraId="7E78564F" w14:textId="77777777" w:rsidR="00A82082" w:rsidRDefault="00A82082">
            <w:pPr>
              <w:rPr>
                <w:rFonts w:ascii="宋体"/>
              </w:rPr>
            </w:pPr>
          </w:p>
        </w:tc>
        <w:tc>
          <w:tcPr>
            <w:tcW w:w="5" w:type="pct"/>
            <w:shd w:val="clear" w:color="auto" w:fill="auto"/>
          </w:tcPr>
          <w:p w14:paraId="7E785650" w14:textId="77777777" w:rsidR="00A82082" w:rsidRDefault="00A82082">
            <w:pPr>
              <w:rPr>
                <w:rFonts w:ascii="宋体"/>
              </w:rPr>
            </w:pPr>
          </w:p>
        </w:tc>
        <w:tc>
          <w:tcPr>
            <w:tcW w:w="26" w:type="pct"/>
            <w:shd w:val="clear" w:color="auto" w:fill="auto"/>
          </w:tcPr>
          <w:p w14:paraId="7E785651" w14:textId="77777777" w:rsidR="00A82082" w:rsidRDefault="00A82082">
            <w:pPr>
              <w:rPr>
                <w:rFonts w:ascii="宋体"/>
              </w:rPr>
            </w:pPr>
          </w:p>
        </w:tc>
        <w:tc>
          <w:tcPr>
            <w:tcW w:w="5" w:type="pct"/>
            <w:shd w:val="clear" w:color="auto" w:fill="auto"/>
          </w:tcPr>
          <w:p w14:paraId="7E785652" w14:textId="77777777" w:rsidR="00A82082" w:rsidRDefault="00A82082">
            <w:pPr>
              <w:rPr>
                <w:rFonts w:ascii="宋体"/>
              </w:rPr>
            </w:pPr>
          </w:p>
        </w:tc>
        <w:tc>
          <w:tcPr>
            <w:tcW w:w="50" w:type="pct"/>
            <w:shd w:val="clear" w:color="auto" w:fill="auto"/>
          </w:tcPr>
          <w:p w14:paraId="7E785653" w14:textId="77777777" w:rsidR="00A82082" w:rsidRDefault="00A82082">
            <w:pPr>
              <w:rPr>
                <w:rFonts w:ascii="宋体"/>
              </w:rPr>
            </w:pPr>
          </w:p>
        </w:tc>
        <w:tc>
          <w:tcPr>
            <w:tcW w:w="385" w:type="pct"/>
            <w:shd w:val="clear" w:color="auto" w:fill="auto"/>
          </w:tcPr>
          <w:p w14:paraId="7E785654" w14:textId="77777777" w:rsidR="00A82082" w:rsidRDefault="00A82082">
            <w:pPr>
              <w:rPr>
                <w:rFonts w:ascii="宋体"/>
              </w:rPr>
            </w:pPr>
          </w:p>
        </w:tc>
        <w:tc>
          <w:tcPr>
            <w:tcW w:w="5" w:type="pct"/>
            <w:shd w:val="clear" w:color="auto" w:fill="auto"/>
          </w:tcPr>
          <w:p w14:paraId="7E785655" w14:textId="77777777" w:rsidR="00A82082" w:rsidRDefault="00A82082">
            <w:pPr>
              <w:rPr>
                <w:rFonts w:ascii="宋体"/>
              </w:rPr>
            </w:pPr>
          </w:p>
        </w:tc>
        <w:tc>
          <w:tcPr>
            <w:tcW w:w="5" w:type="pct"/>
            <w:shd w:val="clear" w:color="auto" w:fill="auto"/>
          </w:tcPr>
          <w:p w14:paraId="7E785656" w14:textId="77777777" w:rsidR="00A82082" w:rsidRDefault="00A82082">
            <w:pPr>
              <w:rPr>
                <w:rFonts w:ascii="宋体"/>
              </w:rPr>
            </w:pPr>
          </w:p>
        </w:tc>
        <w:tc>
          <w:tcPr>
            <w:tcW w:w="26" w:type="pct"/>
            <w:shd w:val="clear" w:color="auto" w:fill="auto"/>
          </w:tcPr>
          <w:p w14:paraId="7E785657" w14:textId="77777777" w:rsidR="00A82082" w:rsidRDefault="00A82082">
            <w:pPr>
              <w:rPr>
                <w:rFonts w:ascii="宋体"/>
              </w:rPr>
            </w:pPr>
          </w:p>
        </w:tc>
        <w:tc>
          <w:tcPr>
            <w:tcW w:w="5" w:type="pct"/>
            <w:shd w:val="clear" w:color="auto" w:fill="auto"/>
          </w:tcPr>
          <w:p w14:paraId="7E785658" w14:textId="77777777" w:rsidR="00A82082" w:rsidRDefault="00A82082">
            <w:pPr>
              <w:rPr>
                <w:rFonts w:ascii="宋体"/>
              </w:rPr>
            </w:pPr>
          </w:p>
        </w:tc>
        <w:tc>
          <w:tcPr>
            <w:tcW w:w="50" w:type="pct"/>
            <w:shd w:val="clear" w:color="auto" w:fill="auto"/>
          </w:tcPr>
          <w:p w14:paraId="7E785659" w14:textId="77777777" w:rsidR="00A82082" w:rsidRDefault="00A82082">
            <w:pPr>
              <w:rPr>
                <w:rFonts w:ascii="宋体"/>
              </w:rPr>
            </w:pPr>
          </w:p>
        </w:tc>
        <w:tc>
          <w:tcPr>
            <w:tcW w:w="385" w:type="pct"/>
            <w:shd w:val="clear" w:color="auto" w:fill="auto"/>
          </w:tcPr>
          <w:p w14:paraId="7E78565A" w14:textId="77777777" w:rsidR="00A82082" w:rsidRDefault="00A82082">
            <w:pPr>
              <w:rPr>
                <w:rFonts w:ascii="宋体"/>
              </w:rPr>
            </w:pPr>
          </w:p>
        </w:tc>
        <w:tc>
          <w:tcPr>
            <w:tcW w:w="5" w:type="pct"/>
            <w:shd w:val="clear" w:color="auto" w:fill="auto"/>
          </w:tcPr>
          <w:p w14:paraId="7E78565B" w14:textId="77777777" w:rsidR="00A82082" w:rsidRDefault="00A82082">
            <w:pPr>
              <w:rPr>
                <w:rFonts w:ascii="宋体"/>
              </w:rPr>
            </w:pPr>
          </w:p>
        </w:tc>
        <w:tc>
          <w:tcPr>
            <w:tcW w:w="5" w:type="pct"/>
            <w:shd w:val="clear" w:color="auto" w:fill="auto"/>
          </w:tcPr>
          <w:p w14:paraId="7E78565C" w14:textId="77777777" w:rsidR="00A82082" w:rsidRDefault="00A82082">
            <w:pPr>
              <w:rPr>
                <w:rFonts w:ascii="宋体"/>
              </w:rPr>
            </w:pPr>
          </w:p>
        </w:tc>
        <w:tc>
          <w:tcPr>
            <w:tcW w:w="26" w:type="pct"/>
            <w:shd w:val="clear" w:color="auto" w:fill="auto"/>
          </w:tcPr>
          <w:p w14:paraId="7E78565D" w14:textId="77777777" w:rsidR="00A82082" w:rsidRDefault="00A82082">
            <w:pPr>
              <w:rPr>
                <w:rFonts w:ascii="宋体"/>
              </w:rPr>
            </w:pPr>
          </w:p>
        </w:tc>
        <w:tc>
          <w:tcPr>
            <w:tcW w:w="5" w:type="pct"/>
            <w:shd w:val="clear" w:color="auto" w:fill="auto"/>
          </w:tcPr>
          <w:p w14:paraId="7E78565E" w14:textId="77777777" w:rsidR="00A82082" w:rsidRDefault="00A82082">
            <w:pPr>
              <w:rPr>
                <w:rFonts w:ascii="宋体"/>
              </w:rPr>
            </w:pPr>
          </w:p>
        </w:tc>
        <w:tc>
          <w:tcPr>
            <w:tcW w:w="50" w:type="pct"/>
            <w:shd w:val="clear" w:color="auto" w:fill="auto"/>
          </w:tcPr>
          <w:p w14:paraId="7E78565F" w14:textId="77777777" w:rsidR="00A82082" w:rsidRDefault="00A82082">
            <w:pPr>
              <w:rPr>
                <w:rFonts w:ascii="宋体"/>
              </w:rPr>
            </w:pPr>
          </w:p>
        </w:tc>
        <w:tc>
          <w:tcPr>
            <w:tcW w:w="385" w:type="pct"/>
            <w:shd w:val="clear" w:color="auto" w:fill="auto"/>
          </w:tcPr>
          <w:p w14:paraId="7E785660" w14:textId="77777777" w:rsidR="00A82082" w:rsidRDefault="00A82082">
            <w:pPr>
              <w:rPr>
                <w:rFonts w:ascii="宋体"/>
              </w:rPr>
            </w:pPr>
          </w:p>
        </w:tc>
        <w:tc>
          <w:tcPr>
            <w:tcW w:w="5" w:type="pct"/>
            <w:shd w:val="clear" w:color="auto" w:fill="auto"/>
          </w:tcPr>
          <w:p w14:paraId="7E785661" w14:textId="77777777" w:rsidR="00A82082" w:rsidRDefault="00A82082">
            <w:pPr>
              <w:rPr>
                <w:rFonts w:ascii="宋体"/>
              </w:rPr>
            </w:pPr>
          </w:p>
        </w:tc>
        <w:tc>
          <w:tcPr>
            <w:tcW w:w="5" w:type="pct"/>
            <w:shd w:val="clear" w:color="auto" w:fill="auto"/>
          </w:tcPr>
          <w:p w14:paraId="7E785662" w14:textId="77777777" w:rsidR="00A82082" w:rsidRDefault="00A82082">
            <w:pPr>
              <w:rPr>
                <w:rFonts w:ascii="宋体"/>
              </w:rPr>
            </w:pPr>
          </w:p>
        </w:tc>
        <w:tc>
          <w:tcPr>
            <w:tcW w:w="26" w:type="pct"/>
            <w:shd w:val="clear" w:color="auto" w:fill="auto"/>
          </w:tcPr>
          <w:p w14:paraId="7E785663" w14:textId="77777777" w:rsidR="00A82082" w:rsidRDefault="00A82082">
            <w:pPr>
              <w:rPr>
                <w:rFonts w:ascii="宋体"/>
              </w:rPr>
            </w:pPr>
          </w:p>
        </w:tc>
        <w:tc>
          <w:tcPr>
            <w:tcW w:w="5" w:type="pct"/>
            <w:shd w:val="clear" w:color="auto" w:fill="auto"/>
          </w:tcPr>
          <w:p w14:paraId="7E785664" w14:textId="77777777" w:rsidR="00A82082" w:rsidRDefault="00A82082">
            <w:pPr>
              <w:rPr>
                <w:rFonts w:ascii="宋体"/>
              </w:rPr>
            </w:pPr>
          </w:p>
        </w:tc>
        <w:tc>
          <w:tcPr>
            <w:tcW w:w="50" w:type="pct"/>
            <w:shd w:val="clear" w:color="auto" w:fill="auto"/>
          </w:tcPr>
          <w:p w14:paraId="7E785665" w14:textId="77777777" w:rsidR="00A82082" w:rsidRDefault="00A82082">
            <w:pPr>
              <w:rPr>
                <w:rFonts w:ascii="宋体"/>
              </w:rPr>
            </w:pPr>
          </w:p>
        </w:tc>
        <w:tc>
          <w:tcPr>
            <w:tcW w:w="385" w:type="pct"/>
            <w:shd w:val="clear" w:color="auto" w:fill="auto"/>
          </w:tcPr>
          <w:p w14:paraId="7E785666" w14:textId="77777777" w:rsidR="00A82082" w:rsidRDefault="00A82082">
            <w:pPr>
              <w:rPr>
                <w:rFonts w:ascii="宋体"/>
              </w:rPr>
            </w:pPr>
          </w:p>
        </w:tc>
        <w:tc>
          <w:tcPr>
            <w:tcW w:w="5" w:type="pct"/>
            <w:shd w:val="clear" w:color="auto" w:fill="auto"/>
          </w:tcPr>
          <w:p w14:paraId="7E785667" w14:textId="77777777" w:rsidR="00A82082" w:rsidRDefault="00A82082">
            <w:pPr>
              <w:rPr>
                <w:rFonts w:ascii="宋体"/>
              </w:rPr>
            </w:pPr>
          </w:p>
        </w:tc>
        <w:tc>
          <w:tcPr>
            <w:tcW w:w="5" w:type="pct"/>
            <w:shd w:val="clear" w:color="auto" w:fill="auto"/>
          </w:tcPr>
          <w:p w14:paraId="7E785668" w14:textId="77777777" w:rsidR="00A82082" w:rsidRDefault="00A82082">
            <w:pPr>
              <w:rPr>
                <w:rFonts w:ascii="宋体"/>
              </w:rPr>
            </w:pPr>
          </w:p>
        </w:tc>
        <w:tc>
          <w:tcPr>
            <w:tcW w:w="26" w:type="pct"/>
            <w:shd w:val="clear" w:color="auto" w:fill="auto"/>
          </w:tcPr>
          <w:p w14:paraId="7E785669" w14:textId="77777777" w:rsidR="00A82082" w:rsidRDefault="00A82082">
            <w:pPr>
              <w:rPr>
                <w:rFonts w:ascii="宋体"/>
              </w:rPr>
            </w:pPr>
          </w:p>
        </w:tc>
        <w:tc>
          <w:tcPr>
            <w:tcW w:w="5" w:type="pct"/>
            <w:shd w:val="clear" w:color="auto" w:fill="auto"/>
          </w:tcPr>
          <w:p w14:paraId="7E78566A" w14:textId="77777777" w:rsidR="00A82082" w:rsidRDefault="00A82082">
            <w:pPr>
              <w:rPr>
                <w:rFonts w:ascii="宋体"/>
              </w:rPr>
            </w:pPr>
          </w:p>
        </w:tc>
        <w:tc>
          <w:tcPr>
            <w:tcW w:w="50" w:type="pct"/>
            <w:shd w:val="clear" w:color="auto" w:fill="auto"/>
          </w:tcPr>
          <w:p w14:paraId="7E78566B" w14:textId="77777777" w:rsidR="00A82082" w:rsidRDefault="00A82082">
            <w:pPr>
              <w:rPr>
                <w:rFonts w:ascii="宋体"/>
              </w:rPr>
            </w:pPr>
          </w:p>
        </w:tc>
        <w:tc>
          <w:tcPr>
            <w:tcW w:w="385" w:type="pct"/>
            <w:shd w:val="clear" w:color="auto" w:fill="auto"/>
          </w:tcPr>
          <w:p w14:paraId="7E78566C" w14:textId="77777777" w:rsidR="00A82082" w:rsidRDefault="00A82082">
            <w:pPr>
              <w:rPr>
                <w:rFonts w:ascii="宋体"/>
              </w:rPr>
            </w:pPr>
          </w:p>
        </w:tc>
        <w:tc>
          <w:tcPr>
            <w:tcW w:w="5" w:type="pct"/>
            <w:shd w:val="clear" w:color="auto" w:fill="auto"/>
          </w:tcPr>
          <w:p w14:paraId="7E78566D" w14:textId="77777777" w:rsidR="00A82082" w:rsidRDefault="00A82082">
            <w:pPr>
              <w:rPr>
                <w:rFonts w:ascii="宋体"/>
              </w:rPr>
            </w:pPr>
          </w:p>
        </w:tc>
      </w:tr>
      <w:tr w:rsidR="00A82082" w14:paraId="7E785674" w14:textId="77777777">
        <w:trPr>
          <w:jc w:val="center"/>
        </w:trPr>
        <w:tc>
          <w:tcPr>
            <w:tcW w:w="0" w:type="auto"/>
            <w:gridSpan w:val="3"/>
            <w:shd w:val="clear" w:color="auto" w:fill="auto"/>
            <w:tcMar>
              <w:top w:w="40" w:type="dxa"/>
              <w:left w:w="20" w:type="dxa"/>
              <w:bottom w:w="40" w:type="dxa"/>
              <w:right w:w="20" w:type="dxa"/>
            </w:tcMar>
            <w:vAlign w:val="center"/>
          </w:tcPr>
          <w:p w14:paraId="7E78566F"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670" w14:textId="77777777" w:rsidR="00A82082" w:rsidRDefault="00A82082">
            <w:pPr>
              <w:rPr>
                <w:rFonts w:ascii="宋体"/>
              </w:rPr>
            </w:pPr>
          </w:p>
        </w:tc>
        <w:tc>
          <w:tcPr>
            <w:tcW w:w="0" w:type="auto"/>
            <w:gridSpan w:val="21"/>
            <w:shd w:val="clear" w:color="auto" w:fill="auto"/>
            <w:tcMar>
              <w:top w:w="40" w:type="dxa"/>
              <w:left w:w="20" w:type="dxa"/>
              <w:bottom w:w="40" w:type="dxa"/>
              <w:right w:w="20" w:type="dxa"/>
            </w:tcMar>
            <w:vAlign w:val="center"/>
          </w:tcPr>
          <w:p w14:paraId="7E785671" w14:textId="77777777" w:rsidR="00A82082" w:rsidRDefault="00E946F9">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672" w14:textId="77777777" w:rsidR="00A82082" w:rsidRDefault="00A82082">
            <w:pPr>
              <w:rPr>
                <w:rFonts w:ascii="宋体"/>
              </w:rPr>
            </w:pPr>
          </w:p>
        </w:tc>
        <w:tc>
          <w:tcPr>
            <w:tcW w:w="0" w:type="auto"/>
            <w:gridSpan w:val="21"/>
            <w:shd w:val="clear" w:color="auto" w:fill="auto"/>
            <w:tcMar>
              <w:top w:w="40" w:type="dxa"/>
              <w:left w:w="20" w:type="dxa"/>
              <w:bottom w:w="40" w:type="dxa"/>
              <w:right w:w="20" w:type="dxa"/>
            </w:tcMar>
            <w:vAlign w:val="center"/>
          </w:tcPr>
          <w:p w14:paraId="7E785673" w14:textId="77777777" w:rsidR="00A82082" w:rsidRDefault="00E946F9">
            <w:pPr>
              <w:jc w:val="center"/>
              <w:textAlignment w:val="center"/>
            </w:pPr>
            <w:r>
              <w:rPr>
                <w:rFonts w:ascii="Times New Roman" w:eastAsia="宋体" w:hAnsi="Times New Roman"/>
                <w:b/>
                <w:bCs/>
                <w:color w:val="000000"/>
                <w:sz w:val="16"/>
                <w:szCs w:val="16"/>
              </w:rPr>
              <w:t>Nine Months Ended October 31,</w:t>
            </w:r>
          </w:p>
        </w:tc>
      </w:tr>
      <w:tr w:rsidR="00A82082" w14:paraId="7E785686" w14:textId="77777777">
        <w:trPr>
          <w:jc w:val="center"/>
        </w:trPr>
        <w:tc>
          <w:tcPr>
            <w:tcW w:w="0" w:type="auto"/>
            <w:gridSpan w:val="3"/>
            <w:shd w:val="clear" w:color="auto" w:fill="auto"/>
            <w:tcMar>
              <w:top w:w="40" w:type="dxa"/>
              <w:left w:w="20" w:type="dxa"/>
              <w:bottom w:w="40" w:type="dxa"/>
              <w:right w:w="20" w:type="dxa"/>
            </w:tcMar>
            <w:vAlign w:val="center"/>
          </w:tcPr>
          <w:p w14:paraId="7E785675"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676"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677"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678"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785679"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7E78567A"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67B"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67C"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78567D"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67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67F"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680"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785681"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7E78568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683"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684"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785685" w14:textId="77777777" w:rsidR="00A82082" w:rsidRDefault="00E946F9">
            <w:pPr>
              <w:jc w:val="center"/>
              <w:textAlignment w:val="center"/>
            </w:pPr>
            <w:r>
              <w:rPr>
                <w:rFonts w:ascii="Times New Roman" w:eastAsia="宋体" w:hAnsi="Times New Roman"/>
                <w:b/>
                <w:bCs/>
                <w:color w:val="000000"/>
                <w:sz w:val="16"/>
                <w:szCs w:val="16"/>
              </w:rPr>
              <w:t>2019</w:t>
            </w:r>
          </w:p>
        </w:tc>
      </w:tr>
      <w:tr w:rsidR="00A82082" w14:paraId="7E785690" w14:textId="77777777">
        <w:trPr>
          <w:jc w:val="center"/>
        </w:trPr>
        <w:tc>
          <w:tcPr>
            <w:tcW w:w="0" w:type="auto"/>
            <w:gridSpan w:val="3"/>
            <w:shd w:val="clear" w:color="auto" w:fill="auto"/>
            <w:tcMar>
              <w:top w:w="40" w:type="dxa"/>
              <w:left w:w="20" w:type="dxa"/>
              <w:bottom w:w="40" w:type="dxa"/>
              <w:right w:w="20" w:type="dxa"/>
            </w:tcMar>
            <w:vAlign w:val="center"/>
          </w:tcPr>
          <w:p w14:paraId="7E785687"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688" w14:textId="77777777" w:rsidR="00A82082" w:rsidRDefault="00A8208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785689" w14:textId="77777777" w:rsidR="00A82082" w:rsidRDefault="00E946F9">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tcPr>
          <w:p w14:paraId="7E78568A" w14:textId="77777777" w:rsidR="00A82082" w:rsidRDefault="00A8208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78568B" w14:textId="77777777" w:rsidR="00A82082" w:rsidRDefault="00E946F9">
            <w:pPr>
              <w:jc w:val="center"/>
              <w:textAlignment w:val="center"/>
            </w:pPr>
            <w:r>
              <w:rPr>
                <w:rFonts w:ascii="Times New Roman" w:eastAsia="宋体" w:hAnsi="Times New Roman"/>
                <w:b/>
                <w:bCs/>
                <w:color w:val="000000"/>
                <w:sz w:val="16"/>
                <w:szCs w:val="16"/>
              </w:rPr>
              <w:t>Fuel Impact</w:t>
            </w:r>
          </w:p>
        </w:tc>
        <w:tc>
          <w:tcPr>
            <w:tcW w:w="0" w:type="auto"/>
            <w:gridSpan w:val="3"/>
            <w:shd w:val="clear" w:color="auto" w:fill="auto"/>
            <w:tcMar>
              <w:top w:w="0" w:type="dxa"/>
              <w:left w:w="20" w:type="dxa"/>
              <w:bottom w:w="0" w:type="dxa"/>
              <w:right w:w="20" w:type="dxa"/>
            </w:tcMar>
          </w:tcPr>
          <w:p w14:paraId="7E78568C" w14:textId="77777777" w:rsidR="00A82082" w:rsidRDefault="00A8208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78568D" w14:textId="77777777" w:rsidR="00A82082" w:rsidRDefault="00E946F9">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tcPr>
          <w:p w14:paraId="7E78568E" w14:textId="77777777" w:rsidR="00A82082" w:rsidRDefault="00A8208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78568F" w14:textId="77777777" w:rsidR="00A82082" w:rsidRDefault="00E946F9">
            <w:pPr>
              <w:jc w:val="center"/>
              <w:textAlignment w:val="center"/>
            </w:pPr>
            <w:r>
              <w:rPr>
                <w:rFonts w:ascii="Times New Roman" w:eastAsia="宋体" w:hAnsi="Times New Roman"/>
                <w:b/>
                <w:bCs/>
                <w:color w:val="000000"/>
                <w:sz w:val="16"/>
                <w:szCs w:val="16"/>
              </w:rPr>
              <w:t>Fuel Impact</w:t>
            </w:r>
          </w:p>
        </w:tc>
      </w:tr>
      <w:tr w:rsidR="00A82082" w14:paraId="7E7856AA" w14:textId="77777777">
        <w:trPr>
          <w:jc w:val="center"/>
        </w:trPr>
        <w:tc>
          <w:tcPr>
            <w:tcW w:w="0" w:type="auto"/>
            <w:gridSpan w:val="3"/>
            <w:shd w:val="clear" w:color="auto" w:fill="CCEEFF"/>
            <w:tcMar>
              <w:top w:w="40" w:type="dxa"/>
              <w:left w:w="20" w:type="dxa"/>
              <w:bottom w:w="40" w:type="dxa"/>
              <w:right w:w="20" w:type="dxa"/>
            </w:tcMar>
            <w:vAlign w:val="center"/>
          </w:tcPr>
          <w:p w14:paraId="7E785691" w14:textId="77777777" w:rsidR="00A82082" w:rsidRDefault="00E946F9">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7E785692"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93" w14:textId="77777777" w:rsidR="00A82082" w:rsidRDefault="00E946F9">
            <w:pPr>
              <w:jc w:val="right"/>
              <w:textAlignment w:val="center"/>
            </w:pPr>
            <w:r>
              <w:rPr>
                <w:rFonts w:ascii="Times New Roman" w:eastAsia="宋体" w:hAnsi="Times New Roman"/>
                <w:color w:val="000000"/>
                <w:sz w:val="16"/>
                <w:szCs w:val="16"/>
              </w:rPr>
              <w:t>6.6 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9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7E785695"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96" w14:textId="77777777" w:rsidR="00A82082" w:rsidRDefault="00E946F9">
            <w:pPr>
              <w:jc w:val="right"/>
              <w:textAlignment w:val="center"/>
            </w:pPr>
            <w:r>
              <w:rPr>
                <w:rFonts w:ascii="Times New Roman" w:eastAsia="宋体" w:hAnsi="Times New Roman"/>
                <w:color w:val="000000"/>
                <w:sz w:val="16"/>
                <w:szCs w:val="16"/>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9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98"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99" w14:textId="77777777" w:rsidR="00A82082" w:rsidRDefault="00E946F9">
            <w:pPr>
              <w:jc w:val="right"/>
              <w:textAlignment w:val="center"/>
            </w:pPr>
            <w:r>
              <w:rPr>
                <w:rFonts w:ascii="Times New Roman" w:eastAsia="宋体" w:hAnsi="Times New Roman"/>
                <w:color w:val="000000"/>
                <w:sz w:val="16"/>
                <w:szCs w:val="16"/>
              </w:rPr>
              <w:t>(0.1)</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9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7E78569B"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9C" w14:textId="77777777" w:rsidR="00A82082" w:rsidRDefault="00E946F9">
            <w:pPr>
              <w:jc w:val="right"/>
              <w:textAlignment w:val="center"/>
            </w:pPr>
            <w:r>
              <w:rPr>
                <w:rFonts w:ascii="Times New Roman" w:eastAsia="宋体" w:hAnsi="Times New Roman"/>
                <w:color w:val="000000"/>
                <w:sz w:val="16"/>
                <w:szCs w:val="16"/>
              </w:rPr>
              <w:t>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9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9E"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9F" w14:textId="77777777" w:rsidR="00A82082" w:rsidRDefault="00E946F9">
            <w:pPr>
              <w:jc w:val="right"/>
              <w:textAlignment w:val="center"/>
            </w:pPr>
            <w:r>
              <w:rPr>
                <w:rFonts w:ascii="Times New Roman" w:eastAsia="宋体" w:hAnsi="Times New Roman"/>
                <w:color w:val="000000"/>
                <w:sz w:val="16"/>
                <w:szCs w:val="16"/>
              </w:rPr>
              <w:t>8.9 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A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7E7856A1"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A2" w14:textId="77777777" w:rsidR="00A82082" w:rsidRDefault="00E946F9">
            <w:pPr>
              <w:jc w:val="right"/>
              <w:textAlignment w:val="center"/>
            </w:pPr>
            <w:r>
              <w:rPr>
                <w:rFonts w:ascii="Times New Roman" w:eastAsia="宋体" w:hAnsi="Times New Roman"/>
                <w:color w:val="000000"/>
                <w:sz w:val="16"/>
                <w:szCs w:val="16"/>
              </w:rPr>
              <w:t>3.1 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A3"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A4"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A5" w14:textId="77777777" w:rsidR="00A82082" w:rsidRDefault="00E946F9">
            <w:pPr>
              <w:jc w:val="right"/>
              <w:textAlignment w:val="center"/>
            </w:pPr>
            <w:r>
              <w:rPr>
                <w:rFonts w:ascii="Times New Roman" w:eastAsia="宋体" w:hAnsi="Times New Roman"/>
                <w:color w:val="000000"/>
                <w:sz w:val="16"/>
                <w:szCs w:val="16"/>
              </w:rPr>
              <w:t>(0.2)</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A6"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7E7856A7"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A8" w14:textId="77777777" w:rsidR="00A82082" w:rsidRDefault="00E946F9">
            <w:pPr>
              <w:jc w:val="right"/>
              <w:textAlignment w:val="center"/>
            </w:pPr>
            <w:r>
              <w:rPr>
                <w:rFonts w:ascii="Times New Roman" w:eastAsia="宋体" w:hAnsi="Times New Roman"/>
                <w:color w:val="000000"/>
                <w:sz w:val="16"/>
                <w:szCs w:val="16"/>
              </w:rPr>
              <w:t>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A9"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6C4" w14:textId="77777777">
        <w:trPr>
          <w:jc w:val="center"/>
        </w:trPr>
        <w:tc>
          <w:tcPr>
            <w:tcW w:w="0" w:type="auto"/>
            <w:gridSpan w:val="3"/>
            <w:shd w:val="clear" w:color="auto" w:fill="FFFFFF"/>
            <w:tcMar>
              <w:top w:w="40" w:type="dxa"/>
              <w:left w:w="20" w:type="dxa"/>
              <w:bottom w:w="40" w:type="dxa"/>
              <w:right w:w="20" w:type="dxa"/>
            </w:tcMar>
            <w:vAlign w:val="center"/>
          </w:tcPr>
          <w:p w14:paraId="7E7856AB" w14:textId="77777777" w:rsidR="00A82082" w:rsidRDefault="00E946F9">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tcPr>
          <w:p w14:paraId="7E7856A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AD" w14:textId="77777777" w:rsidR="00A82082" w:rsidRDefault="00E946F9">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7E7856AE"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A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0" w14:textId="77777777" w:rsidR="00A82082" w:rsidRDefault="00E946F9">
            <w:pPr>
              <w:jc w:val="right"/>
              <w:textAlignment w:val="center"/>
            </w:pPr>
            <w:r>
              <w:rPr>
                <w:rFonts w:ascii="Times New Roman" w:eastAsia="宋体" w:hAnsi="Times New Roman"/>
                <w:color w:val="000000"/>
                <w:sz w:val="16"/>
                <w:szCs w:val="16"/>
              </w:rPr>
              <w:t>0.6 </w:t>
            </w:r>
          </w:p>
        </w:tc>
        <w:tc>
          <w:tcPr>
            <w:tcW w:w="0" w:type="auto"/>
            <w:shd w:val="clear" w:color="auto" w:fill="FFFFFF"/>
            <w:tcMar>
              <w:top w:w="40" w:type="dxa"/>
              <w:left w:w="0" w:type="dxa"/>
              <w:bottom w:w="40" w:type="dxa"/>
              <w:right w:w="20" w:type="dxa"/>
            </w:tcMar>
            <w:vAlign w:val="center"/>
          </w:tcPr>
          <w:p w14:paraId="7E7856B1"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B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3" w14:textId="77777777" w:rsidR="00A82082" w:rsidRDefault="00E946F9">
            <w:pPr>
              <w:jc w:val="right"/>
              <w:textAlignment w:val="center"/>
            </w:pPr>
            <w:r>
              <w:rPr>
                <w:rFonts w:ascii="Times New Roman" w:eastAsia="宋体" w:hAnsi="Times New Roman"/>
                <w:color w:val="000000"/>
                <w:sz w:val="16"/>
                <w:szCs w:val="16"/>
              </w:rPr>
              <w:t>(3.3)</w:t>
            </w:r>
          </w:p>
        </w:tc>
        <w:tc>
          <w:tcPr>
            <w:tcW w:w="0" w:type="auto"/>
            <w:shd w:val="clear" w:color="auto" w:fill="FFFFFF"/>
            <w:tcMar>
              <w:top w:w="40" w:type="dxa"/>
              <w:left w:w="0" w:type="dxa"/>
              <w:bottom w:w="40" w:type="dxa"/>
              <w:right w:w="20" w:type="dxa"/>
            </w:tcMar>
            <w:vAlign w:val="center"/>
          </w:tcPr>
          <w:p w14:paraId="7E7856B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B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6" w14:textId="77777777" w:rsidR="00A82082" w:rsidRDefault="00E946F9">
            <w:pPr>
              <w:jc w:val="right"/>
              <w:textAlignment w:val="center"/>
            </w:pPr>
            <w:r>
              <w:rPr>
                <w:rFonts w:ascii="Times New Roman" w:eastAsia="宋体" w:hAnsi="Times New Roman"/>
                <w:color w:val="000000"/>
                <w:sz w:val="16"/>
                <w:szCs w:val="16"/>
              </w:rPr>
              <w:t>0.1 </w:t>
            </w:r>
          </w:p>
        </w:tc>
        <w:tc>
          <w:tcPr>
            <w:tcW w:w="0" w:type="auto"/>
            <w:shd w:val="clear" w:color="auto" w:fill="FFFFFF"/>
            <w:tcMar>
              <w:top w:w="40" w:type="dxa"/>
              <w:left w:w="0" w:type="dxa"/>
              <w:bottom w:w="40" w:type="dxa"/>
              <w:right w:w="20" w:type="dxa"/>
            </w:tcMar>
            <w:vAlign w:val="center"/>
          </w:tcPr>
          <w:p w14:paraId="7E7856B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B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9" w14:textId="77777777" w:rsidR="00A82082" w:rsidRDefault="00E946F9">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7E7856B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B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C"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7E7856B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B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BF" w14:textId="77777777" w:rsidR="00A82082" w:rsidRDefault="00E946F9">
            <w:pPr>
              <w:jc w:val="right"/>
              <w:textAlignment w:val="center"/>
            </w:pPr>
            <w:r>
              <w:rPr>
                <w:rFonts w:ascii="Times New Roman" w:eastAsia="宋体" w:hAnsi="Times New Roman"/>
                <w:color w:val="000000"/>
                <w:sz w:val="16"/>
                <w:szCs w:val="16"/>
              </w:rPr>
              <w:t>(3.8)</w:t>
            </w:r>
          </w:p>
        </w:tc>
        <w:tc>
          <w:tcPr>
            <w:tcW w:w="0" w:type="auto"/>
            <w:shd w:val="clear" w:color="auto" w:fill="FFFFFF"/>
            <w:tcMar>
              <w:top w:w="40" w:type="dxa"/>
              <w:left w:w="0" w:type="dxa"/>
              <w:bottom w:w="40" w:type="dxa"/>
              <w:right w:w="20" w:type="dxa"/>
            </w:tcMar>
            <w:vAlign w:val="center"/>
          </w:tcPr>
          <w:p w14:paraId="7E7856C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6C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6C2" w14:textId="77777777" w:rsidR="00A82082" w:rsidRDefault="00E946F9">
            <w:pPr>
              <w:jc w:val="right"/>
              <w:textAlignment w:val="center"/>
            </w:pPr>
            <w:r>
              <w:rPr>
                <w:rFonts w:ascii="Times New Roman" w:eastAsia="宋体" w:hAnsi="Times New Roman"/>
                <w:color w:val="000000"/>
                <w:sz w:val="16"/>
                <w:szCs w:val="16"/>
              </w:rPr>
              <w:t>0.6 </w:t>
            </w:r>
          </w:p>
        </w:tc>
        <w:tc>
          <w:tcPr>
            <w:tcW w:w="0" w:type="auto"/>
            <w:shd w:val="clear" w:color="auto" w:fill="FFFFFF"/>
            <w:tcMar>
              <w:top w:w="40" w:type="dxa"/>
              <w:left w:w="0" w:type="dxa"/>
              <w:bottom w:w="40" w:type="dxa"/>
              <w:right w:w="20" w:type="dxa"/>
            </w:tcMar>
            <w:vAlign w:val="center"/>
          </w:tcPr>
          <w:p w14:paraId="7E7856C3"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6DE" w14:textId="77777777">
        <w:trPr>
          <w:jc w:val="center"/>
        </w:trPr>
        <w:tc>
          <w:tcPr>
            <w:tcW w:w="0" w:type="auto"/>
            <w:gridSpan w:val="3"/>
            <w:shd w:val="clear" w:color="auto" w:fill="CCEEFF"/>
            <w:tcMar>
              <w:top w:w="40" w:type="dxa"/>
              <w:left w:w="20" w:type="dxa"/>
              <w:bottom w:w="40" w:type="dxa"/>
              <w:right w:w="20" w:type="dxa"/>
            </w:tcMar>
            <w:vAlign w:val="center"/>
          </w:tcPr>
          <w:p w14:paraId="7E7856C5" w14:textId="77777777" w:rsidR="00A82082" w:rsidRDefault="00E946F9">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tcPr>
          <w:p w14:paraId="7E7856C6"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C7" w14:textId="77777777" w:rsidR="00A82082" w:rsidRDefault="00E946F9">
            <w:pPr>
              <w:jc w:val="right"/>
              <w:textAlignment w:val="center"/>
            </w:pPr>
            <w:r>
              <w:rPr>
                <w:rFonts w:ascii="Times New Roman" w:eastAsia="宋体" w:hAnsi="Times New Roman"/>
                <w:color w:val="000000"/>
                <w:sz w:val="16"/>
                <w:szCs w:val="16"/>
              </w:rPr>
              <w:t>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C8"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C9"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CA" w14:textId="77777777" w:rsidR="00A82082" w:rsidRDefault="00E946F9">
            <w:pPr>
              <w:jc w:val="right"/>
              <w:textAlignment w:val="center"/>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CB"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CC"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CD" w14:textId="77777777" w:rsidR="00A82082" w:rsidRDefault="00E946F9">
            <w:pPr>
              <w:jc w:val="right"/>
              <w:textAlignment w:val="center"/>
            </w:pPr>
            <w:r>
              <w:rPr>
                <w:rFonts w:ascii="Times New Roman" w:eastAsia="宋体" w:hAnsi="Times New Roman"/>
                <w:color w:val="000000"/>
                <w:sz w:val="16"/>
                <w:szCs w:val="16"/>
              </w:rPr>
              <w:t>(0.6)</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CE"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CF"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D0" w14:textId="77777777" w:rsidR="00A82082" w:rsidRDefault="00E946F9">
            <w:pPr>
              <w:jc w:val="right"/>
              <w:textAlignment w:val="center"/>
            </w:pPr>
            <w:r>
              <w:rPr>
                <w:rFonts w:ascii="Times New Roman" w:eastAsia="宋体" w:hAnsi="Times New Roman"/>
                <w:color w:val="000000"/>
                <w:sz w:val="16"/>
                <w:szCs w:val="16"/>
              </w:rPr>
              <w:t>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D1"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D2"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D3" w14:textId="77777777" w:rsidR="00A82082" w:rsidRDefault="00E946F9">
            <w:pPr>
              <w:jc w:val="right"/>
              <w:textAlignment w:val="center"/>
            </w:pPr>
            <w:r>
              <w:rPr>
                <w:rFonts w:ascii="Times New Roman" w:eastAsia="宋体" w:hAnsi="Times New Roman"/>
                <w:color w:val="000000"/>
                <w:sz w:val="16"/>
                <w:szCs w:val="16"/>
              </w:rPr>
              <w:t>8.9 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D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D5"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D6" w14:textId="77777777" w:rsidR="00A82082" w:rsidRDefault="00E946F9">
            <w:pPr>
              <w:jc w:val="right"/>
              <w:textAlignment w:val="center"/>
            </w:pPr>
            <w:r>
              <w:rPr>
                <w:rFonts w:ascii="Times New Roman" w:eastAsia="宋体" w:hAnsi="Times New Roman"/>
                <w:color w:val="000000"/>
                <w:sz w:val="16"/>
                <w:szCs w:val="16"/>
              </w:rPr>
              <w:t>2.8 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D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D8"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D9" w14:textId="77777777" w:rsidR="00A82082" w:rsidRDefault="00E946F9">
            <w:pPr>
              <w:jc w:val="right"/>
              <w:textAlignment w:val="center"/>
            </w:pPr>
            <w:r>
              <w:rPr>
                <w:rFonts w:ascii="Times New Roman" w:eastAsia="宋体" w:hAnsi="Times New Roman"/>
                <w:color w:val="000000"/>
                <w:sz w:val="16"/>
                <w:szCs w:val="16"/>
              </w:rPr>
              <w:t>(0.7)</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D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6DB"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6DC" w14:textId="77777777" w:rsidR="00A82082" w:rsidRDefault="00E946F9">
            <w:pPr>
              <w:jc w:val="right"/>
              <w:textAlignment w:val="center"/>
            </w:pPr>
            <w:r>
              <w:rPr>
                <w:rFonts w:ascii="Times New Roman" w:eastAsia="宋体" w:hAnsi="Times New Roman"/>
                <w:color w:val="000000"/>
                <w:sz w:val="16"/>
                <w:szCs w:val="16"/>
              </w:rPr>
              <w:t>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6DD" w14:textId="77777777" w:rsidR="00A82082" w:rsidRDefault="00E946F9">
            <w:pPr>
              <w:jc w:val="right"/>
              <w:textAlignment w:val="center"/>
            </w:pPr>
            <w:r>
              <w:rPr>
                <w:rFonts w:ascii="Times New Roman" w:eastAsia="宋体" w:hAnsi="Times New Roman"/>
                <w:color w:val="000000"/>
                <w:sz w:val="16"/>
                <w:szCs w:val="16"/>
              </w:rPr>
              <w:t>%</w:t>
            </w:r>
          </w:p>
        </w:tc>
      </w:tr>
    </w:tbl>
    <w:p w14:paraId="7E7856DF" w14:textId="77777777" w:rsidR="00A82082" w:rsidRDefault="00E946F9">
      <w:pPr>
        <w:spacing w:before="180"/>
      </w:pPr>
      <w:r>
        <w:rPr>
          <w:rFonts w:ascii="Times New Roman" w:eastAsia="宋体" w:hAnsi="Times New Roman"/>
          <w:color w:val="000000"/>
          <w:sz w:val="20"/>
          <w:szCs w:val="20"/>
        </w:rPr>
        <w:t>Comparable sales in the U.S., including fuel, increased 6.8% and 8.9% for the three and nine months ended October 31, 2020, respectively, when compare</w:t>
      </w:r>
      <w:r>
        <w:rPr>
          <w:rFonts w:ascii="Times New Roman" w:eastAsia="宋体" w:hAnsi="Times New Roman"/>
          <w:color w:val="000000"/>
          <w:sz w:val="20"/>
          <w:szCs w:val="20"/>
        </w:rPr>
        <w:t>d to the same period in the previous fiscal year. The Walmart U.S. segment had comparable sales growth of 6.6% and 8.9% for the three and nine months ended October 31, 2020, respectively, driven by growth in average ticket primarily resulting from increase</w:t>
      </w:r>
      <w:r>
        <w:rPr>
          <w:rFonts w:ascii="Times New Roman" w:eastAsia="宋体" w:hAnsi="Times New Roman"/>
          <w:color w:val="000000"/>
          <w:sz w:val="20"/>
          <w:szCs w:val="20"/>
        </w:rPr>
        <w:t xml:space="preserve">d demand due to the COVID-19 pandemic, partially offset by a decline in transactions as customers consolidated shopping trips. Beginning in mid-September, we began seeing improvement in transactions as store hours were slightly expanded. With the shift in </w:t>
      </w:r>
      <w:r>
        <w:rPr>
          <w:rFonts w:ascii="Times New Roman" w:eastAsia="宋体" w:hAnsi="Times New Roman"/>
          <w:color w:val="000000"/>
          <w:sz w:val="20"/>
          <w:szCs w:val="20"/>
        </w:rPr>
        <w:t>purchasing behavior, Walmart U.S. segment's eCommerce sales positively contributed approximately 5.6% and 5.2% to comparable sales for the three and nine months ended October 31, 2020, respectively, and was primarily driven by store pickup and delivery and</w:t>
      </w:r>
      <w:r>
        <w:rPr>
          <w:rFonts w:ascii="Times New Roman" w:eastAsia="宋体" w:hAnsi="Times New Roman"/>
          <w:color w:val="000000"/>
          <w:sz w:val="20"/>
          <w:szCs w:val="20"/>
        </w:rPr>
        <w:t xml:space="preserve"> walmart.com. </w:t>
      </w:r>
    </w:p>
    <w:p w14:paraId="7E7856E0" w14:textId="77777777" w:rsidR="00A82082" w:rsidRDefault="00E946F9">
      <w:pPr>
        <w:spacing w:before="100"/>
      </w:pPr>
      <w:r>
        <w:rPr>
          <w:rFonts w:ascii="Times New Roman" w:eastAsia="宋体" w:hAnsi="Times New Roman"/>
          <w:color w:val="000000"/>
          <w:sz w:val="20"/>
          <w:szCs w:val="20"/>
        </w:rPr>
        <w:t>Comparable sales at the Sam's Club segment were 8.3% and 8.9% for the three and nine months ended October 31, 2020, respectively. The Sam's Club segment's comparable sales benefited from growth in transactions and average ticket resulting from the COVID-19</w:t>
      </w:r>
      <w:r>
        <w:rPr>
          <w:rFonts w:ascii="Times New Roman" w:eastAsia="宋体" w:hAnsi="Times New Roman"/>
          <w:color w:val="000000"/>
          <w:sz w:val="20"/>
          <w:szCs w:val="20"/>
        </w:rPr>
        <w:t xml:space="preserve"> pandemic, partially offset by both our decision to remove tobacco from certain club locations and by lower fuel sales. The Sam's Club segment's eCommerce sales positively contributed approximately 2.2% and 2.0% to comparable sales for the three and nine m</w:t>
      </w:r>
      <w:r>
        <w:rPr>
          <w:rFonts w:ascii="Times New Roman" w:eastAsia="宋体" w:hAnsi="Times New Roman"/>
          <w:color w:val="000000"/>
          <w:sz w:val="20"/>
          <w:szCs w:val="20"/>
        </w:rPr>
        <w:t xml:space="preserve">onths ended October 31, 2020, respectively. </w:t>
      </w:r>
    </w:p>
    <w:p w14:paraId="7E7856E1" w14:textId="77777777" w:rsidR="00A82082" w:rsidRDefault="00E946F9">
      <w:pPr>
        <w:spacing w:before="180"/>
      </w:pPr>
      <w:r>
        <w:rPr>
          <w:rFonts w:ascii="Times New Roman" w:eastAsia="宋体" w:hAnsi="Times New Roman"/>
          <w:b/>
          <w:bCs/>
          <w:color w:val="000000"/>
          <w:sz w:val="20"/>
          <w:szCs w:val="20"/>
          <w:u w:val="single"/>
        </w:rPr>
        <w:t>Consistent Operating Discipline</w:t>
      </w:r>
    </w:p>
    <w:p w14:paraId="7E7856E2" w14:textId="77777777" w:rsidR="00A82082" w:rsidRDefault="00E946F9">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sustainable lowest cost to serve. We inve</w:t>
      </w:r>
      <w:r>
        <w:rPr>
          <w:rFonts w:ascii="Times New Roman" w:eastAsia="宋体" w:hAnsi="Times New Roman"/>
          <w:color w:val="000000"/>
          <w:sz w:val="20"/>
          <w:szCs w:val="20"/>
        </w:rPr>
        <w:t>st in technology and process improvements to increase productivity, manage inventory and reduce costs. We measure operating discipline through expense leverage, which we define as net sales growing at a faster rate than operating, selling, general and admi</w:t>
      </w:r>
      <w:r>
        <w:rPr>
          <w:rFonts w:ascii="Times New Roman" w:eastAsia="宋体" w:hAnsi="Times New Roman"/>
          <w:color w:val="000000"/>
          <w:sz w:val="20"/>
          <w:szCs w:val="20"/>
        </w:rPr>
        <w:t xml:space="preserve">nistrative ("operating") expenses.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457"/>
        <w:gridCol w:w="38"/>
        <w:gridCol w:w="36"/>
        <w:gridCol w:w="36"/>
        <w:gridCol w:w="36"/>
        <w:gridCol w:w="100"/>
        <w:gridCol w:w="575"/>
        <w:gridCol w:w="154"/>
        <w:gridCol w:w="36"/>
        <w:gridCol w:w="36"/>
        <w:gridCol w:w="36"/>
        <w:gridCol w:w="100"/>
        <w:gridCol w:w="600"/>
        <w:gridCol w:w="154"/>
        <w:gridCol w:w="36"/>
        <w:gridCol w:w="36"/>
        <w:gridCol w:w="36"/>
        <w:gridCol w:w="100"/>
        <w:gridCol w:w="575"/>
        <w:gridCol w:w="154"/>
        <w:gridCol w:w="36"/>
        <w:gridCol w:w="36"/>
        <w:gridCol w:w="36"/>
        <w:gridCol w:w="100"/>
        <w:gridCol w:w="579"/>
        <w:gridCol w:w="154"/>
      </w:tblGrid>
      <w:tr w:rsidR="00A82082" w14:paraId="7E7856FE" w14:textId="77777777">
        <w:trPr>
          <w:jc w:val="center"/>
        </w:trPr>
        <w:tc>
          <w:tcPr>
            <w:tcW w:w="50" w:type="pct"/>
            <w:shd w:val="clear" w:color="auto" w:fill="auto"/>
          </w:tcPr>
          <w:p w14:paraId="7E7856E3" w14:textId="77777777" w:rsidR="00A82082" w:rsidRDefault="00A82082">
            <w:pPr>
              <w:rPr>
                <w:rFonts w:ascii="宋体"/>
              </w:rPr>
            </w:pPr>
          </w:p>
        </w:tc>
        <w:tc>
          <w:tcPr>
            <w:tcW w:w="2760" w:type="pct"/>
            <w:shd w:val="clear" w:color="auto" w:fill="auto"/>
          </w:tcPr>
          <w:p w14:paraId="7E7856E4" w14:textId="77777777" w:rsidR="00A82082" w:rsidRDefault="00A82082">
            <w:pPr>
              <w:rPr>
                <w:rFonts w:ascii="宋体"/>
              </w:rPr>
            </w:pPr>
          </w:p>
        </w:tc>
        <w:tc>
          <w:tcPr>
            <w:tcW w:w="5" w:type="pct"/>
            <w:shd w:val="clear" w:color="auto" w:fill="auto"/>
          </w:tcPr>
          <w:p w14:paraId="7E7856E5" w14:textId="77777777" w:rsidR="00A82082" w:rsidRDefault="00A82082">
            <w:pPr>
              <w:rPr>
                <w:rFonts w:ascii="宋体"/>
              </w:rPr>
            </w:pPr>
          </w:p>
        </w:tc>
        <w:tc>
          <w:tcPr>
            <w:tcW w:w="5" w:type="pct"/>
            <w:shd w:val="clear" w:color="auto" w:fill="auto"/>
          </w:tcPr>
          <w:p w14:paraId="7E7856E6" w14:textId="77777777" w:rsidR="00A82082" w:rsidRDefault="00A82082">
            <w:pPr>
              <w:rPr>
                <w:rFonts w:ascii="宋体"/>
              </w:rPr>
            </w:pPr>
          </w:p>
        </w:tc>
        <w:tc>
          <w:tcPr>
            <w:tcW w:w="26" w:type="pct"/>
            <w:shd w:val="clear" w:color="auto" w:fill="auto"/>
          </w:tcPr>
          <w:p w14:paraId="7E7856E7" w14:textId="77777777" w:rsidR="00A82082" w:rsidRDefault="00A82082">
            <w:pPr>
              <w:rPr>
                <w:rFonts w:ascii="宋体"/>
              </w:rPr>
            </w:pPr>
          </w:p>
        </w:tc>
        <w:tc>
          <w:tcPr>
            <w:tcW w:w="5" w:type="pct"/>
            <w:shd w:val="clear" w:color="auto" w:fill="auto"/>
          </w:tcPr>
          <w:p w14:paraId="7E7856E8" w14:textId="77777777" w:rsidR="00A82082" w:rsidRDefault="00A82082">
            <w:pPr>
              <w:rPr>
                <w:rFonts w:ascii="宋体"/>
              </w:rPr>
            </w:pPr>
          </w:p>
        </w:tc>
        <w:tc>
          <w:tcPr>
            <w:tcW w:w="50" w:type="pct"/>
            <w:shd w:val="clear" w:color="auto" w:fill="auto"/>
          </w:tcPr>
          <w:p w14:paraId="7E7856E9" w14:textId="77777777" w:rsidR="00A82082" w:rsidRDefault="00A82082">
            <w:pPr>
              <w:rPr>
                <w:rFonts w:ascii="宋体"/>
              </w:rPr>
            </w:pPr>
          </w:p>
        </w:tc>
        <w:tc>
          <w:tcPr>
            <w:tcW w:w="450" w:type="pct"/>
            <w:shd w:val="clear" w:color="auto" w:fill="auto"/>
          </w:tcPr>
          <w:p w14:paraId="7E7856EA" w14:textId="77777777" w:rsidR="00A82082" w:rsidRDefault="00A82082">
            <w:pPr>
              <w:rPr>
                <w:rFonts w:ascii="宋体"/>
              </w:rPr>
            </w:pPr>
          </w:p>
        </w:tc>
        <w:tc>
          <w:tcPr>
            <w:tcW w:w="5" w:type="pct"/>
            <w:shd w:val="clear" w:color="auto" w:fill="auto"/>
          </w:tcPr>
          <w:p w14:paraId="7E7856EB" w14:textId="77777777" w:rsidR="00A82082" w:rsidRDefault="00A82082">
            <w:pPr>
              <w:rPr>
                <w:rFonts w:ascii="宋体"/>
              </w:rPr>
            </w:pPr>
          </w:p>
        </w:tc>
        <w:tc>
          <w:tcPr>
            <w:tcW w:w="5" w:type="pct"/>
            <w:shd w:val="clear" w:color="auto" w:fill="auto"/>
          </w:tcPr>
          <w:p w14:paraId="7E7856EC" w14:textId="77777777" w:rsidR="00A82082" w:rsidRDefault="00A82082">
            <w:pPr>
              <w:rPr>
                <w:rFonts w:ascii="宋体"/>
              </w:rPr>
            </w:pPr>
          </w:p>
        </w:tc>
        <w:tc>
          <w:tcPr>
            <w:tcW w:w="41" w:type="pct"/>
            <w:shd w:val="clear" w:color="auto" w:fill="auto"/>
          </w:tcPr>
          <w:p w14:paraId="7E7856ED" w14:textId="77777777" w:rsidR="00A82082" w:rsidRDefault="00A82082">
            <w:pPr>
              <w:rPr>
                <w:rFonts w:ascii="宋体"/>
              </w:rPr>
            </w:pPr>
          </w:p>
        </w:tc>
        <w:tc>
          <w:tcPr>
            <w:tcW w:w="5" w:type="pct"/>
            <w:shd w:val="clear" w:color="auto" w:fill="auto"/>
          </w:tcPr>
          <w:p w14:paraId="7E7856EE" w14:textId="77777777" w:rsidR="00A82082" w:rsidRDefault="00A82082">
            <w:pPr>
              <w:rPr>
                <w:rFonts w:ascii="宋体"/>
              </w:rPr>
            </w:pPr>
          </w:p>
        </w:tc>
        <w:tc>
          <w:tcPr>
            <w:tcW w:w="50" w:type="pct"/>
            <w:shd w:val="clear" w:color="auto" w:fill="auto"/>
          </w:tcPr>
          <w:p w14:paraId="7E7856EF" w14:textId="77777777" w:rsidR="00A82082" w:rsidRDefault="00A82082">
            <w:pPr>
              <w:rPr>
                <w:rFonts w:ascii="宋体"/>
              </w:rPr>
            </w:pPr>
          </w:p>
        </w:tc>
        <w:tc>
          <w:tcPr>
            <w:tcW w:w="450" w:type="pct"/>
            <w:shd w:val="clear" w:color="auto" w:fill="auto"/>
          </w:tcPr>
          <w:p w14:paraId="7E7856F0" w14:textId="77777777" w:rsidR="00A82082" w:rsidRDefault="00A82082">
            <w:pPr>
              <w:rPr>
                <w:rFonts w:ascii="宋体"/>
              </w:rPr>
            </w:pPr>
          </w:p>
        </w:tc>
        <w:tc>
          <w:tcPr>
            <w:tcW w:w="5" w:type="pct"/>
            <w:shd w:val="clear" w:color="auto" w:fill="auto"/>
          </w:tcPr>
          <w:p w14:paraId="7E7856F1" w14:textId="77777777" w:rsidR="00A82082" w:rsidRDefault="00A82082">
            <w:pPr>
              <w:rPr>
                <w:rFonts w:ascii="宋体"/>
              </w:rPr>
            </w:pPr>
          </w:p>
        </w:tc>
        <w:tc>
          <w:tcPr>
            <w:tcW w:w="5" w:type="pct"/>
            <w:shd w:val="clear" w:color="auto" w:fill="auto"/>
          </w:tcPr>
          <w:p w14:paraId="7E7856F2" w14:textId="77777777" w:rsidR="00A82082" w:rsidRDefault="00A82082">
            <w:pPr>
              <w:rPr>
                <w:rFonts w:ascii="宋体"/>
              </w:rPr>
            </w:pPr>
          </w:p>
        </w:tc>
        <w:tc>
          <w:tcPr>
            <w:tcW w:w="26" w:type="pct"/>
            <w:shd w:val="clear" w:color="auto" w:fill="auto"/>
          </w:tcPr>
          <w:p w14:paraId="7E7856F3" w14:textId="77777777" w:rsidR="00A82082" w:rsidRDefault="00A82082">
            <w:pPr>
              <w:rPr>
                <w:rFonts w:ascii="宋体"/>
              </w:rPr>
            </w:pPr>
          </w:p>
        </w:tc>
        <w:tc>
          <w:tcPr>
            <w:tcW w:w="5" w:type="pct"/>
            <w:shd w:val="clear" w:color="auto" w:fill="auto"/>
          </w:tcPr>
          <w:p w14:paraId="7E7856F4" w14:textId="77777777" w:rsidR="00A82082" w:rsidRDefault="00A82082">
            <w:pPr>
              <w:rPr>
                <w:rFonts w:ascii="宋体"/>
              </w:rPr>
            </w:pPr>
          </w:p>
        </w:tc>
        <w:tc>
          <w:tcPr>
            <w:tcW w:w="50" w:type="pct"/>
            <w:shd w:val="clear" w:color="auto" w:fill="auto"/>
          </w:tcPr>
          <w:p w14:paraId="7E7856F5" w14:textId="77777777" w:rsidR="00A82082" w:rsidRDefault="00A82082">
            <w:pPr>
              <w:rPr>
                <w:rFonts w:ascii="宋体"/>
              </w:rPr>
            </w:pPr>
          </w:p>
        </w:tc>
        <w:tc>
          <w:tcPr>
            <w:tcW w:w="450" w:type="pct"/>
            <w:shd w:val="clear" w:color="auto" w:fill="auto"/>
          </w:tcPr>
          <w:p w14:paraId="7E7856F6" w14:textId="77777777" w:rsidR="00A82082" w:rsidRDefault="00A82082">
            <w:pPr>
              <w:rPr>
                <w:rFonts w:ascii="宋体"/>
              </w:rPr>
            </w:pPr>
          </w:p>
        </w:tc>
        <w:tc>
          <w:tcPr>
            <w:tcW w:w="5" w:type="pct"/>
            <w:shd w:val="clear" w:color="auto" w:fill="auto"/>
          </w:tcPr>
          <w:p w14:paraId="7E7856F7" w14:textId="77777777" w:rsidR="00A82082" w:rsidRDefault="00A82082">
            <w:pPr>
              <w:rPr>
                <w:rFonts w:ascii="宋体"/>
              </w:rPr>
            </w:pPr>
          </w:p>
        </w:tc>
        <w:tc>
          <w:tcPr>
            <w:tcW w:w="5" w:type="pct"/>
            <w:shd w:val="clear" w:color="auto" w:fill="auto"/>
          </w:tcPr>
          <w:p w14:paraId="7E7856F8" w14:textId="77777777" w:rsidR="00A82082" w:rsidRDefault="00A82082">
            <w:pPr>
              <w:rPr>
                <w:rFonts w:ascii="宋体"/>
              </w:rPr>
            </w:pPr>
          </w:p>
        </w:tc>
        <w:tc>
          <w:tcPr>
            <w:tcW w:w="26" w:type="pct"/>
            <w:shd w:val="clear" w:color="auto" w:fill="auto"/>
          </w:tcPr>
          <w:p w14:paraId="7E7856F9" w14:textId="77777777" w:rsidR="00A82082" w:rsidRDefault="00A82082">
            <w:pPr>
              <w:rPr>
                <w:rFonts w:ascii="宋体"/>
              </w:rPr>
            </w:pPr>
          </w:p>
        </w:tc>
        <w:tc>
          <w:tcPr>
            <w:tcW w:w="5" w:type="pct"/>
            <w:shd w:val="clear" w:color="auto" w:fill="auto"/>
          </w:tcPr>
          <w:p w14:paraId="7E7856FA" w14:textId="77777777" w:rsidR="00A82082" w:rsidRDefault="00A82082">
            <w:pPr>
              <w:rPr>
                <w:rFonts w:ascii="宋体"/>
              </w:rPr>
            </w:pPr>
          </w:p>
        </w:tc>
        <w:tc>
          <w:tcPr>
            <w:tcW w:w="50" w:type="pct"/>
            <w:shd w:val="clear" w:color="auto" w:fill="auto"/>
          </w:tcPr>
          <w:p w14:paraId="7E7856FB" w14:textId="77777777" w:rsidR="00A82082" w:rsidRDefault="00A82082">
            <w:pPr>
              <w:rPr>
                <w:rFonts w:ascii="宋体"/>
              </w:rPr>
            </w:pPr>
          </w:p>
        </w:tc>
        <w:tc>
          <w:tcPr>
            <w:tcW w:w="451" w:type="pct"/>
            <w:shd w:val="clear" w:color="auto" w:fill="auto"/>
          </w:tcPr>
          <w:p w14:paraId="7E7856FC" w14:textId="77777777" w:rsidR="00A82082" w:rsidRDefault="00A82082">
            <w:pPr>
              <w:rPr>
                <w:rFonts w:ascii="宋体"/>
              </w:rPr>
            </w:pPr>
          </w:p>
        </w:tc>
        <w:tc>
          <w:tcPr>
            <w:tcW w:w="5" w:type="pct"/>
            <w:shd w:val="clear" w:color="auto" w:fill="auto"/>
          </w:tcPr>
          <w:p w14:paraId="7E7856FD" w14:textId="77777777" w:rsidR="00A82082" w:rsidRDefault="00A82082">
            <w:pPr>
              <w:rPr>
                <w:rFonts w:ascii="宋体"/>
              </w:rPr>
            </w:pPr>
          </w:p>
        </w:tc>
      </w:tr>
      <w:tr w:rsidR="00A82082" w14:paraId="7E785704" w14:textId="77777777">
        <w:trPr>
          <w:jc w:val="center"/>
        </w:trPr>
        <w:tc>
          <w:tcPr>
            <w:tcW w:w="0" w:type="auto"/>
            <w:gridSpan w:val="3"/>
            <w:shd w:val="clear" w:color="auto" w:fill="auto"/>
            <w:tcMar>
              <w:top w:w="0" w:type="dxa"/>
              <w:left w:w="20" w:type="dxa"/>
              <w:bottom w:w="0" w:type="dxa"/>
              <w:right w:w="20" w:type="dxa"/>
            </w:tcMar>
          </w:tcPr>
          <w:p w14:paraId="7E7856F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700"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tcPr>
          <w:p w14:paraId="7E785701" w14:textId="77777777" w:rsidR="00A82082" w:rsidRDefault="00E946F9">
            <w:pPr>
              <w:jc w:val="center"/>
              <w:textAlignment w:val="top"/>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702"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tcPr>
          <w:p w14:paraId="7E785703" w14:textId="77777777" w:rsidR="00A82082" w:rsidRDefault="00E946F9">
            <w:pPr>
              <w:jc w:val="center"/>
              <w:textAlignment w:val="top"/>
            </w:pPr>
            <w:r>
              <w:rPr>
                <w:rFonts w:ascii="Times New Roman" w:eastAsia="宋体" w:hAnsi="Times New Roman"/>
                <w:b/>
                <w:bCs/>
                <w:color w:val="000000"/>
                <w:sz w:val="16"/>
                <w:szCs w:val="16"/>
              </w:rPr>
              <w:t>Nine Months Ended October 31,</w:t>
            </w:r>
          </w:p>
        </w:tc>
      </w:tr>
      <w:tr w:rsidR="00A82082" w14:paraId="7E78570E" w14:textId="77777777">
        <w:trPr>
          <w:jc w:val="center"/>
        </w:trPr>
        <w:tc>
          <w:tcPr>
            <w:tcW w:w="0" w:type="auto"/>
            <w:gridSpan w:val="3"/>
            <w:shd w:val="clear" w:color="auto" w:fill="auto"/>
            <w:tcMar>
              <w:top w:w="40" w:type="dxa"/>
              <w:left w:w="20" w:type="dxa"/>
              <w:bottom w:w="40" w:type="dxa"/>
              <w:right w:w="20" w:type="dxa"/>
            </w:tcMar>
            <w:vAlign w:val="bottom"/>
          </w:tcPr>
          <w:p w14:paraId="7E785705"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706"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07"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708"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09"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70A"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0B"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70C"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0D"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720" w14:textId="77777777">
        <w:trPr>
          <w:jc w:val="center"/>
        </w:trPr>
        <w:tc>
          <w:tcPr>
            <w:tcW w:w="0" w:type="auto"/>
            <w:gridSpan w:val="3"/>
            <w:shd w:val="clear" w:color="auto" w:fill="CCEEFF"/>
            <w:tcMar>
              <w:top w:w="40" w:type="dxa"/>
              <w:left w:w="20" w:type="dxa"/>
              <w:bottom w:w="40" w:type="dxa"/>
              <w:right w:w="20" w:type="dxa"/>
            </w:tcMar>
            <w:vAlign w:val="center"/>
          </w:tcPr>
          <w:p w14:paraId="7E78570F"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5710"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1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12" w14:textId="77777777" w:rsidR="00A82082" w:rsidRDefault="00E946F9">
            <w:pPr>
              <w:jc w:val="right"/>
              <w:textAlignment w:val="center"/>
            </w:pPr>
            <w:r>
              <w:rPr>
                <w:rFonts w:ascii="Times New Roman" w:eastAsia="宋体" w:hAnsi="Times New Roman"/>
                <w:color w:val="000000"/>
                <w:sz w:val="16"/>
                <w:szCs w:val="16"/>
              </w:rPr>
              <w:t>133,752 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1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1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1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16" w14:textId="77777777" w:rsidR="00A82082" w:rsidRDefault="00E946F9">
            <w:pPr>
              <w:jc w:val="right"/>
              <w:textAlignment w:val="center"/>
            </w:pPr>
            <w:r>
              <w:rPr>
                <w:rFonts w:ascii="Times New Roman" w:eastAsia="宋体" w:hAnsi="Times New Roman"/>
                <w:color w:val="000000"/>
                <w:sz w:val="16"/>
                <w:szCs w:val="16"/>
              </w:rPr>
              <w:t>126,981 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1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1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1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1A" w14:textId="77777777" w:rsidR="00A82082" w:rsidRDefault="00E946F9">
            <w:pPr>
              <w:jc w:val="right"/>
              <w:textAlignment w:val="center"/>
            </w:pPr>
            <w:r>
              <w:rPr>
                <w:rFonts w:ascii="Times New Roman" w:eastAsia="宋体" w:hAnsi="Times New Roman"/>
                <w:color w:val="000000"/>
                <w:sz w:val="16"/>
                <w:szCs w:val="16"/>
              </w:rPr>
              <w:t>404,248 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1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1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1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1E" w14:textId="77777777" w:rsidR="00A82082" w:rsidRDefault="00E946F9">
            <w:pPr>
              <w:jc w:val="right"/>
              <w:textAlignment w:val="center"/>
            </w:pPr>
            <w:r>
              <w:rPr>
                <w:rFonts w:ascii="Times New Roman" w:eastAsia="宋体" w:hAnsi="Times New Roman"/>
                <w:color w:val="000000"/>
                <w:sz w:val="16"/>
                <w:szCs w:val="16"/>
              </w:rPr>
              <w:t>379,318 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1F" w14:textId="77777777" w:rsidR="00A82082" w:rsidRDefault="00A82082">
            <w:pPr>
              <w:jc w:val="right"/>
              <w:rPr>
                <w:rFonts w:ascii="宋体"/>
              </w:rPr>
            </w:pPr>
          </w:p>
        </w:tc>
      </w:tr>
      <w:tr w:rsidR="00A82082" w14:paraId="7E78572E" w14:textId="77777777">
        <w:trPr>
          <w:jc w:val="center"/>
        </w:trPr>
        <w:tc>
          <w:tcPr>
            <w:tcW w:w="0" w:type="auto"/>
            <w:gridSpan w:val="3"/>
            <w:shd w:val="clear" w:color="auto" w:fill="FFFFFF"/>
            <w:tcMar>
              <w:top w:w="40" w:type="dxa"/>
              <w:left w:w="20" w:type="dxa"/>
              <w:bottom w:w="40" w:type="dxa"/>
              <w:right w:w="20" w:type="dxa"/>
            </w:tcMar>
            <w:vAlign w:val="center"/>
          </w:tcPr>
          <w:p w14:paraId="7E785721"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72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23" w14:textId="77777777" w:rsidR="00A82082" w:rsidRDefault="00E946F9">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7E78572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2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26" w14:textId="77777777" w:rsidR="00A82082" w:rsidRDefault="00E946F9">
            <w:pPr>
              <w:jc w:val="right"/>
              <w:textAlignment w:val="center"/>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center"/>
          </w:tcPr>
          <w:p w14:paraId="7E78572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2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29" w14:textId="77777777" w:rsidR="00A82082" w:rsidRDefault="00E946F9">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7E78572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2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2C" w14:textId="77777777" w:rsidR="00A82082" w:rsidRDefault="00E946F9">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7E78572D"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740" w14:textId="77777777">
        <w:trPr>
          <w:jc w:val="center"/>
        </w:trPr>
        <w:tc>
          <w:tcPr>
            <w:tcW w:w="0" w:type="auto"/>
            <w:gridSpan w:val="3"/>
            <w:shd w:val="clear" w:color="auto" w:fill="CCEEFF"/>
            <w:tcMar>
              <w:top w:w="40" w:type="dxa"/>
              <w:left w:w="20" w:type="dxa"/>
              <w:bottom w:w="40" w:type="dxa"/>
              <w:right w:w="20" w:type="dxa"/>
            </w:tcMar>
            <w:vAlign w:val="center"/>
          </w:tcPr>
          <w:p w14:paraId="7E78572F" w14:textId="77777777" w:rsidR="00A82082" w:rsidRDefault="00E946F9">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tcPr>
          <w:p w14:paraId="7E785730"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73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732" w14:textId="77777777" w:rsidR="00A82082" w:rsidRDefault="00E946F9">
            <w:pPr>
              <w:jc w:val="right"/>
              <w:textAlignment w:val="center"/>
            </w:pPr>
            <w:r>
              <w:rPr>
                <w:rFonts w:ascii="Times New Roman" w:eastAsia="宋体" w:hAnsi="Times New Roman"/>
                <w:color w:val="000000"/>
                <w:sz w:val="16"/>
                <w:szCs w:val="16"/>
              </w:rPr>
              <w:t>28,591 </w:t>
            </w:r>
          </w:p>
        </w:tc>
        <w:tc>
          <w:tcPr>
            <w:tcW w:w="0" w:type="auto"/>
            <w:shd w:val="clear" w:color="auto" w:fill="CCEEFF"/>
            <w:tcMar>
              <w:top w:w="40" w:type="dxa"/>
              <w:left w:w="0" w:type="dxa"/>
              <w:bottom w:w="40" w:type="dxa"/>
              <w:right w:w="20" w:type="dxa"/>
            </w:tcMar>
            <w:vAlign w:val="center"/>
          </w:tcPr>
          <w:p w14:paraId="7E78573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34"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735"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736" w14:textId="77777777" w:rsidR="00A82082" w:rsidRDefault="00E946F9">
            <w:pPr>
              <w:jc w:val="right"/>
              <w:textAlignment w:val="center"/>
            </w:pPr>
            <w:r>
              <w:rPr>
                <w:rFonts w:ascii="Times New Roman" w:eastAsia="宋体" w:hAnsi="Times New Roman"/>
                <w:color w:val="000000"/>
                <w:sz w:val="16"/>
                <w:szCs w:val="16"/>
              </w:rPr>
              <w:t>27,373 </w:t>
            </w:r>
          </w:p>
        </w:tc>
        <w:tc>
          <w:tcPr>
            <w:tcW w:w="0" w:type="auto"/>
            <w:shd w:val="clear" w:color="auto" w:fill="CCEEFF"/>
            <w:tcMar>
              <w:top w:w="40" w:type="dxa"/>
              <w:left w:w="0" w:type="dxa"/>
              <w:bottom w:w="40" w:type="dxa"/>
              <w:right w:w="20" w:type="dxa"/>
            </w:tcMar>
            <w:vAlign w:val="center"/>
          </w:tcPr>
          <w:p w14:paraId="7E78573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38"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73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73A" w14:textId="77777777" w:rsidR="00A82082" w:rsidRDefault="00E946F9">
            <w:pPr>
              <w:jc w:val="right"/>
              <w:textAlignment w:val="center"/>
            </w:pPr>
            <w:r>
              <w:rPr>
                <w:rFonts w:ascii="Times New Roman" w:eastAsia="宋体" w:hAnsi="Times New Roman"/>
                <w:color w:val="000000"/>
                <w:sz w:val="16"/>
                <w:szCs w:val="16"/>
              </w:rPr>
              <w:t>84,957 </w:t>
            </w:r>
          </w:p>
        </w:tc>
        <w:tc>
          <w:tcPr>
            <w:tcW w:w="0" w:type="auto"/>
            <w:shd w:val="clear" w:color="auto" w:fill="CCEEFF"/>
            <w:tcMar>
              <w:top w:w="40" w:type="dxa"/>
              <w:left w:w="0" w:type="dxa"/>
              <w:bottom w:w="40" w:type="dxa"/>
              <w:right w:w="20" w:type="dxa"/>
            </w:tcMar>
            <w:vAlign w:val="center"/>
          </w:tcPr>
          <w:p w14:paraId="7E78573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3C"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73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73E" w14:textId="77777777" w:rsidR="00A82082" w:rsidRDefault="00E946F9">
            <w:pPr>
              <w:jc w:val="right"/>
              <w:textAlignment w:val="center"/>
            </w:pPr>
            <w:r>
              <w:rPr>
                <w:rFonts w:ascii="Times New Roman" w:eastAsia="宋体" w:hAnsi="Times New Roman"/>
                <w:color w:val="000000"/>
                <w:sz w:val="16"/>
                <w:szCs w:val="16"/>
              </w:rPr>
              <w:t>80,190 </w:t>
            </w:r>
          </w:p>
        </w:tc>
        <w:tc>
          <w:tcPr>
            <w:tcW w:w="0" w:type="auto"/>
            <w:shd w:val="clear" w:color="auto" w:fill="CCEEFF"/>
            <w:tcMar>
              <w:top w:w="40" w:type="dxa"/>
              <w:left w:w="0" w:type="dxa"/>
              <w:bottom w:w="40" w:type="dxa"/>
              <w:right w:w="20" w:type="dxa"/>
            </w:tcMar>
            <w:vAlign w:val="center"/>
          </w:tcPr>
          <w:p w14:paraId="7E78573F" w14:textId="77777777" w:rsidR="00A82082" w:rsidRDefault="00A82082">
            <w:pPr>
              <w:jc w:val="right"/>
              <w:rPr>
                <w:rFonts w:ascii="宋体"/>
              </w:rPr>
            </w:pPr>
          </w:p>
        </w:tc>
      </w:tr>
      <w:tr w:rsidR="00A82082" w14:paraId="7E78574E" w14:textId="77777777">
        <w:trPr>
          <w:jc w:val="center"/>
        </w:trPr>
        <w:tc>
          <w:tcPr>
            <w:tcW w:w="0" w:type="auto"/>
            <w:gridSpan w:val="3"/>
            <w:shd w:val="clear" w:color="auto" w:fill="FFFFFF"/>
            <w:tcMar>
              <w:top w:w="40" w:type="dxa"/>
              <w:left w:w="20" w:type="dxa"/>
              <w:bottom w:w="40" w:type="dxa"/>
              <w:right w:w="20" w:type="dxa"/>
            </w:tcMar>
            <w:vAlign w:val="center"/>
          </w:tcPr>
          <w:p w14:paraId="7E785741"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74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43" w14:textId="77777777" w:rsidR="00A82082" w:rsidRDefault="00E946F9">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7E78574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45"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46" w14:textId="77777777" w:rsidR="00A82082" w:rsidRDefault="00E946F9">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7E78574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4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49" w14:textId="77777777" w:rsidR="00A82082" w:rsidRDefault="00E946F9">
            <w:pPr>
              <w:jc w:val="right"/>
              <w:textAlignment w:val="center"/>
            </w:pPr>
            <w:r>
              <w:rPr>
                <w:rFonts w:ascii="Times New Roman" w:eastAsia="宋体" w:hAnsi="Times New Roman"/>
                <w:color w:val="000000"/>
                <w:sz w:val="16"/>
                <w:szCs w:val="16"/>
              </w:rPr>
              <w:t>5.9 </w:t>
            </w:r>
          </w:p>
        </w:tc>
        <w:tc>
          <w:tcPr>
            <w:tcW w:w="0" w:type="auto"/>
            <w:shd w:val="clear" w:color="auto" w:fill="FFFFFF"/>
            <w:tcMar>
              <w:top w:w="40" w:type="dxa"/>
              <w:left w:w="0" w:type="dxa"/>
              <w:bottom w:w="40" w:type="dxa"/>
              <w:right w:w="20" w:type="dxa"/>
            </w:tcMar>
            <w:vAlign w:val="center"/>
          </w:tcPr>
          <w:p w14:paraId="7E78574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74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4C" w14:textId="77777777" w:rsidR="00A82082" w:rsidRDefault="00E946F9">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7E78574D"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75C" w14:textId="77777777">
        <w:trPr>
          <w:jc w:val="center"/>
        </w:trPr>
        <w:tc>
          <w:tcPr>
            <w:tcW w:w="0" w:type="auto"/>
            <w:gridSpan w:val="3"/>
            <w:shd w:val="clear" w:color="auto" w:fill="CCEEFF"/>
            <w:tcMar>
              <w:top w:w="40" w:type="dxa"/>
              <w:left w:w="20" w:type="dxa"/>
              <w:bottom w:w="40" w:type="dxa"/>
              <w:right w:w="20" w:type="dxa"/>
            </w:tcMar>
            <w:vAlign w:val="center"/>
          </w:tcPr>
          <w:p w14:paraId="7E78574F" w14:textId="77777777" w:rsidR="00A82082" w:rsidRDefault="00E946F9">
            <w:pPr>
              <w:textAlignment w:val="center"/>
            </w:pPr>
            <w:r>
              <w:rPr>
                <w:rFonts w:ascii="Times New Roman" w:eastAsia="宋体" w:hAnsi="Times New Roman"/>
                <w:color w:val="000000"/>
                <w:sz w:val="16"/>
                <w:szCs w:val="16"/>
              </w:rPr>
              <w:t xml:space="preserve">Operating, </w:t>
            </w:r>
            <w:r>
              <w:rPr>
                <w:rFonts w:ascii="Times New Roman" w:eastAsia="宋体" w:hAnsi="Times New Roman"/>
                <w:color w:val="000000"/>
                <w:sz w:val="16"/>
                <w:szCs w:val="16"/>
              </w:rPr>
              <w:t>selling, general and administrative expenses as a percentage of net sales</w:t>
            </w:r>
          </w:p>
        </w:tc>
        <w:tc>
          <w:tcPr>
            <w:tcW w:w="0" w:type="auto"/>
            <w:gridSpan w:val="3"/>
            <w:shd w:val="clear" w:color="auto" w:fill="CCEEFF"/>
            <w:tcMar>
              <w:top w:w="0" w:type="dxa"/>
              <w:left w:w="20" w:type="dxa"/>
              <w:bottom w:w="0" w:type="dxa"/>
              <w:right w:w="20" w:type="dxa"/>
            </w:tcMar>
          </w:tcPr>
          <w:p w14:paraId="7E7857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51" w14:textId="77777777" w:rsidR="00A82082" w:rsidRDefault="00E946F9">
            <w:pPr>
              <w:jc w:val="right"/>
              <w:textAlignment w:val="center"/>
            </w:pPr>
            <w:r>
              <w:rPr>
                <w:rFonts w:ascii="Times New Roman" w:eastAsia="宋体" w:hAnsi="Times New Roman"/>
                <w:color w:val="000000"/>
                <w:sz w:val="16"/>
                <w:szCs w:val="16"/>
              </w:rPr>
              <w:t>21.4 </w:t>
            </w:r>
          </w:p>
        </w:tc>
        <w:tc>
          <w:tcPr>
            <w:tcW w:w="0" w:type="auto"/>
            <w:shd w:val="clear" w:color="auto" w:fill="CCEEFF"/>
            <w:tcMar>
              <w:top w:w="40" w:type="dxa"/>
              <w:left w:w="0" w:type="dxa"/>
              <w:bottom w:w="40" w:type="dxa"/>
              <w:right w:w="20" w:type="dxa"/>
            </w:tcMar>
            <w:vAlign w:val="center"/>
          </w:tcPr>
          <w:p w14:paraId="7E785752"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75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54" w14:textId="77777777" w:rsidR="00A82082" w:rsidRDefault="00E946F9">
            <w:pPr>
              <w:jc w:val="right"/>
              <w:textAlignment w:val="center"/>
            </w:pPr>
            <w:r>
              <w:rPr>
                <w:rFonts w:ascii="Times New Roman" w:eastAsia="宋体" w:hAnsi="Times New Roman"/>
                <w:color w:val="000000"/>
                <w:sz w:val="16"/>
                <w:szCs w:val="16"/>
              </w:rPr>
              <w:t>21.6 </w:t>
            </w:r>
          </w:p>
        </w:tc>
        <w:tc>
          <w:tcPr>
            <w:tcW w:w="0" w:type="auto"/>
            <w:shd w:val="clear" w:color="auto" w:fill="CCEEFF"/>
            <w:tcMar>
              <w:top w:w="40" w:type="dxa"/>
              <w:left w:w="0" w:type="dxa"/>
              <w:bottom w:w="40" w:type="dxa"/>
              <w:right w:w="20" w:type="dxa"/>
            </w:tcMar>
            <w:vAlign w:val="center"/>
          </w:tcPr>
          <w:p w14:paraId="7E785755"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756"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57" w14:textId="77777777" w:rsidR="00A82082" w:rsidRDefault="00E946F9">
            <w:pPr>
              <w:jc w:val="right"/>
              <w:textAlignment w:val="center"/>
            </w:pPr>
            <w:r>
              <w:rPr>
                <w:rFonts w:ascii="Times New Roman" w:eastAsia="宋体" w:hAnsi="Times New Roman"/>
                <w:color w:val="000000"/>
                <w:sz w:val="16"/>
                <w:szCs w:val="16"/>
              </w:rPr>
              <w:t>21.0 </w:t>
            </w:r>
          </w:p>
        </w:tc>
        <w:tc>
          <w:tcPr>
            <w:tcW w:w="0" w:type="auto"/>
            <w:shd w:val="clear" w:color="auto" w:fill="CCEEFF"/>
            <w:tcMar>
              <w:top w:w="40" w:type="dxa"/>
              <w:left w:w="0" w:type="dxa"/>
              <w:bottom w:w="40" w:type="dxa"/>
              <w:right w:w="20" w:type="dxa"/>
            </w:tcMar>
            <w:vAlign w:val="center"/>
          </w:tcPr>
          <w:p w14:paraId="7E785758"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759"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5A" w14:textId="77777777" w:rsidR="00A82082" w:rsidRDefault="00E946F9">
            <w:pPr>
              <w:jc w:val="right"/>
              <w:textAlignment w:val="center"/>
            </w:pPr>
            <w:r>
              <w:rPr>
                <w:rFonts w:ascii="Times New Roman" w:eastAsia="宋体" w:hAnsi="Times New Roman"/>
                <w:color w:val="000000"/>
                <w:sz w:val="16"/>
                <w:szCs w:val="16"/>
              </w:rPr>
              <w:t>21.1 </w:t>
            </w:r>
          </w:p>
        </w:tc>
        <w:tc>
          <w:tcPr>
            <w:tcW w:w="0" w:type="auto"/>
            <w:shd w:val="clear" w:color="auto" w:fill="CCEEFF"/>
            <w:tcMar>
              <w:top w:w="40" w:type="dxa"/>
              <w:left w:w="0" w:type="dxa"/>
              <w:bottom w:w="40" w:type="dxa"/>
              <w:right w:w="20" w:type="dxa"/>
            </w:tcMar>
            <w:vAlign w:val="center"/>
          </w:tcPr>
          <w:p w14:paraId="7E78575B" w14:textId="77777777" w:rsidR="00A82082" w:rsidRDefault="00E946F9">
            <w:pPr>
              <w:jc w:val="right"/>
              <w:textAlignment w:val="center"/>
            </w:pPr>
            <w:r>
              <w:rPr>
                <w:rFonts w:ascii="Times New Roman" w:eastAsia="宋体" w:hAnsi="Times New Roman"/>
                <w:color w:val="000000"/>
                <w:sz w:val="16"/>
                <w:szCs w:val="16"/>
              </w:rPr>
              <w:t>%</w:t>
            </w:r>
          </w:p>
        </w:tc>
      </w:tr>
    </w:tbl>
    <w:p w14:paraId="7E78575D" w14:textId="77777777" w:rsidR="00A82082" w:rsidRDefault="00E946F9">
      <w:pPr>
        <w:spacing w:before="180"/>
      </w:pPr>
      <w:r>
        <w:rPr>
          <w:rFonts w:ascii="Times New Roman" w:eastAsia="宋体" w:hAnsi="Times New Roman"/>
          <w:color w:val="000000"/>
          <w:sz w:val="20"/>
          <w:szCs w:val="20"/>
        </w:rPr>
        <w:t xml:space="preserve">For the three and nine months ended October 31, 2020, we leveraged operating expenses, decreasing operating expenses as a percentage of net sales by 18 and 12 basis points, respectively, when compared to </w:t>
      </w:r>
      <w:r>
        <w:rPr>
          <w:rFonts w:ascii="Times New Roman" w:eastAsia="宋体" w:hAnsi="Times New Roman"/>
          <w:color w:val="000000"/>
          <w:sz w:val="20"/>
          <w:szCs w:val="20"/>
        </w:rPr>
        <w:t>the same periods in the previous fiscal year. The primary drivers of the expense leverage for the three and nine months ended October 31, 2020 were strong sales and lapping a non-cash impairment charge in the prior year, partially offset by $0.6 billion an</w:t>
      </w:r>
      <w:r>
        <w:rPr>
          <w:rFonts w:ascii="Times New Roman" w:eastAsia="宋体" w:hAnsi="Times New Roman"/>
          <w:color w:val="000000"/>
          <w:sz w:val="20"/>
          <w:szCs w:val="20"/>
        </w:rPr>
        <w:t>d $3.0 billion, respectively, of incremental costs related to the COVID-19 pandemic. For the nine months ended October 31, 2020, operating expenses as a percentage of net sales was also impacted by a $0.4 billion business restructuring charge in the Walmar</w:t>
      </w:r>
      <w:r>
        <w:rPr>
          <w:rFonts w:ascii="Times New Roman" w:eastAsia="宋体" w:hAnsi="Times New Roman"/>
          <w:color w:val="000000"/>
          <w:sz w:val="20"/>
          <w:szCs w:val="20"/>
        </w:rPr>
        <w:t>t U.S. segment recorded in the second quarter of fiscal 2021.</w:t>
      </w:r>
    </w:p>
    <w:p w14:paraId="7E78575E" w14:textId="77777777" w:rsidR="00A82082" w:rsidRDefault="00E946F9">
      <w:pPr>
        <w:jc w:val="center"/>
      </w:pPr>
      <w:r>
        <w:rPr>
          <w:rFonts w:ascii="Times New Roman" w:eastAsia="宋体" w:hAnsi="Times New Roman"/>
          <w:color w:val="000000"/>
          <w:sz w:val="20"/>
          <w:szCs w:val="20"/>
        </w:rPr>
        <w:t>18</w:t>
      </w:r>
    </w:p>
    <w:p w14:paraId="7E78575F" w14:textId="77777777" w:rsidR="00A82082" w:rsidRDefault="00E946F9">
      <w:r>
        <w:pict w14:anchorId="7E78615A">
          <v:rect id="_x0000_i1042" style="width:415.3pt;height:1.5pt" o:hralign="center" o:hrstd="t" o:hr="t" fillcolor="#a0a0a0" stroked="f"/>
        </w:pict>
      </w:r>
    </w:p>
    <w:p w14:paraId="7E785760" w14:textId="77777777" w:rsidR="00A82082" w:rsidRDefault="00E946F9">
      <w:hyperlink r:id="rId80" w:anchor="i5c815528a95c4409b9043de534639b9a_7" w:history="1">
        <w:r>
          <w:rPr>
            <w:rStyle w:val="a5"/>
            <w:rFonts w:ascii="Times New Roman" w:eastAsia="宋体" w:hAnsi="Times New Roman"/>
            <w:sz w:val="20"/>
            <w:szCs w:val="20"/>
          </w:rPr>
          <w:t>Table of C</w:t>
        </w:r>
      </w:hyperlink>
      <w:hyperlink r:id="rId81" w:anchor="i5c815528a95c4409b9043de534639b9a_7" w:history="1">
        <w:r>
          <w:rPr>
            <w:rStyle w:val="a5"/>
            <w:rFonts w:ascii="Times New Roman" w:eastAsia="宋体" w:hAnsi="Times New Roman"/>
            <w:sz w:val="20"/>
            <w:szCs w:val="20"/>
          </w:rPr>
          <w:t>ontents</w:t>
        </w:r>
      </w:hyperlink>
    </w:p>
    <w:p w14:paraId="7E785761" w14:textId="77777777" w:rsidR="00A82082" w:rsidRDefault="00E946F9">
      <w:pPr>
        <w:spacing w:before="180"/>
      </w:pPr>
      <w:r>
        <w:rPr>
          <w:rFonts w:ascii="Times New Roman" w:eastAsia="宋体" w:hAnsi="Times New Roman"/>
          <w:b/>
          <w:bCs/>
          <w:color w:val="000000"/>
          <w:sz w:val="20"/>
          <w:szCs w:val="20"/>
          <w:u w:val="single"/>
        </w:rPr>
        <w:t>Strategic Capital Allocation</w:t>
      </w:r>
    </w:p>
    <w:p w14:paraId="7E785762" w14:textId="77777777" w:rsidR="00A82082" w:rsidRDefault="00E946F9">
      <w:pPr>
        <w:spacing w:before="100"/>
      </w:pPr>
      <w:r>
        <w:rPr>
          <w:rFonts w:ascii="Times New Roman" w:eastAsia="宋体" w:hAnsi="Times New Roman"/>
          <w:color w:val="000000"/>
          <w:sz w:val="20"/>
          <w:szCs w:val="20"/>
        </w:rPr>
        <w:t xml:space="preserve">Our strategy includes improving our customer-facing initiatives in stores and clubs and creating a seamless omni-channel experience for our customers. In recent </w:t>
      </w:r>
      <w:r>
        <w:rPr>
          <w:rFonts w:ascii="Times New Roman" w:eastAsia="宋体" w:hAnsi="Times New Roman"/>
          <w:color w:val="000000"/>
          <w:sz w:val="20"/>
          <w:szCs w:val="20"/>
        </w:rPr>
        <w:t>years, we have allocated more capital to eCommerce, technology, supply chain, and store remodels and less to new store and club openings. We will continue to remain disciplined with our capital spending in light of the COVID-19 pandemic. Total capital expe</w:t>
      </w:r>
      <w:r>
        <w:rPr>
          <w:rFonts w:ascii="Times New Roman" w:eastAsia="宋体" w:hAnsi="Times New Roman"/>
          <w:color w:val="000000"/>
          <w:sz w:val="20"/>
          <w:szCs w:val="20"/>
        </w:rPr>
        <w:t>nditures for the nine months ended October 31, 2020 decreased compared to the prior year due to the COVID-19 pandemic which impacted the timing of store remodeling and front-end technology transformation activities in Walmart U.S.; the following table prov</w:t>
      </w:r>
      <w:r>
        <w:rPr>
          <w:rFonts w:ascii="Times New Roman" w:eastAsia="宋体" w:hAnsi="Times New Roman"/>
          <w:color w:val="000000"/>
          <w:sz w:val="20"/>
          <w:szCs w:val="20"/>
        </w:rPr>
        <w:t>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7"/>
        <w:gridCol w:w="36"/>
        <w:gridCol w:w="36"/>
        <w:gridCol w:w="36"/>
        <w:gridCol w:w="36"/>
        <w:gridCol w:w="36"/>
        <w:gridCol w:w="36"/>
        <w:gridCol w:w="36"/>
        <w:gridCol w:w="100"/>
        <w:gridCol w:w="750"/>
        <w:gridCol w:w="36"/>
        <w:gridCol w:w="36"/>
        <w:gridCol w:w="36"/>
        <w:gridCol w:w="36"/>
        <w:gridCol w:w="100"/>
        <w:gridCol w:w="750"/>
        <w:gridCol w:w="36"/>
      </w:tblGrid>
      <w:tr w:rsidR="00A82082" w14:paraId="7E785776" w14:textId="77777777">
        <w:tc>
          <w:tcPr>
            <w:tcW w:w="50" w:type="pct"/>
            <w:shd w:val="clear" w:color="auto" w:fill="auto"/>
          </w:tcPr>
          <w:p w14:paraId="7E785763" w14:textId="77777777" w:rsidR="00A82082" w:rsidRDefault="00A82082">
            <w:pPr>
              <w:rPr>
                <w:rFonts w:ascii="宋体"/>
              </w:rPr>
            </w:pPr>
          </w:p>
        </w:tc>
        <w:tc>
          <w:tcPr>
            <w:tcW w:w="3759" w:type="pct"/>
            <w:shd w:val="clear" w:color="auto" w:fill="auto"/>
          </w:tcPr>
          <w:p w14:paraId="7E785764" w14:textId="77777777" w:rsidR="00A82082" w:rsidRDefault="00A82082">
            <w:pPr>
              <w:rPr>
                <w:rFonts w:ascii="宋体"/>
              </w:rPr>
            </w:pPr>
          </w:p>
        </w:tc>
        <w:tc>
          <w:tcPr>
            <w:tcW w:w="5" w:type="pct"/>
            <w:shd w:val="clear" w:color="auto" w:fill="auto"/>
          </w:tcPr>
          <w:p w14:paraId="7E785765" w14:textId="77777777" w:rsidR="00A82082" w:rsidRDefault="00A82082">
            <w:pPr>
              <w:rPr>
                <w:rFonts w:ascii="宋体"/>
              </w:rPr>
            </w:pPr>
          </w:p>
        </w:tc>
        <w:tc>
          <w:tcPr>
            <w:tcW w:w="5" w:type="pct"/>
            <w:shd w:val="clear" w:color="auto" w:fill="auto"/>
          </w:tcPr>
          <w:p w14:paraId="7E785766" w14:textId="77777777" w:rsidR="00A82082" w:rsidRDefault="00A82082">
            <w:pPr>
              <w:rPr>
                <w:rFonts w:ascii="宋体"/>
              </w:rPr>
            </w:pPr>
          </w:p>
        </w:tc>
        <w:tc>
          <w:tcPr>
            <w:tcW w:w="26" w:type="pct"/>
            <w:shd w:val="clear" w:color="auto" w:fill="auto"/>
          </w:tcPr>
          <w:p w14:paraId="7E785767" w14:textId="77777777" w:rsidR="00A82082" w:rsidRDefault="00A82082">
            <w:pPr>
              <w:rPr>
                <w:rFonts w:ascii="宋体"/>
              </w:rPr>
            </w:pPr>
          </w:p>
        </w:tc>
        <w:tc>
          <w:tcPr>
            <w:tcW w:w="5" w:type="pct"/>
            <w:shd w:val="clear" w:color="auto" w:fill="auto"/>
          </w:tcPr>
          <w:p w14:paraId="7E785768" w14:textId="77777777" w:rsidR="00A82082" w:rsidRDefault="00A82082">
            <w:pPr>
              <w:rPr>
                <w:rFonts w:ascii="宋体"/>
              </w:rPr>
            </w:pPr>
          </w:p>
        </w:tc>
        <w:tc>
          <w:tcPr>
            <w:tcW w:w="0" w:type="auto"/>
            <w:shd w:val="clear" w:color="auto" w:fill="auto"/>
          </w:tcPr>
          <w:p w14:paraId="7E785769" w14:textId="77777777" w:rsidR="00A82082" w:rsidRDefault="00A82082">
            <w:pPr>
              <w:rPr>
                <w:rFonts w:ascii="宋体"/>
                <w:vanish/>
              </w:rPr>
            </w:pPr>
          </w:p>
        </w:tc>
        <w:tc>
          <w:tcPr>
            <w:tcW w:w="0" w:type="auto"/>
            <w:shd w:val="clear" w:color="auto" w:fill="auto"/>
          </w:tcPr>
          <w:p w14:paraId="7E78576A" w14:textId="77777777" w:rsidR="00A82082" w:rsidRDefault="00A82082">
            <w:pPr>
              <w:rPr>
                <w:rFonts w:ascii="宋体"/>
                <w:vanish/>
              </w:rPr>
            </w:pPr>
          </w:p>
        </w:tc>
        <w:tc>
          <w:tcPr>
            <w:tcW w:w="0" w:type="auto"/>
            <w:shd w:val="clear" w:color="auto" w:fill="auto"/>
          </w:tcPr>
          <w:p w14:paraId="7E78576B" w14:textId="77777777" w:rsidR="00A82082" w:rsidRDefault="00A82082">
            <w:pPr>
              <w:rPr>
                <w:rFonts w:ascii="宋体"/>
                <w:vanish/>
              </w:rPr>
            </w:pPr>
          </w:p>
        </w:tc>
        <w:tc>
          <w:tcPr>
            <w:tcW w:w="0" w:type="auto"/>
            <w:shd w:val="clear" w:color="auto" w:fill="auto"/>
          </w:tcPr>
          <w:p w14:paraId="7E78576C" w14:textId="77777777" w:rsidR="00A82082" w:rsidRDefault="00A82082">
            <w:pPr>
              <w:rPr>
                <w:rFonts w:ascii="宋体"/>
                <w:vanish/>
              </w:rPr>
            </w:pPr>
          </w:p>
        </w:tc>
        <w:tc>
          <w:tcPr>
            <w:tcW w:w="50" w:type="pct"/>
            <w:shd w:val="clear" w:color="auto" w:fill="auto"/>
          </w:tcPr>
          <w:p w14:paraId="7E78576D" w14:textId="77777777" w:rsidR="00A82082" w:rsidRDefault="00A82082">
            <w:pPr>
              <w:rPr>
                <w:rFonts w:ascii="宋体"/>
              </w:rPr>
            </w:pPr>
          </w:p>
        </w:tc>
        <w:tc>
          <w:tcPr>
            <w:tcW w:w="501" w:type="pct"/>
            <w:shd w:val="clear" w:color="auto" w:fill="auto"/>
          </w:tcPr>
          <w:p w14:paraId="7E78576E" w14:textId="77777777" w:rsidR="00A82082" w:rsidRDefault="00A82082">
            <w:pPr>
              <w:rPr>
                <w:rFonts w:ascii="宋体"/>
              </w:rPr>
            </w:pPr>
          </w:p>
        </w:tc>
        <w:tc>
          <w:tcPr>
            <w:tcW w:w="5" w:type="pct"/>
            <w:shd w:val="clear" w:color="auto" w:fill="auto"/>
          </w:tcPr>
          <w:p w14:paraId="7E78576F" w14:textId="77777777" w:rsidR="00A82082" w:rsidRDefault="00A82082">
            <w:pPr>
              <w:rPr>
                <w:rFonts w:ascii="宋体"/>
              </w:rPr>
            </w:pPr>
          </w:p>
        </w:tc>
        <w:tc>
          <w:tcPr>
            <w:tcW w:w="5" w:type="pct"/>
            <w:shd w:val="clear" w:color="auto" w:fill="auto"/>
          </w:tcPr>
          <w:p w14:paraId="7E785770" w14:textId="77777777" w:rsidR="00A82082" w:rsidRDefault="00A82082">
            <w:pPr>
              <w:rPr>
                <w:rFonts w:ascii="宋体"/>
              </w:rPr>
            </w:pPr>
          </w:p>
        </w:tc>
        <w:tc>
          <w:tcPr>
            <w:tcW w:w="26" w:type="pct"/>
            <w:shd w:val="clear" w:color="auto" w:fill="auto"/>
          </w:tcPr>
          <w:p w14:paraId="7E785771" w14:textId="77777777" w:rsidR="00A82082" w:rsidRDefault="00A82082">
            <w:pPr>
              <w:rPr>
                <w:rFonts w:ascii="宋体"/>
              </w:rPr>
            </w:pPr>
          </w:p>
        </w:tc>
        <w:tc>
          <w:tcPr>
            <w:tcW w:w="5" w:type="pct"/>
            <w:shd w:val="clear" w:color="auto" w:fill="auto"/>
          </w:tcPr>
          <w:p w14:paraId="7E785772" w14:textId="77777777" w:rsidR="00A82082" w:rsidRDefault="00A82082">
            <w:pPr>
              <w:rPr>
                <w:rFonts w:ascii="宋体"/>
              </w:rPr>
            </w:pPr>
          </w:p>
        </w:tc>
        <w:tc>
          <w:tcPr>
            <w:tcW w:w="50" w:type="pct"/>
            <w:shd w:val="clear" w:color="auto" w:fill="auto"/>
          </w:tcPr>
          <w:p w14:paraId="7E785773" w14:textId="77777777" w:rsidR="00A82082" w:rsidRDefault="00A82082">
            <w:pPr>
              <w:rPr>
                <w:rFonts w:ascii="宋体"/>
              </w:rPr>
            </w:pPr>
          </w:p>
        </w:tc>
        <w:tc>
          <w:tcPr>
            <w:tcW w:w="501" w:type="pct"/>
            <w:shd w:val="clear" w:color="auto" w:fill="auto"/>
          </w:tcPr>
          <w:p w14:paraId="7E785774" w14:textId="77777777" w:rsidR="00A82082" w:rsidRDefault="00A82082">
            <w:pPr>
              <w:rPr>
                <w:rFonts w:ascii="宋体"/>
              </w:rPr>
            </w:pPr>
          </w:p>
        </w:tc>
        <w:tc>
          <w:tcPr>
            <w:tcW w:w="5" w:type="pct"/>
            <w:shd w:val="clear" w:color="auto" w:fill="auto"/>
          </w:tcPr>
          <w:p w14:paraId="7E785775" w14:textId="77777777" w:rsidR="00A82082" w:rsidRDefault="00A82082">
            <w:pPr>
              <w:rPr>
                <w:rFonts w:ascii="宋体"/>
              </w:rPr>
            </w:pPr>
          </w:p>
        </w:tc>
      </w:tr>
      <w:tr w:rsidR="00A82082" w14:paraId="7E785782" w14:textId="77777777">
        <w:tc>
          <w:tcPr>
            <w:tcW w:w="0" w:type="auto"/>
            <w:gridSpan w:val="3"/>
            <w:shd w:val="clear" w:color="auto" w:fill="auto"/>
            <w:tcMar>
              <w:top w:w="40" w:type="dxa"/>
              <w:left w:w="20" w:type="dxa"/>
              <w:bottom w:w="40" w:type="dxa"/>
              <w:right w:w="20" w:type="dxa"/>
            </w:tcMar>
            <w:vAlign w:val="bottom"/>
          </w:tcPr>
          <w:p w14:paraId="7E785777"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778" w14:textId="77777777" w:rsidR="00A82082" w:rsidRDefault="00A82082">
            <w:pPr>
              <w:rPr>
                <w:rFonts w:ascii="宋体"/>
              </w:rPr>
            </w:pPr>
          </w:p>
        </w:tc>
        <w:tc>
          <w:tcPr>
            <w:tcW w:w="0" w:type="auto"/>
            <w:shd w:val="clear" w:color="auto" w:fill="auto"/>
          </w:tcPr>
          <w:p w14:paraId="7E785779" w14:textId="77777777" w:rsidR="00A82082" w:rsidRDefault="00A82082">
            <w:pPr>
              <w:rPr>
                <w:rFonts w:ascii="宋体"/>
                <w:vanish/>
              </w:rPr>
            </w:pPr>
          </w:p>
        </w:tc>
        <w:tc>
          <w:tcPr>
            <w:tcW w:w="0" w:type="auto"/>
            <w:shd w:val="clear" w:color="auto" w:fill="auto"/>
          </w:tcPr>
          <w:p w14:paraId="7E78577A" w14:textId="77777777" w:rsidR="00A82082" w:rsidRDefault="00A82082">
            <w:pPr>
              <w:rPr>
                <w:rFonts w:ascii="宋体"/>
                <w:vanish/>
              </w:rPr>
            </w:pPr>
          </w:p>
        </w:tc>
        <w:tc>
          <w:tcPr>
            <w:tcW w:w="0" w:type="auto"/>
            <w:gridSpan w:val="5"/>
            <w:shd w:val="clear" w:color="auto" w:fill="auto"/>
            <w:tcMar>
              <w:top w:w="40" w:type="dxa"/>
              <w:left w:w="20" w:type="dxa"/>
              <w:bottom w:w="40" w:type="dxa"/>
              <w:right w:w="20" w:type="dxa"/>
            </w:tcMar>
            <w:vAlign w:val="bottom"/>
          </w:tcPr>
          <w:p w14:paraId="7E78577B"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77C" w14:textId="77777777" w:rsidR="00A82082" w:rsidRDefault="00A82082">
            <w:pPr>
              <w:rPr>
                <w:rFonts w:ascii="宋体"/>
              </w:rPr>
            </w:pPr>
          </w:p>
        </w:tc>
        <w:tc>
          <w:tcPr>
            <w:tcW w:w="0" w:type="auto"/>
            <w:shd w:val="clear" w:color="auto" w:fill="auto"/>
          </w:tcPr>
          <w:p w14:paraId="7E78577D" w14:textId="77777777" w:rsidR="00A82082" w:rsidRDefault="00A82082">
            <w:pPr>
              <w:rPr>
                <w:rFonts w:ascii="宋体"/>
              </w:rPr>
            </w:pPr>
          </w:p>
        </w:tc>
        <w:tc>
          <w:tcPr>
            <w:tcW w:w="0" w:type="auto"/>
            <w:shd w:val="clear" w:color="auto" w:fill="auto"/>
          </w:tcPr>
          <w:p w14:paraId="7E78577E" w14:textId="77777777" w:rsidR="00A82082" w:rsidRDefault="00A82082">
            <w:pPr>
              <w:rPr>
                <w:rFonts w:ascii="宋体"/>
              </w:rPr>
            </w:pPr>
          </w:p>
        </w:tc>
        <w:tc>
          <w:tcPr>
            <w:tcW w:w="0" w:type="auto"/>
            <w:shd w:val="clear" w:color="auto" w:fill="auto"/>
          </w:tcPr>
          <w:p w14:paraId="7E78577F" w14:textId="77777777" w:rsidR="00A82082" w:rsidRDefault="00A82082">
            <w:pPr>
              <w:rPr>
                <w:rFonts w:ascii="宋体"/>
              </w:rPr>
            </w:pPr>
          </w:p>
        </w:tc>
        <w:tc>
          <w:tcPr>
            <w:tcW w:w="0" w:type="auto"/>
            <w:shd w:val="clear" w:color="auto" w:fill="auto"/>
          </w:tcPr>
          <w:p w14:paraId="7E785780" w14:textId="77777777" w:rsidR="00A82082" w:rsidRDefault="00A82082">
            <w:pPr>
              <w:rPr>
                <w:rFonts w:ascii="宋体"/>
              </w:rPr>
            </w:pPr>
          </w:p>
        </w:tc>
        <w:tc>
          <w:tcPr>
            <w:tcW w:w="0" w:type="auto"/>
            <w:shd w:val="clear" w:color="auto" w:fill="auto"/>
          </w:tcPr>
          <w:p w14:paraId="7E785781" w14:textId="77777777" w:rsidR="00A82082" w:rsidRDefault="00A82082">
            <w:pPr>
              <w:rPr>
                <w:rFonts w:ascii="宋体"/>
              </w:rPr>
            </w:pPr>
          </w:p>
        </w:tc>
      </w:tr>
      <w:tr w:rsidR="00A82082" w14:paraId="7E78578C" w14:textId="77777777">
        <w:tc>
          <w:tcPr>
            <w:tcW w:w="0" w:type="auto"/>
            <w:gridSpan w:val="3"/>
            <w:shd w:val="clear" w:color="auto" w:fill="auto"/>
            <w:tcMar>
              <w:top w:w="40" w:type="dxa"/>
              <w:left w:w="20" w:type="dxa"/>
              <w:bottom w:w="40" w:type="dxa"/>
              <w:right w:w="20" w:type="dxa"/>
            </w:tcMar>
            <w:vAlign w:val="bottom"/>
          </w:tcPr>
          <w:p w14:paraId="7E785783" w14:textId="77777777" w:rsidR="00A82082" w:rsidRDefault="00E946F9">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tcPr>
          <w:p w14:paraId="7E785784" w14:textId="77777777" w:rsidR="00A82082" w:rsidRDefault="00A82082">
            <w:pPr>
              <w:rPr>
                <w:rFonts w:ascii="宋体"/>
              </w:rPr>
            </w:pPr>
          </w:p>
        </w:tc>
        <w:tc>
          <w:tcPr>
            <w:tcW w:w="0" w:type="auto"/>
            <w:shd w:val="clear" w:color="auto" w:fill="auto"/>
          </w:tcPr>
          <w:p w14:paraId="7E785785" w14:textId="77777777" w:rsidR="00A82082" w:rsidRDefault="00A82082">
            <w:pPr>
              <w:rPr>
                <w:rFonts w:ascii="宋体"/>
                <w:vanish/>
              </w:rPr>
            </w:pPr>
          </w:p>
        </w:tc>
        <w:tc>
          <w:tcPr>
            <w:tcW w:w="0" w:type="auto"/>
            <w:shd w:val="clear" w:color="auto" w:fill="auto"/>
          </w:tcPr>
          <w:p w14:paraId="7E785786" w14:textId="77777777" w:rsidR="00A82082" w:rsidRDefault="00A82082">
            <w:pPr>
              <w:rPr>
                <w:rFonts w:ascii="宋体"/>
                <w:vanish/>
              </w:rPr>
            </w:pPr>
          </w:p>
        </w:tc>
        <w:tc>
          <w:tcPr>
            <w:tcW w:w="0" w:type="auto"/>
            <w:shd w:val="clear" w:color="auto" w:fill="auto"/>
          </w:tcPr>
          <w:p w14:paraId="7E785787" w14:textId="77777777" w:rsidR="00A82082" w:rsidRDefault="00A82082">
            <w:pPr>
              <w:rPr>
                <w:rFonts w:ascii="宋体"/>
                <w:vanish/>
              </w:rPr>
            </w:pPr>
          </w:p>
        </w:tc>
        <w:tc>
          <w:tcPr>
            <w:tcW w:w="0" w:type="auto"/>
            <w:shd w:val="clear" w:color="auto" w:fill="auto"/>
          </w:tcPr>
          <w:p w14:paraId="7E785788"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89" w14:textId="77777777" w:rsidR="00A82082" w:rsidRDefault="00E946F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E78578A"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78B" w14:textId="77777777" w:rsidR="00A82082" w:rsidRDefault="00E946F9">
            <w:pPr>
              <w:jc w:val="center"/>
              <w:textAlignment w:val="bottom"/>
            </w:pPr>
            <w:r>
              <w:rPr>
                <w:rFonts w:ascii="Times New Roman" w:eastAsia="宋体" w:hAnsi="Times New Roman"/>
                <w:b/>
                <w:bCs/>
                <w:color w:val="000000"/>
                <w:sz w:val="16"/>
                <w:szCs w:val="16"/>
              </w:rPr>
              <w:t>2020</w:t>
            </w:r>
          </w:p>
        </w:tc>
      </w:tr>
      <w:tr w:rsidR="00A82082" w14:paraId="7E78579A" w14:textId="77777777">
        <w:tc>
          <w:tcPr>
            <w:tcW w:w="0" w:type="auto"/>
            <w:gridSpan w:val="3"/>
            <w:shd w:val="clear" w:color="auto" w:fill="CCEEFF"/>
            <w:tcMar>
              <w:top w:w="40" w:type="dxa"/>
              <w:left w:w="20" w:type="dxa"/>
              <w:bottom w:w="40" w:type="dxa"/>
              <w:right w:w="20" w:type="dxa"/>
            </w:tcMar>
            <w:vAlign w:val="center"/>
          </w:tcPr>
          <w:p w14:paraId="7E78578D" w14:textId="77777777" w:rsidR="00A82082" w:rsidRDefault="00E946F9">
            <w:pPr>
              <w:textAlignment w:val="center"/>
            </w:pPr>
            <w:r>
              <w:rPr>
                <w:rFonts w:ascii="Times New Roman" w:eastAsia="宋体" w:hAnsi="Times New Roman"/>
                <w:color w:val="000000"/>
                <w:sz w:val="16"/>
                <w:szCs w:val="16"/>
              </w:rPr>
              <w:t>eCommerce, technology, supply chain and other</w:t>
            </w:r>
          </w:p>
        </w:tc>
        <w:tc>
          <w:tcPr>
            <w:tcW w:w="0" w:type="auto"/>
            <w:gridSpan w:val="3"/>
            <w:shd w:val="clear" w:color="auto" w:fill="CCEEFF"/>
            <w:tcMar>
              <w:top w:w="0" w:type="dxa"/>
              <w:left w:w="20" w:type="dxa"/>
              <w:bottom w:w="0" w:type="dxa"/>
              <w:right w:w="20" w:type="dxa"/>
            </w:tcMar>
          </w:tcPr>
          <w:p w14:paraId="7E78578E" w14:textId="77777777" w:rsidR="00A82082" w:rsidRDefault="00A82082">
            <w:pPr>
              <w:rPr>
                <w:rFonts w:ascii="宋体"/>
              </w:rPr>
            </w:pPr>
          </w:p>
        </w:tc>
        <w:tc>
          <w:tcPr>
            <w:tcW w:w="0" w:type="auto"/>
            <w:shd w:val="clear" w:color="auto" w:fill="auto"/>
          </w:tcPr>
          <w:p w14:paraId="7E78578F" w14:textId="77777777" w:rsidR="00A82082" w:rsidRDefault="00A82082">
            <w:pPr>
              <w:rPr>
                <w:rFonts w:ascii="宋体"/>
                <w:vanish/>
              </w:rPr>
            </w:pPr>
          </w:p>
        </w:tc>
        <w:tc>
          <w:tcPr>
            <w:tcW w:w="0" w:type="auto"/>
            <w:shd w:val="clear" w:color="auto" w:fill="auto"/>
          </w:tcPr>
          <w:p w14:paraId="7E785790" w14:textId="77777777" w:rsidR="00A82082" w:rsidRDefault="00A82082">
            <w:pPr>
              <w:rPr>
                <w:rFonts w:ascii="宋体"/>
                <w:vanish/>
              </w:rPr>
            </w:pPr>
          </w:p>
        </w:tc>
        <w:tc>
          <w:tcPr>
            <w:tcW w:w="0" w:type="auto"/>
            <w:shd w:val="clear" w:color="auto" w:fill="auto"/>
          </w:tcPr>
          <w:p w14:paraId="7E785791" w14:textId="77777777" w:rsidR="00A82082" w:rsidRDefault="00A82082">
            <w:pPr>
              <w:rPr>
                <w:rFonts w:ascii="宋体"/>
                <w:vanish/>
              </w:rPr>
            </w:pPr>
          </w:p>
        </w:tc>
        <w:tc>
          <w:tcPr>
            <w:tcW w:w="0" w:type="auto"/>
            <w:shd w:val="clear" w:color="auto" w:fill="auto"/>
          </w:tcPr>
          <w:p w14:paraId="7E785792"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9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94" w14:textId="77777777" w:rsidR="00A82082" w:rsidRDefault="00E946F9">
            <w:pPr>
              <w:jc w:val="right"/>
              <w:textAlignment w:val="center"/>
            </w:pPr>
            <w:r>
              <w:rPr>
                <w:rFonts w:ascii="Times New Roman" w:eastAsia="宋体" w:hAnsi="Times New Roman"/>
                <w:color w:val="000000"/>
                <w:sz w:val="16"/>
                <w:szCs w:val="16"/>
              </w:rPr>
              <w:t>3,316 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9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96"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79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798" w14:textId="77777777" w:rsidR="00A82082" w:rsidRDefault="00E946F9">
            <w:pPr>
              <w:jc w:val="right"/>
              <w:textAlignment w:val="center"/>
            </w:pPr>
            <w:r>
              <w:rPr>
                <w:rFonts w:ascii="Times New Roman" w:eastAsia="宋体" w:hAnsi="Times New Roman"/>
                <w:color w:val="000000"/>
                <w:sz w:val="16"/>
                <w:szCs w:val="16"/>
              </w:rPr>
              <w:t>3,859 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799" w14:textId="77777777" w:rsidR="00A82082" w:rsidRDefault="00A82082">
            <w:pPr>
              <w:jc w:val="right"/>
              <w:rPr>
                <w:rFonts w:ascii="宋体"/>
              </w:rPr>
            </w:pPr>
          </w:p>
        </w:tc>
      </w:tr>
      <w:tr w:rsidR="00A82082" w14:paraId="7E7857A6" w14:textId="77777777">
        <w:tc>
          <w:tcPr>
            <w:tcW w:w="0" w:type="auto"/>
            <w:gridSpan w:val="3"/>
            <w:shd w:val="clear" w:color="auto" w:fill="FFFFFF"/>
            <w:tcMar>
              <w:top w:w="40" w:type="dxa"/>
              <w:left w:w="20" w:type="dxa"/>
              <w:bottom w:w="40" w:type="dxa"/>
              <w:right w:w="20" w:type="dxa"/>
            </w:tcMar>
            <w:vAlign w:val="center"/>
          </w:tcPr>
          <w:p w14:paraId="7E78579B" w14:textId="77777777" w:rsidR="00A82082" w:rsidRDefault="00E946F9">
            <w:pPr>
              <w:textAlignment w:val="center"/>
            </w:pPr>
            <w:r>
              <w:rPr>
                <w:rFonts w:ascii="Times New Roman" w:eastAsia="宋体" w:hAnsi="Times New Roman"/>
                <w:color w:val="000000"/>
                <w:sz w:val="16"/>
                <w:szCs w:val="16"/>
              </w:rPr>
              <w:t>Store</w:t>
            </w:r>
            <w:r>
              <w:rPr>
                <w:rFonts w:ascii="Times New Roman" w:eastAsia="宋体" w:hAnsi="Times New Roman"/>
                <w:color w:val="000000"/>
                <w:sz w:val="16"/>
                <w:szCs w:val="16"/>
              </w:rPr>
              <w:t xml:space="preserve"> remodels</w:t>
            </w:r>
          </w:p>
        </w:tc>
        <w:tc>
          <w:tcPr>
            <w:tcW w:w="0" w:type="auto"/>
            <w:gridSpan w:val="3"/>
            <w:shd w:val="clear" w:color="auto" w:fill="FFFFFF"/>
            <w:tcMar>
              <w:top w:w="0" w:type="dxa"/>
              <w:left w:w="20" w:type="dxa"/>
              <w:bottom w:w="0" w:type="dxa"/>
              <w:right w:w="20" w:type="dxa"/>
            </w:tcMar>
          </w:tcPr>
          <w:p w14:paraId="7E78579C" w14:textId="77777777" w:rsidR="00A82082" w:rsidRDefault="00A82082">
            <w:pPr>
              <w:rPr>
                <w:rFonts w:ascii="宋体"/>
              </w:rPr>
            </w:pPr>
          </w:p>
        </w:tc>
        <w:tc>
          <w:tcPr>
            <w:tcW w:w="0" w:type="auto"/>
            <w:shd w:val="clear" w:color="auto" w:fill="auto"/>
          </w:tcPr>
          <w:p w14:paraId="7E78579D" w14:textId="77777777" w:rsidR="00A82082" w:rsidRDefault="00A82082">
            <w:pPr>
              <w:rPr>
                <w:rFonts w:ascii="宋体"/>
                <w:vanish/>
              </w:rPr>
            </w:pPr>
          </w:p>
        </w:tc>
        <w:tc>
          <w:tcPr>
            <w:tcW w:w="0" w:type="auto"/>
            <w:shd w:val="clear" w:color="auto" w:fill="auto"/>
          </w:tcPr>
          <w:p w14:paraId="7E78579E" w14:textId="77777777" w:rsidR="00A82082" w:rsidRDefault="00A82082">
            <w:pPr>
              <w:rPr>
                <w:rFonts w:ascii="宋体"/>
                <w:vanish/>
              </w:rPr>
            </w:pPr>
          </w:p>
        </w:tc>
        <w:tc>
          <w:tcPr>
            <w:tcW w:w="0" w:type="auto"/>
            <w:shd w:val="clear" w:color="auto" w:fill="auto"/>
          </w:tcPr>
          <w:p w14:paraId="7E78579F" w14:textId="77777777" w:rsidR="00A82082" w:rsidRDefault="00A82082">
            <w:pPr>
              <w:rPr>
                <w:rFonts w:ascii="宋体"/>
                <w:vanish/>
              </w:rPr>
            </w:pPr>
          </w:p>
        </w:tc>
        <w:tc>
          <w:tcPr>
            <w:tcW w:w="0" w:type="auto"/>
            <w:shd w:val="clear" w:color="auto" w:fill="auto"/>
          </w:tcPr>
          <w:p w14:paraId="7E7857A0"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7A1" w14:textId="77777777" w:rsidR="00A82082" w:rsidRDefault="00E946F9">
            <w:pPr>
              <w:jc w:val="right"/>
              <w:textAlignment w:val="center"/>
            </w:pPr>
            <w:r>
              <w:rPr>
                <w:rFonts w:ascii="Times New Roman" w:eastAsia="宋体" w:hAnsi="Times New Roman"/>
                <w:color w:val="000000"/>
                <w:sz w:val="16"/>
                <w:szCs w:val="16"/>
              </w:rPr>
              <w:t>1,531 </w:t>
            </w:r>
          </w:p>
        </w:tc>
        <w:tc>
          <w:tcPr>
            <w:tcW w:w="0" w:type="auto"/>
            <w:shd w:val="clear" w:color="auto" w:fill="FFFFFF"/>
            <w:tcMar>
              <w:top w:w="40" w:type="dxa"/>
              <w:left w:w="0" w:type="dxa"/>
              <w:bottom w:w="40" w:type="dxa"/>
              <w:right w:w="20" w:type="dxa"/>
            </w:tcMar>
            <w:vAlign w:val="center"/>
          </w:tcPr>
          <w:p w14:paraId="7E7857A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7A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7A4" w14:textId="77777777" w:rsidR="00A82082" w:rsidRDefault="00E946F9">
            <w:pPr>
              <w:jc w:val="right"/>
              <w:textAlignment w:val="center"/>
            </w:pPr>
            <w:r>
              <w:rPr>
                <w:rFonts w:ascii="Times New Roman" w:eastAsia="宋体" w:hAnsi="Times New Roman"/>
                <w:color w:val="000000"/>
                <w:sz w:val="16"/>
                <w:szCs w:val="16"/>
              </w:rPr>
              <w:t>1,855 </w:t>
            </w:r>
          </w:p>
        </w:tc>
        <w:tc>
          <w:tcPr>
            <w:tcW w:w="0" w:type="auto"/>
            <w:shd w:val="clear" w:color="auto" w:fill="FFFFFF"/>
            <w:tcMar>
              <w:top w:w="40" w:type="dxa"/>
              <w:left w:w="0" w:type="dxa"/>
              <w:bottom w:w="40" w:type="dxa"/>
              <w:right w:w="20" w:type="dxa"/>
            </w:tcMar>
            <w:vAlign w:val="center"/>
          </w:tcPr>
          <w:p w14:paraId="7E7857A5" w14:textId="77777777" w:rsidR="00A82082" w:rsidRDefault="00A82082">
            <w:pPr>
              <w:jc w:val="right"/>
              <w:rPr>
                <w:rFonts w:ascii="宋体"/>
              </w:rPr>
            </w:pPr>
          </w:p>
        </w:tc>
      </w:tr>
      <w:tr w:rsidR="00A82082" w14:paraId="7E7857B2" w14:textId="77777777">
        <w:tc>
          <w:tcPr>
            <w:tcW w:w="0" w:type="auto"/>
            <w:gridSpan w:val="3"/>
            <w:shd w:val="clear" w:color="auto" w:fill="CCEEFF"/>
            <w:tcMar>
              <w:top w:w="40" w:type="dxa"/>
              <w:left w:w="20" w:type="dxa"/>
              <w:bottom w:w="40" w:type="dxa"/>
              <w:right w:w="20" w:type="dxa"/>
            </w:tcMar>
            <w:vAlign w:val="center"/>
          </w:tcPr>
          <w:p w14:paraId="7E7857A7" w14:textId="77777777" w:rsidR="00A82082" w:rsidRDefault="00E946F9">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tcPr>
          <w:p w14:paraId="7E7857A8" w14:textId="77777777" w:rsidR="00A82082" w:rsidRDefault="00A82082">
            <w:pPr>
              <w:rPr>
                <w:rFonts w:ascii="宋体"/>
              </w:rPr>
            </w:pPr>
          </w:p>
        </w:tc>
        <w:tc>
          <w:tcPr>
            <w:tcW w:w="0" w:type="auto"/>
            <w:shd w:val="clear" w:color="auto" w:fill="auto"/>
          </w:tcPr>
          <w:p w14:paraId="7E7857A9" w14:textId="77777777" w:rsidR="00A82082" w:rsidRDefault="00A82082">
            <w:pPr>
              <w:rPr>
                <w:rFonts w:ascii="宋体"/>
                <w:vanish/>
              </w:rPr>
            </w:pPr>
          </w:p>
        </w:tc>
        <w:tc>
          <w:tcPr>
            <w:tcW w:w="0" w:type="auto"/>
            <w:shd w:val="clear" w:color="auto" w:fill="auto"/>
          </w:tcPr>
          <w:p w14:paraId="7E7857AA" w14:textId="77777777" w:rsidR="00A82082" w:rsidRDefault="00A82082">
            <w:pPr>
              <w:rPr>
                <w:rFonts w:ascii="宋体"/>
                <w:vanish/>
              </w:rPr>
            </w:pPr>
          </w:p>
        </w:tc>
        <w:tc>
          <w:tcPr>
            <w:tcW w:w="0" w:type="auto"/>
            <w:shd w:val="clear" w:color="auto" w:fill="auto"/>
          </w:tcPr>
          <w:p w14:paraId="7E7857AB" w14:textId="77777777" w:rsidR="00A82082" w:rsidRDefault="00A82082">
            <w:pPr>
              <w:rPr>
                <w:rFonts w:ascii="宋体"/>
                <w:vanish/>
              </w:rPr>
            </w:pPr>
          </w:p>
        </w:tc>
        <w:tc>
          <w:tcPr>
            <w:tcW w:w="0" w:type="auto"/>
            <w:shd w:val="clear" w:color="auto" w:fill="auto"/>
          </w:tcPr>
          <w:p w14:paraId="7E7857AC"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7AD" w14:textId="77777777" w:rsidR="00A82082" w:rsidRDefault="00E946F9">
            <w:pPr>
              <w:jc w:val="right"/>
              <w:textAlignment w:val="center"/>
            </w:pPr>
            <w:r>
              <w:rPr>
                <w:rFonts w:ascii="Times New Roman" w:eastAsia="宋体" w:hAnsi="Times New Roman"/>
                <w:color w:val="000000"/>
                <w:sz w:val="16"/>
                <w:szCs w:val="16"/>
              </w:rPr>
              <w:t>64 </w:t>
            </w:r>
          </w:p>
        </w:tc>
        <w:tc>
          <w:tcPr>
            <w:tcW w:w="0" w:type="auto"/>
            <w:shd w:val="clear" w:color="auto" w:fill="CCEEFF"/>
            <w:tcMar>
              <w:top w:w="40" w:type="dxa"/>
              <w:left w:w="0" w:type="dxa"/>
              <w:bottom w:w="40" w:type="dxa"/>
              <w:right w:w="20" w:type="dxa"/>
            </w:tcMar>
            <w:vAlign w:val="center"/>
          </w:tcPr>
          <w:p w14:paraId="7E7857A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A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B0" w14:textId="77777777" w:rsidR="00A82082" w:rsidRDefault="00E946F9">
            <w:pPr>
              <w:jc w:val="right"/>
              <w:textAlignment w:val="center"/>
            </w:pPr>
            <w:r>
              <w:rPr>
                <w:rFonts w:ascii="Times New Roman" w:eastAsia="宋体" w:hAnsi="Times New Roman"/>
                <w:color w:val="000000"/>
                <w:sz w:val="16"/>
                <w:szCs w:val="16"/>
              </w:rPr>
              <w:t>67 </w:t>
            </w:r>
          </w:p>
        </w:tc>
        <w:tc>
          <w:tcPr>
            <w:tcW w:w="0" w:type="auto"/>
            <w:shd w:val="clear" w:color="auto" w:fill="CCEEFF"/>
            <w:tcMar>
              <w:top w:w="40" w:type="dxa"/>
              <w:left w:w="0" w:type="dxa"/>
              <w:bottom w:w="40" w:type="dxa"/>
              <w:right w:w="20" w:type="dxa"/>
            </w:tcMar>
            <w:vAlign w:val="center"/>
          </w:tcPr>
          <w:p w14:paraId="7E7857B1" w14:textId="77777777" w:rsidR="00A82082" w:rsidRDefault="00A82082">
            <w:pPr>
              <w:jc w:val="right"/>
              <w:rPr>
                <w:rFonts w:ascii="宋体"/>
              </w:rPr>
            </w:pPr>
          </w:p>
        </w:tc>
      </w:tr>
      <w:tr w:rsidR="00A82082" w14:paraId="7E7857BE" w14:textId="77777777">
        <w:tc>
          <w:tcPr>
            <w:tcW w:w="0" w:type="auto"/>
            <w:gridSpan w:val="3"/>
            <w:shd w:val="clear" w:color="auto" w:fill="FFFFFF"/>
            <w:tcMar>
              <w:top w:w="40" w:type="dxa"/>
              <w:left w:w="20" w:type="dxa"/>
              <w:bottom w:w="40" w:type="dxa"/>
              <w:right w:w="20" w:type="dxa"/>
            </w:tcMar>
            <w:vAlign w:val="center"/>
          </w:tcPr>
          <w:p w14:paraId="7E7857B3" w14:textId="77777777" w:rsidR="00A82082" w:rsidRDefault="00E946F9">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tcPr>
          <w:p w14:paraId="7E7857B4" w14:textId="77777777" w:rsidR="00A82082" w:rsidRDefault="00A82082">
            <w:pPr>
              <w:rPr>
                <w:rFonts w:ascii="宋体"/>
              </w:rPr>
            </w:pPr>
          </w:p>
        </w:tc>
        <w:tc>
          <w:tcPr>
            <w:tcW w:w="0" w:type="auto"/>
            <w:shd w:val="clear" w:color="auto" w:fill="auto"/>
          </w:tcPr>
          <w:p w14:paraId="7E7857B5" w14:textId="77777777" w:rsidR="00A82082" w:rsidRDefault="00A82082">
            <w:pPr>
              <w:rPr>
                <w:rFonts w:ascii="宋体"/>
                <w:vanish/>
              </w:rPr>
            </w:pPr>
          </w:p>
        </w:tc>
        <w:tc>
          <w:tcPr>
            <w:tcW w:w="0" w:type="auto"/>
            <w:shd w:val="clear" w:color="auto" w:fill="auto"/>
          </w:tcPr>
          <w:p w14:paraId="7E7857B6" w14:textId="77777777" w:rsidR="00A82082" w:rsidRDefault="00A82082">
            <w:pPr>
              <w:rPr>
                <w:rFonts w:ascii="宋体"/>
                <w:vanish/>
              </w:rPr>
            </w:pPr>
          </w:p>
        </w:tc>
        <w:tc>
          <w:tcPr>
            <w:tcW w:w="0" w:type="auto"/>
            <w:shd w:val="clear" w:color="auto" w:fill="auto"/>
          </w:tcPr>
          <w:p w14:paraId="7E7857B7" w14:textId="77777777" w:rsidR="00A82082" w:rsidRDefault="00A82082">
            <w:pPr>
              <w:rPr>
                <w:rFonts w:ascii="宋体"/>
                <w:vanish/>
              </w:rPr>
            </w:pPr>
          </w:p>
        </w:tc>
        <w:tc>
          <w:tcPr>
            <w:tcW w:w="0" w:type="auto"/>
            <w:shd w:val="clear" w:color="auto" w:fill="auto"/>
          </w:tcPr>
          <w:p w14:paraId="7E7857B8" w14:textId="77777777" w:rsidR="00A82082" w:rsidRDefault="00A8208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57B9" w14:textId="77777777" w:rsidR="00A82082" w:rsidRDefault="00E946F9">
            <w:pPr>
              <w:jc w:val="right"/>
              <w:textAlignment w:val="center"/>
            </w:pPr>
            <w:r>
              <w:rPr>
                <w:rFonts w:ascii="Times New Roman" w:eastAsia="宋体" w:hAnsi="Times New Roman"/>
                <w:color w:val="000000"/>
                <w:sz w:val="16"/>
                <w:szCs w:val="16"/>
              </w:rPr>
              <w:t>4,911 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7B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7BB" w14:textId="77777777" w:rsidR="00A82082" w:rsidRDefault="00A8208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7857BC" w14:textId="77777777" w:rsidR="00A82082" w:rsidRDefault="00E946F9">
            <w:pPr>
              <w:jc w:val="right"/>
              <w:textAlignment w:val="center"/>
            </w:pPr>
            <w:r>
              <w:rPr>
                <w:rFonts w:ascii="Times New Roman" w:eastAsia="宋体" w:hAnsi="Times New Roman"/>
                <w:color w:val="000000"/>
                <w:sz w:val="16"/>
                <w:szCs w:val="16"/>
              </w:rPr>
              <w:t>5,781 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7BD" w14:textId="77777777" w:rsidR="00A82082" w:rsidRDefault="00A82082">
            <w:pPr>
              <w:jc w:val="right"/>
              <w:rPr>
                <w:rFonts w:ascii="宋体"/>
              </w:rPr>
            </w:pPr>
          </w:p>
        </w:tc>
      </w:tr>
      <w:tr w:rsidR="00A82082" w14:paraId="7E7857CA" w14:textId="77777777">
        <w:tc>
          <w:tcPr>
            <w:tcW w:w="0" w:type="auto"/>
            <w:gridSpan w:val="3"/>
            <w:shd w:val="clear" w:color="auto" w:fill="CCEEFF"/>
            <w:tcMar>
              <w:top w:w="40" w:type="dxa"/>
              <w:left w:w="20" w:type="dxa"/>
              <w:bottom w:w="40" w:type="dxa"/>
              <w:right w:w="20" w:type="dxa"/>
            </w:tcMar>
            <w:vAlign w:val="center"/>
          </w:tcPr>
          <w:p w14:paraId="7E7857BF" w14:textId="77777777" w:rsidR="00A82082" w:rsidRDefault="00E946F9">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tcPr>
          <w:p w14:paraId="7E7857C0" w14:textId="77777777" w:rsidR="00A82082" w:rsidRDefault="00A82082">
            <w:pPr>
              <w:rPr>
                <w:rFonts w:ascii="宋体"/>
              </w:rPr>
            </w:pPr>
          </w:p>
        </w:tc>
        <w:tc>
          <w:tcPr>
            <w:tcW w:w="0" w:type="auto"/>
            <w:shd w:val="clear" w:color="auto" w:fill="auto"/>
          </w:tcPr>
          <w:p w14:paraId="7E7857C1" w14:textId="77777777" w:rsidR="00A82082" w:rsidRDefault="00A82082">
            <w:pPr>
              <w:rPr>
                <w:rFonts w:ascii="宋体"/>
                <w:vanish/>
              </w:rPr>
            </w:pPr>
          </w:p>
        </w:tc>
        <w:tc>
          <w:tcPr>
            <w:tcW w:w="0" w:type="auto"/>
            <w:shd w:val="clear" w:color="auto" w:fill="auto"/>
          </w:tcPr>
          <w:p w14:paraId="7E7857C2" w14:textId="77777777" w:rsidR="00A82082" w:rsidRDefault="00A82082">
            <w:pPr>
              <w:rPr>
                <w:rFonts w:ascii="宋体"/>
                <w:vanish/>
              </w:rPr>
            </w:pPr>
          </w:p>
        </w:tc>
        <w:tc>
          <w:tcPr>
            <w:tcW w:w="0" w:type="auto"/>
            <w:shd w:val="clear" w:color="auto" w:fill="auto"/>
          </w:tcPr>
          <w:p w14:paraId="7E7857C3" w14:textId="77777777" w:rsidR="00A82082" w:rsidRDefault="00A82082">
            <w:pPr>
              <w:rPr>
                <w:rFonts w:ascii="宋体"/>
                <w:vanish/>
              </w:rPr>
            </w:pPr>
          </w:p>
        </w:tc>
        <w:tc>
          <w:tcPr>
            <w:tcW w:w="0" w:type="auto"/>
            <w:shd w:val="clear" w:color="auto" w:fill="auto"/>
          </w:tcPr>
          <w:p w14:paraId="7E7857C4"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7C5" w14:textId="77777777" w:rsidR="00A82082" w:rsidRDefault="00E946F9">
            <w:pPr>
              <w:jc w:val="right"/>
              <w:textAlignment w:val="center"/>
            </w:pPr>
            <w:r>
              <w:rPr>
                <w:rFonts w:ascii="Times New Roman" w:eastAsia="宋体" w:hAnsi="Times New Roman"/>
                <w:color w:val="000000"/>
                <w:sz w:val="16"/>
                <w:szCs w:val="16"/>
              </w:rPr>
              <w:t>1,527 </w:t>
            </w:r>
          </w:p>
        </w:tc>
        <w:tc>
          <w:tcPr>
            <w:tcW w:w="0" w:type="auto"/>
            <w:shd w:val="clear" w:color="auto" w:fill="CCEEFF"/>
            <w:tcMar>
              <w:top w:w="40" w:type="dxa"/>
              <w:left w:w="0" w:type="dxa"/>
              <w:bottom w:w="40" w:type="dxa"/>
              <w:right w:w="20" w:type="dxa"/>
            </w:tcMar>
            <w:vAlign w:val="center"/>
          </w:tcPr>
          <w:p w14:paraId="7E7857C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7C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7C8" w14:textId="77777777" w:rsidR="00A82082" w:rsidRDefault="00E946F9">
            <w:pPr>
              <w:jc w:val="right"/>
              <w:textAlignment w:val="center"/>
            </w:pPr>
            <w:r>
              <w:rPr>
                <w:rFonts w:ascii="Times New Roman" w:eastAsia="宋体" w:hAnsi="Times New Roman"/>
                <w:color w:val="000000"/>
                <w:sz w:val="16"/>
                <w:szCs w:val="16"/>
              </w:rPr>
              <w:t>1,984 </w:t>
            </w:r>
          </w:p>
        </w:tc>
        <w:tc>
          <w:tcPr>
            <w:tcW w:w="0" w:type="auto"/>
            <w:shd w:val="clear" w:color="auto" w:fill="CCEEFF"/>
            <w:tcMar>
              <w:top w:w="40" w:type="dxa"/>
              <w:left w:w="0" w:type="dxa"/>
              <w:bottom w:w="40" w:type="dxa"/>
              <w:right w:w="20" w:type="dxa"/>
            </w:tcMar>
            <w:vAlign w:val="center"/>
          </w:tcPr>
          <w:p w14:paraId="7E7857C9" w14:textId="77777777" w:rsidR="00A82082" w:rsidRDefault="00A82082">
            <w:pPr>
              <w:jc w:val="right"/>
              <w:rPr>
                <w:rFonts w:ascii="宋体"/>
              </w:rPr>
            </w:pPr>
          </w:p>
        </w:tc>
      </w:tr>
      <w:tr w:rsidR="00A82082" w14:paraId="7E7857D8" w14:textId="77777777">
        <w:tc>
          <w:tcPr>
            <w:tcW w:w="0" w:type="auto"/>
            <w:gridSpan w:val="3"/>
            <w:shd w:val="clear" w:color="auto" w:fill="FFFFFF"/>
            <w:tcMar>
              <w:top w:w="40" w:type="dxa"/>
              <w:left w:w="20" w:type="dxa"/>
              <w:bottom w:w="40" w:type="dxa"/>
              <w:right w:w="20" w:type="dxa"/>
            </w:tcMar>
            <w:vAlign w:val="center"/>
          </w:tcPr>
          <w:p w14:paraId="7E7857CB" w14:textId="77777777" w:rsidR="00A82082" w:rsidRDefault="00E946F9">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tcPr>
          <w:p w14:paraId="7E7857CC" w14:textId="77777777" w:rsidR="00A82082" w:rsidRDefault="00A82082">
            <w:pPr>
              <w:rPr>
                <w:rFonts w:ascii="宋体"/>
              </w:rPr>
            </w:pPr>
          </w:p>
        </w:tc>
        <w:tc>
          <w:tcPr>
            <w:tcW w:w="0" w:type="auto"/>
            <w:shd w:val="clear" w:color="auto" w:fill="auto"/>
          </w:tcPr>
          <w:p w14:paraId="7E7857CD" w14:textId="77777777" w:rsidR="00A82082" w:rsidRDefault="00A82082">
            <w:pPr>
              <w:rPr>
                <w:rFonts w:ascii="宋体"/>
                <w:vanish/>
              </w:rPr>
            </w:pPr>
          </w:p>
        </w:tc>
        <w:tc>
          <w:tcPr>
            <w:tcW w:w="0" w:type="auto"/>
            <w:shd w:val="clear" w:color="auto" w:fill="auto"/>
          </w:tcPr>
          <w:p w14:paraId="7E7857CE" w14:textId="77777777" w:rsidR="00A82082" w:rsidRDefault="00A82082">
            <w:pPr>
              <w:rPr>
                <w:rFonts w:ascii="宋体"/>
                <w:vanish/>
              </w:rPr>
            </w:pPr>
          </w:p>
        </w:tc>
        <w:tc>
          <w:tcPr>
            <w:tcW w:w="0" w:type="auto"/>
            <w:shd w:val="clear" w:color="auto" w:fill="auto"/>
          </w:tcPr>
          <w:p w14:paraId="7E7857CF" w14:textId="77777777" w:rsidR="00A82082" w:rsidRDefault="00A82082">
            <w:pPr>
              <w:rPr>
                <w:rFonts w:ascii="宋体"/>
                <w:vanish/>
              </w:rPr>
            </w:pPr>
          </w:p>
        </w:tc>
        <w:tc>
          <w:tcPr>
            <w:tcW w:w="0" w:type="auto"/>
            <w:shd w:val="clear" w:color="auto" w:fill="auto"/>
          </w:tcPr>
          <w:p w14:paraId="7E7857D0" w14:textId="77777777" w:rsidR="00A82082" w:rsidRDefault="00A82082">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7D1"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7D2" w14:textId="77777777" w:rsidR="00A82082" w:rsidRDefault="00E946F9">
            <w:pPr>
              <w:jc w:val="right"/>
              <w:textAlignment w:val="center"/>
            </w:pPr>
            <w:r>
              <w:rPr>
                <w:rFonts w:ascii="Times New Roman" w:eastAsia="宋体" w:hAnsi="Times New Roman"/>
                <w:color w:val="000000"/>
                <w:sz w:val="16"/>
                <w:szCs w:val="16"/>
              </w:rPr>
              <w:t>6,438 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7D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7D4" w14:textId="77777777" w:rsidR="00A82082" w:rsidRDefault="00A8208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7D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7857D6" w14:textId="77777777" w:rsidR="00A82082" w:rsidRDefault="00E946F9">
            <w:pPr>
              <w:jc w:val="right"/>
              <w:textAlignment w:val="center"/>
            </w:pPr>
            <w:r>
              <w:rPr>
                <w:rFonts w:ascii="Times New Roman" w:eastAsia="宋体" w:hAnsi="Times New Roman"/>
                <w:color w:val="000000"/>
                <w:sz w:val="16"/>
                <w:szCs w:val="16"/>
              </w:rPr>
              <w:t>7,765 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7D7" w14:textId="77777777" w:rsidR="00A82082" w:rsidRDefault="00A82082">
            <w:pPr>
              <w:jc w:val="right"/>
              <w:rPr>
                <w:rFonts w:ascii="宋体"/>
              </w:rPr>
            </w:pPr>
          </w:p>
        </w:tc>
      </w:tr>
    </w:tbl>
    <w:p w14:paraId="7E7857D9" w14:textId="77777777" w:rsidR="00A82082" w:rsidRDefault="00A82082"/>
    <w:p w14:paraId="7E7857DA" w14:textId="77777777" w:rsidR="00A82082" w:rsidRDefault="00E946F9">
      <w:r>
        <w:rPr>
          <w:rFonts w:ascii="Times New Roman" w:eastAsia="宋体" w:hAnsi="Times New Roman"/>
          <w:b/>
          <w:bCs/>
          <w:color w:val="000000"/>
          <w:sz w:val="20"/>
          <w:szCs w:val="20"/>
          <w:u w:val="single"/>
        </w:rPr>
        <w:t>Returns</w:t>
      </w:r>
    </w:p>
    <w:p w14:paraId="7E7857DB" w14:textId="77777777" w:rsidR="00A82082" w:rsidRDefault="00E946F9">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form of share repurchases and divi</w:t>
      </w:r>
      <w:r>
        <w:rPr>
          <w:rFonts w:ascii="Times New Roman" w:eastAsia="宋体" w:hAnsi="Times New Roman"/>
          <w:color w:val="000000"/>
          <w:sz w:val="20"/>
          <w:szCs w:val="20"/>
        </w:rPr>
        <w:t xml:space="preserve">dends, which are discussed in the </w:t>
      </w:r>
      <w:hyperlink r:id="rId82" w:anchor="i5c815528a95c4409b9043de534639b9a_112"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7E7857DC" w14:textId="77777777" w:rsidR="00A82082" w:rsidRDefault="00E946F9">
      <w:pPr>
        <w:spacing w:before="180"/>
      </w:pPr>
      <w:r>
        <w:rPr>
          <w:rFonts w:ascii="Times New Roman" w:eastAsia="宋体" w:hAnsi="Times New Roman"/>
          <w:i/>
          <w:iCs/>
          <w:color w:val="000000"/>
          <w:sz w:val="20"/>
          <w:szCs w:val="20"/>
        </w:rPr>
        <w:t>Return on Assets and Return</w:t>
      </w:r>
      <w:r>
        <w:rPr>
          <w:rFonts w:ascii="Times New Roman" w:eastAsia="宋体" w:hAnsi="Times New Roman"/>
          <w:i/>
          <w:iCs/>
          <w:color w:val="000000"/>
          <w:sz w:val="20"/>
          <w:szCs w:val="20"/>
        </w:rPr>
        <w:t xml:space="preserve"> on Investment </w:t>
      </w:r>
    </w:p>
    <w:p w14:paraId="7E7857DD" w14:textId="77777777" w:rsidR="00A82082" w:rsidRDefault="00E946F9">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 Return on Investment ("ROI") as metr</w:t>
      </w:r>
      <w:r>
        <w:rPr>
          <w:rFonts w:ascii="Times New Roman" w:eastAsia="宋体" w:hAnsi="Times New Roman"/>
          <w:color w:val="000000"/>
          <w:sz w:val="20"/>
          <w:szCs w:val="20"/>
        </w:rPr>
        <w:t>ics to assess returns on assets. While ROI is considered a non-GAAP financial measure, management believes ROI is a meaningful metric to share with investors because it helps investors assess how effectively Walmart is deploying its assets. Trends in ROI c</w:t>
      </w:r>
      <w:r>
        <w:rPr>
          <w:rFonts w:ascii="Times New Roman" w:eastAsia="宋体" w:hAnsi="Times New Roman"/>
          <w:color w:val="000000"/>
          <w:sz w:val="20"/>
          <w:szCs w:val="20"/>
        </w:rPr>
        <w:t>an fluctuate over time as management balances long-term strategic initiatives with possible short-term impacts. ROA was 8.2% and 6.3% for the trailing twelve months ended October 31, 2020 and 2019, respectively. The increase in ROA was primarily due to the</w:t>
      </w:r>
      <w:r>
        <w:rPr>
          <w:rFonts w:ascii="Times New Roman" w:eastAsia="宋体" w:hAnsi="Times New Roman"/>
          <w:color w:val="000000"/>
          <w:sz w:val="20"/>
          <w:szCs w:val="20"/>
        </w:rPr>
        <w:t xml:space="preserve"> increase in consolidated net income primarily driven by the change in fair value of our equity investments, partially offset by the loss on sale of Walmart Argentina. ROI was flat at 13.7% for the trailing twelve months ended October 31, 2020 and 2019.</w:t>
      </w:r>
    </w:p>
    <w:p w14:paraId="7E7857DE" w14:textId="77777777" w:rsidR="00A82082" w:rsidRDefault="00E946F9">
      <w:pPr>
        <w:spacing w:before="100"/>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define ROI as adjusted operating income (operating income plus interest income, depreciation and amortization, and rent expense) for the trailing 12 months divided by average invested capital during that period. We consider average invested capital to be </w:t>
      </w:r>
      <w:r>
        <w:rPr>
          <w:rFonts w:ascii="Times New Roman" w:eastAsia="宋体" w:hAnsi="Times New Roman"/>
          <w:color w:val="000000"/>
          <w:sz w:val="20"/>
          <w:szCs w:val="20"/>
        </w:rPr>
        <w:t>the average of our beginning and ending total assets, plus average accumulated depreciation and average amortization, less average accounts payable and average accrued liabilities for that period. For the trailing twelve months ended October 31, 2019, leas</w:t>
      </w:r>
      <w:r>
        <w:rPr>
          <w:rFonts w:ascii="Times New Roman" w:eastAsia="宋体" w:hAnsi="Times New Roman"/>
          <w:color w:val="000000"/>
          <w:sz w:val="20"/>
          <w:szCs w:val="20"/>
        </w:rPr>
        <w:t>e related assets and associated accumulated amortization are included in the denominator at their carrying amount as of that balance sheet date, rather than averaged, because they are not directly comparable to the prior year calculation which included ren</w:t>
      </w:r>
      <w:r>
        <w:rPr>
          <w:rFonts w:ascii="Times New Roman" w:eastAsia="宋体" w:hAnsi="Times New Roman"/>
          <w:color w:val="000000"/>
          <w:sz w:val="20"/>
          <w:szCs w:val="20"/>
        </w:rPr>
        <w:t xml:space="preserve">t for the trailing 12 months multiplied by a factor of 8. A two-point average was used for leased assets beginning in fiscal 2021, after one full year from the date of adoption of Accounting Standards Update 2016-02, </w:t>
      </w:r>
      <w:r>
        <w:rPr>
          <w:rFonts w:ascii="Times New Roman" w:eastAsia="宋体" w:hAnsi="Times New Roman"/>
          <w:i/>
          <w:iCs/>
          <w:color w:val="000000"/>
          <w:sz w:val="20"/>
          <w:szCs w:val="20"/>
        </w:rPr>
        <w:t xml:space="preserve">Leases (Topic 842) </w:t>
      </w:r>
      <w:r>
        <w:rPr>
          <w:rFonts w:ascii="Times New Roman" w:eastAsia="宋体" w:hAnsi="Times New Roman"/>
          <w:color w:val="000000"/>
          <w:sz w:val="20"/>
          <w:szCs w:val="20"/>
        </w:rPr>
        <w:t xml:space="preserve">("ASU 2016-02"). </w:t>
      </w:r>
    </w:p>
    <w:p w14:paraId="7E7857DF" w14:textId="77777777" w:rsidR="00A82082" w:rsidRDefault="00E946F9">
      <w:pPr>
        <w:spacing w:before="100"/>
      </w:pPr>
      <w:r>
        <w:rPr>
          <w:rFonts w:ascii="Times New Roman" w:eastAsia="宋体" w:hAnsi="Times New Roman"/>
          <w:color w:val="000000"/>
          <w:sz w:val="20"/>
          <w:szCs w:val="20"/>
        </w:rPr>
        <w:t>Ou</w:t>
      </w:r>
      <w:r>
        <w:rPr>
          <w:rFonts w:ascii="Times New Roman" w:eastAsia="宋体" w:hAnsi="Times New Roman"/>
          <w:color w:val="000000"/>
          <w:sz w:val="20"/>
          <w:szCs w:val="20"/>
        </w:rPr>
        <w:t>r calculation of ROI is considered a non-GAAP financial measure because we calculate ROI using financial measures that exclude and include amounts that are included and excluded in the most directly comparable GAAP financial measure. For example, we exclud</w:t>
      </w:r>
      <w:r>
        <w:rPr>
          <w:rFonts w:ascii="Times New Roman" w:eastAsia="宋体" w:hAnsi="Times New Roman"/>
          <w:color w:val="000000"/>
          <w:sz w:val="20"/>
          <w:szCs w:val="20"/>
        </w:rPr>
        <w:t>e the impact of depreciation and amortization from our reported operating income in calculating the numerator of our calculation of ROI. As mentioned above, we consider ROA to be the financial measure computed in accordance with generally accepted accounti</w:t>
      </w:r>
      <w:r>
        <w:rPr>
          <w:rFonts w:ascii="Times New Roman" w:eastAsia="宋体" w:hAnsi="Times New Roman"/>
          <w:color w:val="000000"/>
          <w:sz w:val="20"/>
          <w:szCs w:val="20"/>
        </w:rPr>
        <w:t>ng principles most directly comparable to our calculation of ROI. ROI differs from ROA (which is consolidated net income for the period divided by average total assets for the period) because ROI: adjusts operating income to exclude certain expense items a</w:t>
      </w:r>
      <w:r>
        <w:rPr>
          <w:rFonts w:ascii="Times New Roman" w:eastAsia="宋体" w:hAnsi="Times New Roman"/>
          <w:color w:val="000000"/>
          <w:sz w:val="20"/>
          <w:szCs w:val="20"/>
        </w:rPr>
        <w:t>nd adds interest income; adjusts total assets for the impact of accumulated depreciation and amortization, accounts payable and accrued liabilities to arrive at total invested capital. Because of the adjustments mentioned above, we believe ROI more accurat</w:t>
      </w:r>
      <w:r>
        <w:rPr>
          <w:rFonts w:ascii="Times New Roman" w:eastAsia="宋体" w:hAnsi="Times New Roman"/>
          <w:color w:val="000000"/>
          <w:sz w:val="20"/>
          <w:szCs w:val="20"/>
        </w:rPr>
        <w:t>ely measures how we are deploying our key assets and is more meaningful to investors than ROA. Although ROI is a standard financial measure, numerous methods exist for calculating a company's ROI. As a result, the method used by management to calculate our</w:t>
      </w:r>
      <w:r>
        <w:rPr>
          <w:rFonts w:ascii="Times New Roman" w:eastAsia="宋体" w:hAnsi="Times New Roman"/>
          <w:color w:val="000000"/>
          <w:sz w:val="20"/>
          <w:szCs w:val="20"/>
        </w:rPr>
        <w:t xml:space="preserve"> ROI may differ from the methods used by other companies to calculate their ROI.</w:t>
      </w:r>
    </w:p>
    <w:p w14:paraId="7E7857E0" w14:textId="77777777" w:rsidR="00A82082" w:rsidRDefault="00E946F9">
      <w:pPr>
        <w:jc w:val="center"/>
      </w:pPr>
      <w:r>
        <w:rPr>
          <w:rFonts w:ascii="Times New Roman" w:eastAsia="宋体" w:hAnsi="Times New Roman"/>
          <w:color w:val="000000"/>
          <w:sz w:val="20"/>
          <w:szCs w:val="20"/>
        </w:rPr>
        <w:t>19</w:t>
      </w:r>
    </w:p>
    <w:p w14:paraId="7E7857E1" w14:textId="77777777" w:rsidR="00A82082" w:rsidRDefault="00E946F9">
      <w:r>
        <w:pict w14:anchorId="7E78615B">
          <v:rect id="_x0000_i1043" style="width:415.3pt;height:1.5pt" o:hralign="center" o:hrstd="t" o:hr="t" fillcolor="#a0a0a0" stroked="f"/>
        </w:pict>
      </w:r>
    </w:p>
    <w:p w14:paraId="7E7857E2" w14:textId="77777777" w:rsidR="00A82082" w:rsidRDefault="00E946F9">
      <w:hyperlink r:id="rId83" w:anchor="i5c815528a95c4409b9043de534639b9a_7" w:history="1">
        <w:r>
          <w:rPr>
            <w:rStyle w:val="a5"/>
            <w:rFonts w:ascii="Times New Roman" w:eastAsia="宋体" w:hAnsi="Times New Roman"/>
            <w:sz w:val="20"/>
            <w:szCs w:val="20"/>
          </w:rPr>
          <w:t>Table of C</w:t>
        </w:r>
      </w:hyperlink>
      <w:hyperlink r:id="rId84" w:anchor="i5c815528a95c4409b9043de534639b9a_7" w:history="1">
        <w:r>
          <w:rPr>
            <w:rStyle w:val="a5"/>
            <w:rFonts w:ascii="Times New Roman" w:eastAsia="宋体" w:hAnsi="Times New Roman"/>
            <w:sz w:val="20"/>
            <w:szCs w:val="20"/>
          </w:rPr>
          <w:t>ontents</w:t>
        </w:r>
      </w:hyperlink>
    </w:p>
    <w:p w14:paraId="7E7857E3" w14:textId="77777777" w:rsidR="00A82082" w:rsidRDefault="00E946F9">
      <w:pPr>
        <w:spacing w:before="100"/>
      </w:pPr>
      <w:r>
        <w:rPr>
          <w:rFonts w:ascii="Times New Roman" w:eastAsia="宋体" w:hAnsi="Times New Roman"/>
          <w:color w:val="000000"/>
          <w:sz w:val="20"/>
          <w:szCs w:val="20"/>
        </w:rPr>
        <w:t>The calculation of ROA and ROI, along with a reconciliation of ROI to the calculation of ROA, the most comparable GAAP financial measure, is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5855"/>
        <w:gridCol w:w="38"/>
        <w:gridCol w:w="36"/>
        <w:gridCol w:w="36"/>
        <w:gridCol w:w="36"/>
        <w:gridCol w:w="100"/>
        <w:gridCol w:w="834"/>
        <w:gridCol w:w="154"/>
        <w:gridCol w:w="36"/>
        <w:gridCol w:w="36"/>
        <w:gridCol w:w="36"/>
        <w:gridCol w:w="100"/>
        <w:gridCol w:w="834"/>
        <w:gridCol w:w="154"/>
      </w:tblGrid>
      <w:tr w:rsidR="00A82082" w14:paraId="7E7857F3" w14:textId="77777777">
        <w:tc>
          <w:tcPr>
            <w:tcW w:w="50" w:type="pct"/>
            <w:shd w:val="clear" w:color="auto" w:fill="auto"/>
          </w:tcPr>
          <w:p w14:paraId="7E7857E4" w14:textId="77777777" w:rsidR="00A82082" w:rsidRDefault="00A82082">
            <w:pPr>
              <w:rPr>
                <w:rFonts w:ascii="宋体"/>
              </w:rPr>
            </w:pPr>
          </w:p>
        </w:tc>
        <w:tc>
          <w:tcPr>
            <w:tcW w:w="3583" w:type="pct"/>
            <w:shd w:val="clear" w:color="auto" w:fill="auto"/>
          </w:tcPr>
          <w:p w14:paraId="7E7857E5" w14:textId="77777777" w:rsidR="00A82082" w:rsidRDefault="00A82082">
            <w:pPr>
              <w:rPr>
                <w:rFonts w:ascii="宋体"/>
              </w:rPr>
            </w:pPr>
          </w:p>
        </w:tc>
        <w:tc>
          <w:tcPr>
            <w:tcW w:w="5" w:type="pct"/>
            <w:shd w:val="clear" w:color="auto" w:fill="auto"/>
          </w:tcPr>
          <w:p w14:paraId="7E7857E6" w14:textId="77777777" w:rsidR="00A82082" w:rsidRDefault="00A82082">
            <w:pPr>
              <w:rPr>
                <w:rFonts w:ascii="宋体"/>
              </w:rPr>
            </w:pPr>
          </w:p>
        </w:tc>
        <w:tc>
          <w:tcPr>
            <w:tcW w:w="5" w:type="pct"/>
            <w:shd w:val="clear" w:color="auto" w:fill="auto"/>
          </w:tcPr>
          <w:p w14:paraId="7E7857E7" w14:textId="77777777" w:rsidR="00A82082" w:rsidRDefault="00A82082">
            <w:pPr>
              <w:rPr>
                <w:rFonts w:ascii="宋体"/>
              </w:rPr>
            </w:pPr>
          </w:p>
        </w:tc>
        <w:tc>
          <w:tcPr>
            <w:tcW w:w="26" w:type="pct"/>
            <w:shd w:val="clear" w:color="auto" w:fill="auto"/>
          </w:tcPr>
          <w:p w14:paraId="7E7857E8" w14:textId="77777777" w:rsidR="00A82082" w:rsidRDefault="00A82082">
            <w:pPr>
              <w:rPr>
                <w:rFonts w:ascii="宋体"/>
              </w:rPr>
            </w:pPr>
          </w:p>
        </w:tc>
        <w:tc>
          <w:tcPr>
            <w:tcW w:w="5" w:type="pct"/>
            <w:shd w:val="clear" w:color="auto" w:fill="auto"/>
          </w:tcPr>
          <w:p w14:paraId="7E7857E9" w14:textId="77777777" w:rsidR="00A82082" w:rsidRDefault="00A82082">
            <w:pPr>
              <w:rPr>
                <w:rFonts w:ascii="宋体"/>
              </w:rPr>
            </w:pPr>
          </w:p>
        </w:tc>
        <w:tc>
          <w:tcPr>
            <w:tcW w:w="50" w:type="pct"/>
            <w:shd w:val="clear" w:color="auto" w:fill="auto"/>
          </w:tcPr>
          <w:p w14:paraId="7E7857EA" w14:textId="77777777" w:rsidR="00A82082" w:rsidRDefault="00A82082">
            <w:pPr>
              <w:rPr>
                <w:rFonts w:ascii="宋体"/>
              </w:rPr>
            </w:pPr>
          </w:p>
        </w:tc>
        <w:tc>
          <w:tcPr>
            <w:tcW w:w="589" w:type="pct"/>
            <w:shd w:val="clear" w:color="auto" w:fill="auto"/>
          </w:tcPr>
          <w:p w14:paraId="7E7857EB" w14:textId="77777777" w:rsidR="00A82082" w:rsidRDefault="00A82082">
            <w:pPr>
              <w:rPr>
                <w:rFonts w:ascii="宋体"/>
              </w:rPr>
            </w:pPr>
          </w:p>
        </w:tc>
        <w:tc>
          <w:tcPr>
            <w:tcW w:w="5" w:type="pct"/>
            <w:shd w:val="clear" w:color="auto" w:fill="auto"/>
          </w:tcPr>
          <w:p w14:paraId="7E7857EC" w14:textId="77777777" w:rsidR="00A82082" w:rsidRDefault="00A82082">
            <w:pPr>
              <w:rPr>
                <w:rFonts w:ascii="宋体"/>
              </w:rPr>
            </w:pPr>
          </w:p>
        </w:tc>
        <w:tc>
          <w:tcPr>
            <w:tcW w:w="5" w:type="pct"/>
            <w:shd w:val="clear" w:color="auto" w:fill="auto"/>
          </w:tcPr>
          <w:p w14:paraId="7E7857ED" w14:textId="77777777" w:rsidR="00A82082" w:rsidRDefault="00A82082">
            <w:pPr>
              <w:rPr>
                <w:rFonts w:ascii="宋体"/>
              </w:rPr>
            </w:pPr>
          </w:p>
        </w:tc>
        <w:tc>
          <w:tcPr>
            <w:tcW w:w="26" w:type="pct"/>
            <w:shd w:val="clear" w:color="auto" w:fill="auto"/>
          </w:tcPr>
          <w:p w14:paraId="7E7857EE" w14:textId="77777777" w:rsidR="00A82082" w:rsidRDefault="00A82082">
            <w:pPr>
              <w:rPr>
                <w:rFonts w:ascii="宋体"/>
              </w:rPr>
            </w:pPr>
          </w:p>
        </w:tc>
        <w:tc>
          <w:tcPr>
            <w:tcW w:w="5" w:type="pct"/>
            <w:shd w:val="clear" w:color="auto" w:fill="auto"/>
          </w:tcPr>
          <w:p w14:paraId="7E7857EF" w14:textId="77777777" w:rsidR="00A82082" w:rsidRDefault="00A82082">
            <w:pPr>
              <w:rPr>
                <w:rFonts w:ascii="宋体"/>
              </w:rPr>
            </w:pPr>
          </w:p>
        </w:tc>
        <w:tc>
          <w:tcPr>
            <w:tcW w:w="50" w:type="pct"/>
            <w:shd w:val="clear" w:color="auto" w:fill="auto"/>
          </w:tcPr>
          <w:p w14:paraId="7E7857F0" w14:textId="77777777" w:rsidR="00A82082" w:rsidRDefault="00A82082">
            <w:pPr>
              <w:rPr>
                <w:rFonts w:ascii="宋体"/>
              </w:rPr>
            </w:pPr>
          </w:p>
        </w:tc>
        <w:tc>
          <w:tcPr>
            <w:tcW w:w="589" w:type="pct"/>
            <w:shd w:val="clear" w:color="auto" w:fill="auto"/>
          </w:tcPr>
          <w:p w14:paraId="7E7857F1" w14:textId="77777777" w:rsidR="00A82082" w:rsidRDefault="00A82082">
            <w:pPr>
              <w:rPr>
                <w:rFonts w:ascii="宋体"/>
              </w:rPr>
            </w:pPr>
          </w:p>
        </w:tc>
        <w:tc>
          <w:tcPr>
            <w:tcW w:w="5" w:type="pct"/>
            <w:shd w:val="clear" w:color="auto" w:fill="auto"/>
          </w:tcPr>
          <w:p w14:paraId="7E7857F2" w14:textId="77777777" w:rsidR="00A82082" w:rsidRDefault="00A82082">
            <w:pPr>
              <w:rPr>
                <w:rFonts w:ascii="宋体"/>
              </w:rPr>
            </w:pPr>
          </w:p>
        </w:tc>
      </w:tr>
      <w:tr w:rsidR="00A82082" w14:paraId="7E7857F7" w14:textId="77777777">
        <w:tc>
          <w:tcPr>
            <w:tcW w:w="0" w:type="auto"/>
            <w:gridSpan w:val="3"/>
            <w:shd w:val="clear" w:color="auto" w:fill="auto"/>
            <w:tcMar>
              <w:top w:w="40" w:type="dxa"/>
              <w:left w:w="20" w:type="dxa"/>
              <w:bottom w:w="40" w:type="dxa"/>
              <w:right w:w="20" w:type="dxa"/>
            </w:tcMar>
            <w:vAlign w:val="bottom"/>
          </w:tcPr>
          <w:p w14:paraId="7E7857F4"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7F5"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7F6" w14:textId="77777777" w:rsidR="00A82082" w:rsidRDefault="00E946F9">
            <w:pPr>
              <w:jc w:val="center"/>
              <w:textAlignment w:val="bottom"/>
            </w:pPr>
            <w:r>
              <w:rPr>
                <w:rFonts w:ascii="Times New Roman" w:eastAsia="宋体" w:hAnsi="Times New Roman"/>
                <w:b/>
                <w:bCs/>
                <w:color w:val="000000"/>
                <w:sz w:val="16"/>
                <w:szCs w:val="16"/>
              </w:rPr>
              <w:t xml:space="preserve">For the </w:t>
            </w:r>
            <w:r>
              <w:rPr>
                <w:rFonts w:ascii="Times New Roman" w:eastAsia="宋体" w:hAnsi="Times New Roman"/>
                <w:b/>
                <w:bCs/>
                <w:color w:val="000000"/>
                <w:sz w:val="16"/>
                <w:szCs w:val="16"/>
              </w:rPr>
              <w:t>Trailing Twelve Months Ending October 31</w:t>
            </w:r>
          </w:p>
        </w:tc>
      </w:tr>
      <w:tr w:rsidR="00A82082" w14:paraId="7E7857FD" w14:textId="77777777">
        <w:tc>
          <w:tcPr>
            <w:tcW w:w="0" w:type="auto"/>
            <w:gridSpan w:val="3"/>
            <w:shd w:val="clear" w:color="auto" w:fill="auto"/>
            <w:tcMar>
              <w:top w:w="40" w:type="dxa"/>
              <w:left w:w="20" w:type="dxa"/>
              <w:bottom w:w="40" w:type="dxa"/>
              <w:right w:w="20" w:type="dxa"/>
            </w:tcMar>
            <w:vAlign w:val="bottom"/>
          </w:tcPr>
          <w:p w14:paraId="7E7857F8"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7F9"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7857FA"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7FB" w14:textId="77777777" w:rsidR="00A82082" w:rsidRDefault="00A8208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7857FC"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7FF" w14:textId="77777777">
        <w:tc>
          <w:tcPr>
            <w:tcW w:w="0" w:type="auto"/>
            <w:gridSpan w:val="15"/>
            <w:shd w:val="clear" w:color="auto" w:fill="CCEEFF"/>
            <w:tcMar>
              <w:top w:w="40" w:type="dxa"/>
              <w:left w:w="20" w:type="dxa"/>
              <w:bottom w:w="40" w:type="dxa"/>
              <w:right w:w="20" w:type="dxa"/>
            </w:tcMar>
            <w:vAlign w:val="center"/>
          </w:tcPr>
          <w:p w14:paraId="7E7857FE" w14:textId="77777777" w:rsidR="00A82082" w:rsidRDefault="00E946F9">
            <w:pPr>
              <w:textAlignment w:val="center"/>
            </w:pPr>
            <w:r>
              <w:rPr>
                <w:rFonts w:ascii="Times New Roman" w:eastAsia="宋体" w:hAnsi="Times New Roman"/>
                <w:b/>
                <w:bCs/>
                <w:color w:val="000000"/>
                <w:sz w:val="16"/>
                <w:szCs w:val="16"/>
              </w:rPr>
              <w:t>CALCULATION OF RETURN ON ASSETS</w:t>
            </w:r>
          </w:p>
        </w:tc>
      </w:tr>
      <w:tr w:rsidR="00A82082" w14:paraId="7E785805" w14:textId="77777777">
        <w:tc>
          <w:tcPr>
            <w:tcW w:w="0" w:type="auto"/>
            <w:gridSpan w:val="3"/>
            <w:shd w:val="clear" w:color="auto" w:fill="FFFFFF"/>
            <w:tcMar>
              <w:top w:w="40" w:type="dxa"/>
              <w:left w:w="20" w:type="dxa"/>
              <w:bottom w:w="40" w:type="dxa"/>
              <w:right w:w="20" w:type="dxa"/>
            </w:tcMar>
            <w:vAlign w:val="center"/>
          </w:tcPr>
          <w:p w14:paraId="7E785800" w14:textId="77777777" w:rsidR="00A82082" w:rsidRDefault="00E946F9">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tcPr>
          <w:p w14:paraId="7E78580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0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03"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04" w14:textId="77777777" w:rsidR="00A82082" w:rsidRDefault="00A82082">
            <w:pPr>
              <w:rPr>
                <w:rFonts w:ascii="宋体"/>
              </w:rPr>
            </w:pPr>
          </w:p>
        </w:tc>
      </w:tr>
      <w:tr w:rsidR="00A82082" w14:paraId="7E78580F" w14:textId="77777777">
        <w:tc>
          <w:tcPr>
            <w:tcW w:w="0" w:type="auto"/>
            <w:gridSpan w:val="3"/>
            <w:shd w:val="clear" w:color="auto" w:fill="CCEEFF"/>
            <w:tcMar>
              <w:top w:w="40" w:type="dxa"/>
              <w:left w:w="380" w:type="dxa"/>
              <w:bottom w:w="40" w:type="dxa"/>
              <w:right w:w="20" w:type="dxa"/>
            </w:tcMar>
            <w:vAlign w:val="center"/>
          </w:tcPr>
          <w:p w14:paraId="7E785806"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7E785807"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0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09" w14:textId="77777777" w:rsidR="00A82082" w:rsidRDefault="00E946F9">
            <w:pPr>
              <w:jc w:val="right"/>
              <w:textAlignment w:val="center"/>
            </w:pPr>
            <w:r>
              <w:rPr>
                <w:rFonts w:ascii="Times New Roman" w:eastAsia="宋体" w:hAnsi="Times New Roman"/>
                <w:color w:val="000000"/>
                <w:sz w:val="16"/>
                <w:szCs w:val="16"/>
              </w:rPr>
              <w:t>20,008 </w:t>
            </w:r>
          </w:p>
        </w:tc>
        <w:tc>
          <w:tcPr>
            <w:tcW w:w="0" w:type="auto"/>
            <w:shd w:val="clear" w:color="auto" w:fill="CCEEFF"/>
            <w:tcMar>
              <w:top w:w="40" w:type="dxa"/>
              <w:left w:w="0" w:type="dxa"/>
              <w:bottom w:w="40" w:type="dxa"/>
              <w:right w:w="20" w:type="dxa"/>
            </w:tcMar>
            <w:vAlign w:val="center"/>
          </w:tcPr>
          <w:p w14:paraId="7E78580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0B"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0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0D" w14:textId="77777777" w:rsidR="00A82082" w:rsidRDefault="00E946F9">
            <w:pPr>
              <w:jc w:val="right"/>
              <w:textAlignment w:val="center"/>
            </w:pPr>
            <w:r>
              <w:rPr>
                <w:rFonts w:ascii="Times New Roman" w:eastAsia="宋体" w:hAnsi="Times New Roman"/>
                <w:color w:val="000000"/>
                <w:sz w:val="16"/>
                <w:szCs w:val="16"/>
              </w:rPr>
              <w:t>14,720 </w:t>
            </w:r>
          </w:p>
        </w:tc>
        <w:tc>
          <w:tcPr>
            <w:tcW w:w="0" w:type="auto"/>
            <w:shd w:val="clear" w:color="auto" w:fill="CCEEFF"/>
            <w:tcMar>
              <w:top w:w="40" w:type="dxa"/>
              <w:left w:w="0" w:type="dxa"/>
              <w:bottom w:w="40" w:type="dxa"/>
              <w:right w:w="20" w:type="dxa"/>
            </w:tcMar>
            <w:vAlign w:val="center"/>
          </w:tcPr>
          <w:p w14:paraId="7E78580E" w14:textId="77777777" w:rsidR="00A82082" w:rsidRDefault="00A82082">
            <w:pPr>
              <w:jc w:val="right"/>
              <w:rPr>
                <w:rFonts w:ascii="宋体"/>
              </w:rPr>
            </w:pPr>
          </w:p>
        </w:tc>
      </w:tr>
      <w:tr w:rsidR="00A82082" w14:paraId="7E785815" w14:textId="77777777">
        <w:tc>
          <w:tcPr>
            <w:tcW w:w="0" w:type="auto"/>
            <w:gridSpan w:val="3"/>
            <w:shd w:val="clear" w:color="auto" w:fill="FFFFFF"/>
            <w:tcMar>
              <w:top w:w="40" w:type="dxa"/>
              <w:left w:w="20" w:type="dxa"/>
              <w:bottom w:w="40" w:type="dxa"/>
              <w:right w:w="20" w:type="dxa"/>
            </w:tcMar>
            <w:vAlign w:val="center"/>
          </w:tcPr>
          <w:p w14:paraId="7E785810" w14:textId="77777777" w:rsidR="00A82082" w:rsidRDefault="00E946F9">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7E785811"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5812"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13"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5814" w14:textId="77777777" w:rsidR="00A82082" w:rsidRDefault="00A82082">
            <w:pPr>
              <w:rPr>
                <w:rFonts w:ascii="宋体"/>
              </w:rPr>
            </w:pPr>
          </w:p>
        </w:tc>
      </w:tr>
      <w:tr w:rsidR="00A82082" w14:paraId="7E78581F" w14:textId="77777777">
        <w:tc>
          <w:tcPr>
            <w:tcW w:w="0" w:type="auto"/>
            <w:gridSpan w:val="3"/>
            <w:shd w:val="clear" w:color="auto" w:fill="CCEEFF"/>
            <w:tcMar>
              <w:top w:w="40" w:type="dxa"/>
              <w:left w:w="20" w:type="dxa"/>
              <w:bottom w:w="40" w:type="dxa"/>
              <w:right w:w="20" w:type="dxa"/>
            </w:tcMar>
            <w:vAlign w:val="center"/>
          </w:tcPr>
          <w:p w14:paraId="7E785816" w14:textId="77777777" w:rsidR="00A82082" w:rsidRDefault="00E946F9">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7E785817"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1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19" w14:textId="77777777" w:rsidR="00A82082" w:rsidRDefault="00E946F9">
            <w:pPr>
              <w:jc w:val="right"/>
              <w:textAlignment w:val="center"/>
            </w:pPr>
            <w:r>
              <w:rPr>
                <w:rFonts w:ascii="Times New Roman" w:eastAsia="宋体" w:hAnsi="Times New Roman"/>
                <w:color w:val="000000"/>
                <w:sz w:val="16"/>
                <w:szCs w:val="16"/>
              </w:rPr>
              <w:t>245,347 </w:t>
            </w:r>
          </w:p>
        </w:tc>
        <w:tc>
          <w:tcPr>
            <w:tcW w:w="0" w:type="auto"/>
            <w:shd w:val="clear" w:color="auto" w:fill="CCEEFF"/>
            <w:tcMar>
              <w:top w:w="40" w:type="dxa"/>
              <w:left w:w="0" w:type="dxa"/>
              <w:bottom w:w="40" w:type="dxa"/>
              <w:right w:w="20" w:type="dxa"/>
            </w:tcMar>
            <w:vAlign w:val="center"/>
          </w:tcPr>
          <w:p w14:paraId="7E78581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1B"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1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1D" w14:textId="77777777" w:rsidR="00A82082" w:rsidRDefault="00E946F9">
            <w:pPr>
              <w:jc w:val="right"/>
              <w:textAlignment w:val="center"/>
            </w:pPr>
            <w:r>
              <w:rPr>
                <w:rFonts w:ascii="Times New Roman" w:eastAsia="宋体" w:hAnsi="Times New Roman"/>
                <w:color w:val="000000"/>
                <w:sz w:val="16"/>
                <w:szCs w:val="16"/>
              </w:rPr>
              <w:t>233,207 </w:t>
            </w:r>
          </w:p>
        </w:tc>
        <w:tc>
          <w:tcPr>
            <w:tcW w:w="0" w:type="auto"/>
            <w:shd w:val="clear" w:color="auto" w:fill="CCEEFF"/>
            <w:tcMar>
              <w:top w:w="40" w:type="dxa"/>
              <w:left w:w="0" w:type="dxa"/>
              <w:bottom w:w="40" w:type="dxa"/>
              <w:right w:w="20" w:type="dxa"/>
            </w:tcMar>
            <w:vAlign w:val="center"/>
          </w:tcPr>
          <w:p w14:paraId="7E78581E" w14:textId="77777777" w:rsidR="00A82082" w:rsidRDefault="00A82082">
            <w:pPr>
              <w:jc w:val="right"/>
              <w:rPr>
                <w:rFonts w:ascii="宋体"/>
              </w:rPr>
            </w:pPr>
          </w:p>
        </w:tc>
      </w:tr>
      <w:tr w:rsidR="00A82082" w14:paraId="7E785827" w14:textId="77777777">
        <w:tc>
          <w:tcPr>
            <w:tcW w:w="0" w:type="auto"/>
            <w:gridSpan w:val="3"/>
            <w:shd w:val="clear" w:color="auto" w:fill="FFFFFF"/>
            <w:tcMar>
              <w:top w:w="40" w:type="dxa"/>
              <w:left w:w="20" w:type="dxa"/>
              <w:bottom w:w="40" w:type="dxa"/>
              <w:right w:w="20" w:type="dxa"/>
            </w:tcMar>
            <w:vAlign w:val="center"/>
          </w:tcPr>
          <w:p w14:paraId="7E785820" w14:textId="77777777" w:rsidR="00A82082" w:rsidRDefault="00E946F9">
            <w:pPr>
              <w:textAlignment w:val="center"/>
            </w:pPr>
            <w:r>
              <w:rPr>
                <w:rFonts w:ascii="Times New Roman" w:eastAsia="宋体" w:hAnsi="Times New Roman"/>
                <w:b/>
                <w:bCs/>
                <w:color w:val="000000"/>
                <w:sz w:val="16"/>
                <w:szCs w:val="16"/>
              </w:rPr>
              <w:t xml:space="preserve">Return on </w:t>
            </w:r>
            <w:r>
              <w:rPr>
                <w:rFonts w:ascii="Times New Roman" w:eastAsia="宋体" w:hAnsi="Times New Roman"/>
                <w:b/>
                <w:bCs/>
                <w:color w:val="000000"/>
                <w:sz w:val="16"/>
                <w:szCs w:val="16"/>
              </w:rPr>
              <w:t>assets (ROA)</w:t>
            </w:r>
          </w:p>
        </w:tc>
        <w:tc>
          <w:tcPr>
            <w:tcW w:w="0" w:type="auto"/>
            <w:gridSpan w:val="3"/>
            <w:shd w:val="clear" w:color="auto" w:fill="FFFFFF"/>
            <w:tcMar>
              <w:top w:w="0" w:type="dxa"/>
              <w:left w:w="20" w:type="dxa"/>
              <w:bottom w:w="0" w:type="dxa"/>
              <w:right w:w="20" w:type="dxa"/>
            </w:tcMar>
          </w:tcPr>
          <w:p w14:paraId="7E785821" w14:textId="77777777" w:rsidR="00A82082" w:rsidRDefault="00A8208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7E785822" w14:textId="77777777" w:rsidR="00A82082" w:rsidRDefault="00E946F9">
            <w:pPr>
              <w:jc w:val="right"/>
              <w:textAlignment w:val="center"/>
            </w:pPr>
            <w:r>
              <w:rPr>
                <w:rFonts w:ascii="Times New Roman" w:eastAsia="宋体" w:hAnsi="Times New Roman"/>
                <w:color w:val="000000"/>
                <w:sz w:val="16"/>
                <w:szCs w:val="16"/>
              </w:rPr>
              <w:t>8.2 </w:t>
            </w:r>
          </w:p>
        </w:tc>
        <w:tc>
          <w:tcPr>
            <w:tcW w:w="0" w:type="auto"/>
            <w:tcBorders>
              <w:top w:val="double" w:sz="6" w:space="0" w:color="000000"/>
            </w:tcBorders>
            <w:shd w:val="clear" w:color="auto" w:fill="FFFFFF"/>
            <w:tcMar>
              <w:top w:w="40" w:type="dxa"/>
              <w:left w:w="0" w:type="dxa"/>
              <w:bottom w:w="40" w:type="dxa"/>
              <w:right w:w="20" w:type="dxa"/>
            </w:tcMar>
            <w:vAlign w:val="center"/>
          </w:tcPr>
          <w:p w14:paraId="7E785823"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824" w14:textId="77777777" w:rsidR="00A82082" w:rsidRDefault="00A8208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7E785825" w14:textId="77777777" w:rsidR="00A82082" w:rsidRDefault="00E946F9">
            <w:pPr>
              <w:jc w:val="right"/>
              <w:textAlignment w:val="center"/>
            </w:pPr>
            <w:r>
              <w:rPr>
                <w:rFonts w:ascii="Times New Roman" w:eastAsia="宋体" w:hAnsi="Times New Roman"/>
                <w:color w:val="000000"/>
                <w:sz w:val="16"/>
                <w:szCs w:val="16"/>
              </w:rPr>
              <w:t>6.3 </w:t>
            </w:r>
          </w:p>
        </w:tc>
        <w:tc>
          <w:tcPr>
            <w:tcW w:w="0" w:type="auto"/>
            <w:tcBorders>
              <w:top w:val="double" w:sz="6" w:space="0" w:color="000000"/>
            </w:tcBorders>
            <w:shd w:val="clear" w:color="auto" w:fill="FFFFFF"/>
            <w:tcMar>
              <w:top w:w="40" w:type="dxa"/>
              <w:left w:w="0" w:type="dxa"/>
              <w:bottom w:w="40" w:type="dxa"/>
              <w:right w:w="20" w:type="dxa"/>
            </w:tcMar>
            <w:vAlign w:val="center"/>
          </w:tcPr>
          <w:p w14:paraId="7E785826"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82D" w14:textId="77777777">
        <w:trPr>
          <w:trHeight w:val="220"/>
        </w:trPr>
        <w:tc>
          <w:tcPr>
            <w:tcW w:w="0" w:type="auto"/>
            <w:gridSpan w:val="3"/>
            <w:shd w:val="clear" w:color="auto" w:fill="CCEEFF"/>
            <w:tcMar>
              <w:top w:w="0" w:type="dxa"/>
              <w:left w:w="20" w:type="dxa"/>
              <w:bottom w:w="0" w:type="dxa"/>
              <w:right w:w="20" w:type="dxa"/>
            </w:tcMar>
          </w:tcPr>
          <w:p w14:paraId="7E78582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29"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582A"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2B"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582C" w14:textId="77777777" w:rsidR="00A82082" w:rsidRDefault="00A82082">
            <w:pPr>
              <w:rPr>
                <w:rFonts w:ascii="宋体"/>
              </w:rPr>
            </w:pPr>
          </w:p>
        </w:tc>
      </w:tr>
      <w:tr w:rsidR="00A82082" w14:paraId="7E78582F" w14:textId="77777777">
        <w:tc>
          <w:tcPr>
            <w:tcW w:w="0" w:type="auto"/>
            <w:gridSpan w:val="15"/>
            <w:shd w:val="clear" w:color="auto" w:fill="FFFFFF"/>
            <w:tcMar>
              <w:top w:w="40" w:type="dxa"/>
              <w:left w:w="20" w:type="dxa"/>
              <w:bottom w:w="40" w:type="dxa"/>
              <w:right w:w="20" w:type="dxa"/>
            </w:tcMar>
            <w:vAlign w:val="center"/>
          </w:tcPr>
          <w:p w14:paraId="7E78582E" w14:textId="77777777" w:rsidR="00A82082" w:rsidRDefault="00E946F9">
            <w:pPr>
              <w:textAlignment w:val="center"/>
            </w:pPr>
            <w:r>
              <w:rPr>
                <w:rFonts w:ascii="Times New Roman" w:eastAsia="宋体" w:hAnsi="Times New Roman"/>
                <w:b/>
                <w:bCs/>
                <w:color w:val="000000"/>
                <w:sz w:val="16"/>
                <w:szCs w:val="16"/>
              </w:rPr>
              <w:t>CALCULATION OF RETURN ON INVESTMENT</w:t>
            </w:r>
          </w:p>
        </w:tc>
      </w:tr>
      <w:tr w:rsidR="00A82082" w14:paraId="7E785835" w14:textId="77777777">
        <w:tc>
          <w:tcPr>
            <w:tcW w:w="0" w:type="auto"/>
            <w:gridSpan w:val="3"/>
            <w:shd w:val="clear" w:color="auto" w:fill="CCEEFF"/>
            <w:tcMar>
              <w:top w:w="40" w:type="dxa"/>
              <w:left w:w="20" w:type="dxa"/>
              <w:bottom w:w="40" w:type="dxa"/>
              <w:right w:w="20" w:type="dxa"/>
            </w:tcMar>
            <w:vAlign w:val="center"/>
          </w:tcPr>
          <w:p w14:paraId="7E785830" w14:textId="77777777" w:rsidR="00A82082" w:rsidRDefault="00E946F9">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tcPr>
          <w:p w14:paraId="7E785831"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32"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33"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34" w14:textId="77777777" w:rsidR="00A82082" w:rsidRDefault="00A82082">
            <w:pPr>
              <w:rPr>
                <w:rFonts w:ascii="宋体"/>
              </w:rPr>
            </w:pPr>
          </w:p>
        </w:tc>
      </w:tr>
      <w:tr w:rsidR="00A82082" w14:paraId="7E78583F" w14:textId="77777777">
        <w:tc>
          <w:tcPr>
            <w:tcW w:w="0" w:type="auto"/>
            <w:gridSpan w:val="3"/>
            <w:shd w:val="clear" w:color="auto" w:fill="FFFFFF"/>
            <w:tcMar>
              <w:top w:w="40" w:type="dxa"/>
              <w:left w:w="380" w:type="dxa"/>
              <w:bottom w:w="40" w:type="dxa"/>
              <w:right w:w="20" w:type="dxa"/>
            </w:tcMar>
            <w:vAlign w:val="center"/>
          </w:tcPr>
          <w:p w14:paraId="7E785836"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7E785837"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83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839" w14:textId="77777777" w:rsidR="00A82082" w:rsidRDefault="00E946F9">
            <w:pPr>
              <w:jc w:val="right"/>
              <w:textAlignment w:val="center"/>
            </w:pPr>
            <w:r>
              <w:rPr>
                <w:rFonts w:ascii="Times New Roman" w:eastAsia="宋体" w:hAnsi="Times New Roman"/>
                <w:color w:val="000000"/>
                <w:sz w:val="16"/>
                <w:szCs w:val="16"/>
              </w:rPr>
              <w:t>22,383 </w:t>
            </w:r>
          </w:p>
        </w:tc>
        <w:tc>
          <w:tcPr>
            <w:tcW w:w="0" w:type="auto"/>
            <w:shd w:val="clear" w:color="auto" w:fill="FFFFFF"/>
            <w:tcMar>
              <w:top w:w="40" w:type="dxa"/>
              <w:left w:w="0" w:type="dxa"/>
              <w:bottom w:w="40" w:type="dxa"/>
              <w:right w:w="20" w:type="dxa"/>
            </w:tcMar>
            <w:vAlign w:val="center"/>
          </w:tcPr>
          <w:p w14:paraId="7E78583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3B"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83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83D" w14:textId="77777777" w:rsidR="00A82082" w:rsidRDefault="00E946F9">
            <w:pPr>
              <w:jc w:val="right"/>
              <w:textAlignment w:val="center"/>
            </w:pPr>
            <w:r>
              <w:rPr>
                <w:rFonts w:ascii="Times New Roman" w:eastAsia="宋体" w:hAnsi="Times New Roman"/>
                <w:color w:val="000000"/>
                <w:sz w:val="16"/>
                <w:szCs w:val="16"/>
              </w:rPr>
              <w:t>21,313 </w:t>
            </w:r>
          </w:p>
        </w:tc>
        <w:tc>
          <w:tcPr>
            <w:tcW w:w="0" w:type="auto"/>
            <w:shd w:val="clear" w:color="auto" w:fill="FFFFFF"/>
            <w:tcMar>
              <w:top w:w="40" w:type="dxa"/>
              <w:left w:w="0" w:type="dxa"/>
              <w:bottom w:w="40" w:type="dxa"/>
              <w:right w:w="20" w:type="dxa"/>
            </w:tcMar>
            <w:vAlign w:val="center"/>
          </w:tcPr>
          <w:p w14:paraId="7E78583E" w14:textId="77777777" w:rsidR="00A82082" w:rsidRDefault="00A82082">
            <w:pPr>
              <w:jc w:val="right"/>
              <w:rPr>
                <w:rFonts w:ascii="宋体"/>
              </w:rPr>
            </w:pPr>
          </w:p>
        </w:tc>
      </w:tr>
      <w:tr w:rsidR="00A82082" w14:paraId="7E785847" w14:textId="77777777">
        <w:tc>
          <w:tcPr>
            <w:tcW w:w="0" w:type="auto"/>
            <w:gridSpan w:val="3"/>
            <w:shd w:val="clear" w:color="auto" w:fill="CCEEFF"/>
            <w:tcMar>
              <w:top w:w="40" w:type="dxa"/>
              <w:left w:w="380" w:type="dxa"/>
              <w:bottom w:w="40" w:type="dxa"/>
              <w:right w:w="20" w:type="dxa"/>
            </w:tcMar>
            <w:vAlign w:val="center"/>
          </w:tcPr>
          <w:p w14:paraId="7E785840" w14:textId="77777777" w:rsidR="00A82082" w:rsidRDefault="00E946F9">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tcPr>
          <w:p w14:paraId="7E78584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42" w14:textId="77777777" w:rsidR="00A82082" w:rsidRDefault="00E946F9">
            <w:pPr>
              <w:jc w:val="right"/>
              <w:textAlignment w:val="center"/>
            </w:pPr>
            <w:r>
              <w:rPr>
                <w:rFonts w:ascii="Times New Roman" w:eastAsia="宋体" w:hAnsi="Times New Roman"/>
                <w:color w:val="000000"/>
                <w:sz w:val="16"/>
                <w:szCs w:val="16"/>
              </w:rPr>
              <w:t>132 </w:t>
            </w:r>
          </w:p>
        </w:tc>
        <w:tc>
          <w:tcPr>
            <w:tcW w:w="0" w:type="auto"/>
            <w:shd w:val="clear" w:color="auto" w:fill="CCEEFF"/>
            <w:tcMar>
              <w:top w:w="40" w:type="dxa"/>
              <w:left w:w="0" w:type="dxa"/>
              <w:bottom w:w="40" w:type="dxa"/>
              <w:right w:w="20" w:type="dxa"/>
            </w:tcMar>
            <w:vAlign w:val="center"/>
          </w:tcPr>
          <w:p w14:paraId="7E78584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4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45" w14:textId="77777777" w:rsidR="00A82082" w:rsidRDefault="00E946F9">
            <w:pPr>
              <w:jc w:val="right"/>
              <w:textAlignment w:val="center"/>
            </w:pPr>
            <w:r>
              <w:rPr>
                <w:rFonts w:ascii="Times New Roman" w:eastAsia="宋体" w:hAnsi="Times New Roman"/>
                <w:color w:val="000000"/>
                <w:sz w:val="16"/>
                <w:szCs w:val="16"/>
              </w:rPr>
              <w:t>212 </w:t>
            </w:r>
          </w:p>
        </w:tc>
        <w:tc>
          <w:tcPr>
            <w:tcW w:w="0" w:type="auto"/>
            <w:shd w:val="clear" w:color="auto" w:fill="CCEEFF"/>
            <w:tcMar>
              <w:top w:w="40" w:type="dxa"/>
              <w:left w:w="0" w:type="dxa"/>
              <w:bottom w:w="40" w:type="dxa"/>
              <w:right w:w="20" w:type="dxa"/>
            </w:tcMar>
            <w:vAlign w:val="center"/>
          </w:tcPr>
          <w:p w14:paraId="7E785846" w14:textId="77777777" w:rsidR="00A82082" w:rsidRDefault="00A82082">
            <w:pPr>
              <w:jc w:val="right"/>
              <w:rPr>
                <w:rFonts w:ascii="宋体"/>
              </w:rPr>
            </w:pPr>
          </w:p>
        </w:tc>
      </w:tr>
      <w:tr w:rsidR="00A82082" w14:paraId="7E78584F" w14:textId="77777777">
        <w:tc>
          <w:tcPr>
            <w:tcW w:w="0" w:type="auto"/>
            <w:gridSpan w:val="3"/>
            <w:shd w:val="clear" w:color="auto" w:fill="FFFFFF"/>
            <w:tcMar>
              <w:top w:w="40" w:type="dxa"/>
              <w:left w:w="380" w:type="dxa"/>
              <w:bottom w:w="40" w:type="dxa"/>
              <w:right w:w="20" w:type="dxa"/>
            </w:tcMar>
            <w:vAlign w:val="center"/>
          </w:tcPr>
          <w:p w14:paraId="7E785848" w14:textId="77777777" w:rsidR="00A82082" w:rsidRDefault="00E946F9">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tcPr>
          <w:p w14:paraId="7E78584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4A" w14:textId="77777777" w:rsidR="00A82082" w:rsidRDefault="00E946F9">
            <w:pPr>
              <w:jc w:val="right"/>
              <w:textAlignment w:val="center"/>
            </w:pPr>
            <w:r>
              <w:rPr>
                <w:rFonts w:ascii="Times New Roman" w:eastAsia="宋体" w:hAnsi="Times New Roman"/>
                <w:color w:val="000000"/>
                <w:sz w:val="16"/>
                <w:szCs w:val="16"/>
              </w:rPr>
              <w:t>11,161 </w:t>
            </w:r>
          </w:p>
        </w:tc>
        <w:tc>
          <w:tcPr>
            <w:tcW w:w="0" w:type="auto"/>
            <w:shd w:val="clear" w:color="auto" w:fill="FFFFFF"/>
            <w:tcMar>
              <w:top w:w="40" w:type="dxa"/>
              <w:left w:w="0" w:type="dxa"/>
              <w:bottom w:w="40" w:type="dxa"/>
              <w:right w:w="20" w:type="dxa"/>
            </w:tcMar>
            <w:vAlign w:val="center"/>
          </w:tcPr>
          <w:p w14:paraId="7E78584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4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4D" w14:textId="77777777" w:rsidR="00A82082" w:rsidRDefault="00E946F9">
            <w:pPr>
              <w:jc w:val="right"/>
              <w:textAlignment w:val="center"/>
            </w:pPr>
            <w:r>
              <w:rPr>
                <w:rFonts w:ascii="Times New Roman" w:eastAsia="宋体" w:hAnsi="Times New Roman"/>
                <w:color w:val="000000"/>
                <w:sz w:val="16"/>
                <w:szCs w:val="16"/>
              </w:rPr>
              <w:t>10,889 </w:t>
            </w:r>
          </w:p>
        </w:tc>
        <w:tc>
          <w:tcPr>
            <w:tcW w:w="0" w:type="auto"/>
            <w:shd w:val="clear" w:color="auto" w:fill="FFFFFF"/>
            <w:tcMar>
              <w:top w:w="40" w:type="dxa"/>
              <w:left w:w="0" w:type="dxa"/>
              <w:bottom w:w="40" w:type="dxa"/>
              <w:right w:w="20" w:type="dxa"/>
            </w:tcMar>
            <w:vAlign w:val="center"/>
          </w:tcPr>
          <w:p w14:paraId="7E78584E" w14:textId="77777777" w:rsidR="00A82082" w:rsidRDefault="00A82082">
            <w:pPr>
              <w:jc w:val="right"/>
              <w:rPr>
                <w:rFonts w:ascii="宋体"/>
              </w:rPr>
            </w:pPr>
          </w:p>
        </w:tc>
      </w:tr>
      <w:tr w:rsidR="00A82082" w14:paraId="7E785857" w14:textId="77777777">
        <w:tc>
          <w:tcPr>
            <w:tcW w:w="0" w:type="auto"/>
            <w:gridSpan w:val="3"/>
            <w:shd w:val="clear" w:color="auto" w:fill="CCEEFF"/>
            <w:tcMar>
              <w:top w:w="40" w:type="dxa"/>
              <w:left w:w="380" w:type="dxa"/>
              <w:bottom w:w="40" w:type="dxa"/>
              <w:right w:w="20" w:type="dxa"/>
            </w:tcMar>
            <w:vAlign w:val="center"/>
          </w:tcPr>
          <w:p w14:paraId="7E785850" w14:textId="77777777" w:rsidR="00A82082" w:rsidRDefault="00E946F9">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tcPr>
          <w:p w14:paraId="7E78585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52" w14:textId="77777777" w:rsidR="00A82082" w:rsidRDefault="00E946F9">
            <w:pPr>
              <w:jc w:val="right"/>
              <w:textAlignment w:val="center"/>
            </w:pPr>
            <w:r>
              <w:rPr>
                <w:rFonts w:ascii="Times New Roman" w:eastAsia="宋体" w:hAnsi="Times New Roman"/>
                <w:color w:val="000000"/>
                <w:sz w:val="16"/>
                <w:szCs w:val="16"/>
              </w:rPr>
              <w:t>2,646 </w:t>
            </w:r>
          </w:p>
        </w:tc>
        <w:tc>
          <w:tcPr>
            <w:tcW w:w="0" w:type="auto"/>
            <w:shd w:val="clear" w:color="auto" w:fill="CCEEFF"/>
            <w:tcMar>
              <w:top w:w="40" w:type="dxa"/>
              <w:left w:w="0" w:type="dxa"/>
              <w:bottom w:w="40" w:type="dxa"/>
              <w:right w:w="20" w:type="dxa"/>
            </w:tcMar>
            <w:vAlign w:val="center"/>
          </w:tcPr>
          <w:p w14:paraId="7E78585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5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55" w14:textId="77777777" w:rsidR="00A82082" w:rsidRDefault="00E946F9">
            <w:pPr>
              <w:jc w:val="right"/>
              <w:textAlignment w:val="center"/>
            </w:pPr>
            <w:r>
              <w:rPr>
                <w:rFonts w:ascii="Times New Roman" w:eastAsia="宋体" w:hAnsi="Times New Roman"/>
                <w:color w:val="000000"/>
                <w:sz w:val="16"/>
                <w:szCs w:val="16"/>
              </w:rPr>
              <w:t>2,733 </w:t>
            </w:r>
          </w:p>
        </w:tc>
        <w:tc>
          <w:tcPr>
            <w:tcW w:w="0" w:type="auto"/>
            <w:shd w:val="clear" w:color="auto" w:fill="CCEEFF"/>
            <w:tcMar>
              <w:top w:w="40" w:type="dxa"/>
              <w:left w:w="0" w:type="dxa"/>
              <w:bottom w:w="40" w:type="dxa"/>
              <w:right w:w="20" w:type="dxa"/>
            </w:tcMar>
            <w:vAlign w:val="center"/>
          </w:tcPr>
          <w:p w14:paraId="7E785856" w14:textId="77777777" w:rsidR="00A82082" w:rsidRDefault="00A82082">
            <w:pPr>
              <w:jc w:val="right"/>
              <w:rPr>
                <w:rFonts w:ascii="宋体"/>
              </w:rPr>
            </w:pPr>
          </w:p>
        </w:tc>
      </w:tr>
      <w:tr w:rsidR="00A82082" w14:paraId="7E785861" w14:textId="77777777">
        <w:tc>
          <w:tcPr>
            <w:tcW w:w="0" w:type="auto"/>
            <w:gridSpan w:val="3"/>
            <w:shd w:val="clear" w:color="auto" w:fill="FFFFFF"/>
            <w:tcMar>
              <w:top w:w="40" w:type="dxa"/>
              <w:left w:w="380" w:type="dxa"/>
              <w:bottom w:w="40" w:type="dxa"/>
              <w:right w:w="20" w:type="dxa"/>
            </w:tcMar>
            <w:vAlign w:val="center"/>
          </w:tcPr>
          <w:p w14:paraId="7E785858" w14:textId="77777777" w:rsidR="00A82082" w:rsidRDefault="00E946F9">
            <w:pPr>
              <w:textAlignment w:val="center"/>
            </w:pPr>
            <w:r>
              <w:rPr>
                <w:rFonts w:ascii="Times New Roman" w:eastAsia="宋体" w:hAnsi="Times New Roman"/>
                <w:color w:val="000000"/>
                <w:sz w:val="16"/>
                <w:szCs w:val="16"/>
              </w:rPr>
              <w:t xml:space="preserve">= ROI </w:t>
            </w: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7E785859"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85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85B" w14:textId="77777777" w:rsidR="00A82082" w:rsidRDefault="00E946F9">
            <w:pPr>
              <w:jc w:val="right"/>
              <w:textAlignment w:val="center"/>
            </w:pPr>
            <w:r>
              <w:rPr>
                <w:rFonts w:ascii="Times New Roman" w:eastAsia="宋体" w:hAnsi="Times New Roman"/>
                <w:color w:val="000000"/>
                <w:sz w:val="16"/>
                <w:szCs w:val="16"/>
              </w:rPr>
              <w:t>36,322 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85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5D" w14:textId="77777777" w:rsidR="00A82082" w:rsidRDefault="00A8208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78585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78585F" w14:textId="77777777" w:rsidR="00A82082" w:rsidRDefault="00E946F9">
            <w:pPr>
              <w:jc w:val="right"/>
              <w:textAlignment w:val="center"/>
            </w:pPr>
            <w:r>
              <w:rPr>
                <w:rFonts w:ascii="Times New Roman" w:eastAsia="宋体" w:hAnsi="Times New Roman"/>
                <w:color w:val="000000"/>
                <w:sz w:val="16"/>
                <w:szCs w:val="16"/>
              </w:rPr>
              <w:t>35,147 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785860" w14:textId="77777777" w:rsidR="00A82082" w:rsidRDefault="00A82082">
            <w:pPr>
              <w:jc w:val="right"/>
              <w:rPr>
                <w:rFonts w:ascii="宋体"/>
              </w:rPr>
            </w:pPr>
          </w:p>
        </w:tc>
      </w:tr>
      <w:tr w:rsidR="00A82082" w14:paraId="7E785867" w14:textId="77777777">
        <w:trPr>
          <w:trHeight w:val="220"/>
        </w:trPr>
        <w:tc>
          <w:tcPr>
            <w:tcW w:w="0" w:type="auto"/>
            <w:gridSpan w:val="3"/>
            <w:shd w:val="clear" w:color="auto" w:fill="CCEEFF"/>
            <w:tcMar>
              <w:top w:w="0" w:type="dxa"/>
              <w:left w:w="20" w:type="dxa"/>
              <w:bottom w:w="0" w:type="dxa"/>
              <w:right w:w="20" w:type="dxa"/>
            </w:tcMar>
          </w:tcPr>
          <w:p w14:paraId="7E785862"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63"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5864"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865" w14:textId="77777777" w:rsidR="00A82082" w:rsidRDefault="00A8208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785866" w14:textId="77777777" w:rsidR="00A82082" w:rsidRDefault="00A82082">
            <w:pPr>
              <w:rPr>
                <w:rFonts w:ascii="宋体"/>
              </w:rPr>
            </w:pPr>
          </w:p>
        </w:tc>
      </w:tr>
      <w:tr w:rsidR="00A82082" w14:paraId="7E78586D" w14:textId="77777777">
        <w:tc>
          <w:tcPr>
            <w:tcW w:w="0" w:type="auto"/>
            <w:gridSpan w:val="3"/>
            <w:shd w:val="clear" w:color="auto" w:fill="FFFFFF"/>
            <w:tcMar>
              <w:top w:w="40" w:type="dxa"/>
              <w:left w:w="20" w:type="dxa"/>
              <w:bottom w:w="40" w:type="dxa"/>
              <w:right w:w="20" w:type="dxa"/>
            </w:tcMar>
            <w:vAlign w:val="center"/>
          </w:tcPr>
          <w:p w14:paraId="7E785868" w14:textId="77777777" w:rsidR="00A82082" w:rsidRDefault="00E946F9">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7E785869"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6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6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86C" w14:textId="77777777" w:rsidR="00A82082" w:rsidRDefault="00A82082">
            <w:pPr>
              <w:rPr>
                <w:rFonts w:ascii="宋体"/>
              </w:rPr>
            </w:pPr>
          </w:p>
        </w:tc>
      </w:tr>
      <w:tr w:rsidR="00A82082" w14:paraId="7E785877" w14:textId="77777777">
        <w:tc>
          <w:tcPr>
            <w:tcW w:w="0" w:type="auto"/>
            <w:gridSpan w:val="3"/>
            <w:shd w:val="clear" w:color="auto" w:fill="CCEEFF"/>
            <w:tcMar>
              <w:top w:w="40" w:type="dxa"/>
              <w:left w:w="20" w:type="dxa"/>
              <w:bottom w:w="40" w:type="dxa"/>
              <w:right w:w="20" w:type="dxa"/>
            </w:tcMar>
            <w:vAlign w:val="center"/>
          </w:tcPr>
          <w:p w14:paraId="7E78586E" w14:textId="77777777" w:rsidR="00A82082" w:rsidRDefault="00E946F9">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(1),(2)</w:t>
            </w:r>
          </w:p>
        </w:tc>
        <w:tc>
          <w:tcPr>
            <w:tcW w:w="0" w:type="auto"/>
            <w:gridSpan w:val="3"/>
            <w:shd w:val="clear" w:color="auto" w:fill="CCEEFF"/>
            <w:tcMar>
              <w:top w:w="0" w:type="dxa"/>
              <w:left w:w="20" w:type="dxa"/>
              <w:bottom w:w="0" w:type="dxa"/>
              <w:right w:w="20" w:type="dxa"/>
            </w:tcMar>
          </w:tcPr>
          <w:p w14:paraId="7E78586F"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70"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71" w14:textId="77777777" w:rsidR="00A82082" w:rsidRDefault="00E946F9">
            <w:pPr>
              <w:jc w:val="right"/>
              <w:textAlignment w:val="center"/>
            </w:pPr>
            <w:r>
              <w:rPr>
                <w:rFonts w:ascii="Times New Roman" w:eastAsia="宋体" w:hAnsi="Times New Roman"/>
                <w:color w:val="000000"/>
                <w:sz w:val="16"/>
                <w:szCs w:val="16"/>
              </w:rPr>
              <w:t>245,347 </w:t>
            </w:r>
          </w:p>
        </w:tc>
        <w:tc>
          <w:tcPr>
            <w:tcW w:w="0" w:type="auto"/>
            <w:shd w:val="clear" w:color="auto" w:fill="CCEEFF"/>
            <w:tcMar>
              <w:top w:w="40" w:type="dxa"/>
              <w:left w:w="0" w:type="dxa"/>
              <w:bottom w:w="40" w:type="dxa"/>
              <w:right w:w="20" w:type="dxa"/>
            </w:tcMar>
            <w:vAlign w:val="center"/>
          </w:tcPr>
          <w:p w14:paraId="7E78587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7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7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75" w14:textId="77777777" w:rsidR="00A82082" w:rsidRDefault="00E946F9">
            <w:pPr>
              <w:jc w:val="right"/>
              <w:textAlignment w:val="center"/>
            </w:pPr>
            <w:r>
              <w:rPr>
                <w:rFonts w:ascii="Times New Roman" w:eastAsia="宋体" w:hAnsi="Times New Roman"/>
                <w:color w:val="000000"/>
                <w:sz w:val="16"/>
                <w:szCs w:val="16"/>
              </w:rPr>
              <w:t>240,261 </w:t>
            </w:r>
          </w:p>
        </w:tc>
        <w:tc>
          <w:tcPr>
            <w:tcW w:w="0" w:type="auto"/>
            <w:shd w:val="clear" w:color="auto" w:fill="CCEEFF"/>
            <w:tcMar>
              <w:top w:w="40" w:type="dxa"/>
              <w:left w:w="0" w:type="dxa"/>
              <w:bottom w:w="40" w:type="dxa"/>
              <w:right w:w="20" w:type="dxa"/>
            </w:tcMar>
            <w:vAlign w:val="center"/>
          </w:tcPr>
          <w:p w14:paraId="7E785876" w14:textId="77777777" w:rsidR="00A82082" w:rsidRDefault="00A82082">
            <w:pPr>
              <w:jc w:val="right"/>
              <w:rPr>
                <w:rFonts w:ascii="宋体"/>
              </w:rPr>
            </w:pPr>
          </w:p>
        </w:tc>
      </w:tr>
      <w:tr w:rsidR="00A82082" w14:paraId="7E78587F" w14:textId="77777777">
        <w:tc>
          <w:tcPr>
            <w:tcW w:w="0" w:type="auto"/>
            <w:gridSpan w:val="3"/>
            <w:shd w:val="clear" w:color="auto" w:fill="FFFFFF"/>
            <w:tcMar>
              <w:top w:w="40" w:type="dxa"/>
              <w:left w:w="20" w:type="dxa"/>
              <w:bottom w:w="40" w:type="dxa"/>
              <w:right w:w="20" w:type="dxa"/>
            </w:tcMar>
            <w:vAlign w:val="center"/>
          </w:tcPr>
          <w:p w14:paraId="7E785878" w14:textId="77777777" w:rsidR="00A82082" w:rsidRDefault="00E946F9">
            <w:pPr>
              <w:textAlignment w:val="center"/>
            </w:pP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 (2)</w:t>
            </w:r>
          </w:p>
        </w:tc>
        <w:tc>
          <w:tcPr>
            <w:tcW w:w="0" w:type="auto"/>
            <w:gridSpan w:val="3"/>
            <w:shd w:val="clear" w:color="auto" w:fill="FFFFFF"/>
            <w:tcMar>
              <w:top w:w="0" w:type="dxa"/>
              <w:left w:w="20" w:type="dxa"/>
              <w:bottom w:w="0" w:type="dxa"/>
              <w:right w:w="20" w:type="dxa"/>
            </w:tcMar>
          </w:tcPr>
          <w:p w14:paraId="7E78587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7A" w14:textId="77777777" w:rsidR="00A82082" w:rsidRDefault="00E946F9">
            <w:pPr>
              <w:jc w:val="right"/>
              <w:textAlignment w:val="center"/>
            </w:pPr>
            <w:r>
              <w:rPr>
                <w:rFonts w:ascii="Times New Roman" w:eastAsia="宋体" w:hAnsi="Times New Roman"/>
                <w:color w:val="000000"/>
                <w:sz w:val="16"/>
                <w:szCs w:val="16"/>
              </w:rPr>
              <w:t>95,637 </w:t>
            </w:r>
          </w:p>
        </w:tc>
        <w:tc>
          <w:tcPr>
            <w:tcW w:w="0" w:type="auto"/>
            <w:shd w:val="clear" w:color="auto" w:fill="FFFFFF"/>
            <w:tcMar>
              <w:top w:w="40" w:type="dxa"/>
              <w:left w:w="0" w:type="dxa"/>
              <w:bottom w:w="40" w:type="dxa"/>
              <w:right w:w="20" w:type="dxa"/>
            </w:tcMar>
            <w:vAlign w:val="center"/>
          </w:tcPr>
          <w:p w14:paraId="7E78587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7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7D" w14:textId="77777777" w:rsidR="00A82082" w:rsidRDefault="00E946F9">
            <w:pPr>
              <w:jc w:val="right"/>
              <w:textAlignment w:val="center"/>
            </w:pPr>
            <w:r>
              <w:rPr>
                <w:rFonts w:ascii="Times New Roman" w:eastAsia="宋体" w:hAnsi="Times New Roman"/>
                <w:color w:val="000000"/>
                <w:sz w:val="16"/>
                <w:szCs w:val="16"/>
              </w:rPr>
              <w:t>87,982 </w:t>
            </w:r>
          </w:p>
        </w:tc>
        <w:tc>
          <w:tcPr>
            <w:tcW w:w="0" w:type="auto"/>
            <w:shd w:val="clear" w:color="auto" w:fill="FFFFFF"/>
            <w:tcMar>
              <w:top w:w="40" w:type="dxa"/>
              <w:left w:w="0" w:type="dxa"/>
              <w:bottom w:w="40" w:type="dxa"/>
              <w:right w:w="20" w:type="dxa"/>
            </w:tcMar>
            <w:vAlign w:val="center"/>
          </w:tcPr>
          <w:p w14:paraId="7E78587E" w14:textId="77777777" w:rsidR="00A82082" w:rsidRDefault="00A82082">
            <w:pPr>
              <w:jc w:val="right"/>
              <w:rPr>
                <w:rFonts w:ascii="宋体"/>
              </w:rPr>
            </w:pPr>
          </w:p>
        </w:tc>
      </w:tr>
      <w:tr w:rsidR="00A82082" w14:paraId="7E785887" w14:textId="77777777">
        <w:tc>
          <w:tcPr>
            <w:tcW w:w="0" w:type="auto"/>
            <w:gridSpan w:val="3"/>
            <w:shd w:val="clear" w:color="auto" w:fill="CCEEFF"/>
            <w:tcMar>
              <w:top w:w="40" w:type="dxa"/>
              <w:left w:w="20" w:type="dxa"/>
              <w:bottom w:w="40" w:type="dxa"/>
              <w:right w:w="20" w:type="dxa"/>
            </w:tcMar>
            <w:vAlign w:val="center"/>
          </w:tcPr>
          <w:p w14:paraId="7E785880" w14:textId="77777777" w:rsidR="00A82082" w:rsidRDefault="00E946F9">
            <w:pPr>
              <w:textAlignment w:val="center"/>
            </w:pP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7E78588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82" w14:textId="77777777" w:rsidR="00A82082" w:rsidRDefault="00E946F9">
            <w:pPr>
              <w:jc w:val="right"/>
              <w:textAlignment w:val="center"/>
            </w:pPr>
            <w:r>
              <w:rPr>
                <w:rFonts w:ascii="Times New Roman" w:eastAsia="宋体" w:hAnsi="Times New Roman"/>
                <w:color w:val="000000"/>
                <w:sz w:val="16"/>
                <w:szCs w:val="16"/>
              </w:rPr>
              <w:t>51,951 </w:t>
            </w:r>
          </w:p>
        </w:tc>
        <w:tc>
          <w:tcPr>
            <w:tcW w:w="0" w:type="auto"/>
            <w:shd w:val="clear" w:color="auto" w:fill="CCEEFF"/>
            <w:tcMar>
              <w:top w:w="40" w:type="dxa"/>
              <w:left w:w="0" w:type="dxa"/>
              <w:bottom w:w="40" w:type="dxa"/>
              <w:right w:w="20" w:type="dxa"/>
            </w:tcMar>
            <w:vAlign w:val="center"/>
          </w:tcPr>
          <w:p w14:paraId="7E78588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8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85" w14:textId="77777777" w:rsidR="00A82082" w:rsidRDefault="00E946F9">
            <w:pPr>
              <w:jc w:val="right"/>
              <w:textAlignment w:val="center"/>
            </w:pPr>
            <w:r>
              <w:rPr>
                <w:rFonts w:ascii="Times New Roman" w:eastAsia="宋体" w:hAnsi="Times New Roman"/>
                <w:color w:val="000000"/>
                <w:sz w:val="16"/>
                <w:szCs w:val="16"/>
              </w:rPr>
              <w:t>49,740 </w:t>
            </w:r>
          </w:p>
        </w:tc>
        <w:tc>
          <w:tcPr>
            <w:tcW w:w="0" w:type="auto"/>
            <w:shd w:val="clear" w:color="auto" w:fill="CCEEFF"/>
            <w:tcMar>
              <w:top w:w="40" w:type="dxa"/>
              <w:left w:w="0" w:type="dxa"/>
              <w:bottom w:w="40" w:type="dxa"/>
              <w:right w:w="20" w:type="dxa"/>
            </w:tcMar>
            <w:vAlign w:val="center"/>
          </w:tcPr>
          <w:p w14:paraId="7E785886" w14:textId="77777777" w:rsidR="00A82082" w:rsidRDefault="00A82082">
            <w:pPr>
              <w:jc w:val="right"/>
              <w:rPr>
                <w:rFonts w:ascii="宋体"/>
              </w:rPr>
            </w:pPr>
          </w:p>
        </w:tc>
      </w:tr>
      <w:tr w:rsidR="00A82082" w14:paraId="7E78588F" w14:textId="77777777">
        <w:tc>
          <w:tcPr>
            <w:tcW w:w="0" w:type="auto"/>
            <w:gridSpan w:val="3"/>
            <w:shd w:val="clear" w:color="auto" w:fill="FFFFFF"/>
            <w:tcMar>
              <w:top w:w="40" w:type="dxa"/>
              <w:left w:w="20" w:type="dxa"/>
              <w:bottom w:w="40" w:type="dxa"/>
              <w:right w:w="20" w:type="dxa"/>
            </w:tcMar>
            <w:vAlign w:val="center"/>
          </w:tcPr>
          <w:p w14:paraId="7E785888" w14:textId="77777777" w:rsidR="00A82082" w:rsidRDefault="00E946F9">
            <w:pPr>
              <w:textAlignment w:val="center"/>
            </w:pPr>
            <w:r>
              <w:rPr>
                <w:rFonts w:ascii="Times New Roman" w:eastAsia="宋体" w:hAnsi="Times New Roman"/>
                <w:color w:val="000000"/>
                <w:sz w:val="16"/>
                <w:szCs w:val="16"/>
              </w:rPr>
              <w:t xml:space="preserve">- </w:t>
            </w:r>
            <w:r>
              <w:rPr>
                <w:rFonts w:ascii="Times New Roman" w:eastAsia="宋体" w:hAnsi="Times New Roman"/>
                <w:color w:val="000000"/>
                <w:sz w:val="16"/>
                <w:szCs w:val="16"/>
              </w:rPr>
              <w:t>Average 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7E785889"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8A" w14:textId="77777777" w:rsidR="00A82082" w:rsidRDefault="00E946F9">
            <w:pPr>
              <w:jc w:val="right"/>
              <w:textAlignment w:val="center"/>
            </w:pPr>
            <w:r>
              <w:rPr>
                <w:rFonts w:ascii="Times New Roman" w:eastAsia="宋体" w:hAnsi="Times New Roman"/>
                <w:color w:val="000000"/>
                <w:sz w:val="16"/>
                <w:szCs w:val="16"/>
              </w:rPr>
              <w:t>22,984 </w:t>
            </w:r>
          </w:p>
        </w:tc>
        <w:tc>
          <w:tcPr>
            <w:tcW w:w="0" w:type="auto"/>
            <w:shd w:val="clear" w:color="auto" w:fill="FFFFFF"/>
            <w:tcMar>
              <w:top w:w="40" w:type="dxa"/>
              <w:left w:w="0" w:type="dxa"/>
              <w:bottom w:w="40" w:type="dxa"/>
              <w:right w:w="20" w:type="dxa"/>
            </w:tcMar>
            <w:vAlign w:val="center"/>
          </w:tcPr>
          <w:p w14:paraId="7E78588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8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8D" w14:textId="77777777" w:rsidR="00A82082" w:rsidRDefault="00E946F9">
            <w:pPr>
              <w:jc w:val="right"/>
              <w:textAlignment w:val="center"/>
            </w:pPr>
            <w:r>
              <w:rPr>
                <w:rFonts w:ascii="Times New Roman" w:eastAsia="宋体" w:hAnsi="Times New Roman"/>
                <w:color w:val="000000"/>
                <w:sz w:val="16"/>
                <w:szCs w:val="16"/>
              </w:rPr>
              <w:t>21,884 </w:t>
            </w:r>
          </w:p>
        </w:tc>
        <w:tc>
          <w:tcPr>
            <w:tcW w:w="0" w:type="auto"/>
            <w:shd w:val="clear" w:color="auto" w:fill="FFFFFF"/>
            <w:tcMar>
              <w:top w:w="40" w:type="dxa"/>
              <w:left w:w="0" w:type="dxa"/>
              <w:bottom w:w="40" w:type="dxa"/>
              <w:right w:w="20" w:type="dxa"/>
            </w:tcMar>
            <w:vAlign w:val="center"/>
          </w:tcPr>
          <w:p w14:paraId="7E78588E" w14:textId="77777777" w:rsidR="00A82082" w:rsidRDefault="00A82082">
            <w:pPr>
              <w:jc w:val="right"/>
              <w:rPr>
                <w:rFonts w:ascii="宋体"/>
              </w:rPr>
            </w:pPr>
          </w:p>
        </w:tc>
      </w:tr>
      <w:tr w:rsidR="00A82082" w14:paraId="7E785899" w14:textId="77777777">
        <w:tc>
          <w:tcPr>
            <w:tcW w:w="0" w:type="auto"/>
            <w:gridSpan w:val="3"/>
            <w:shd w:val="clear" w:color="auto" w:fill="CCEEFF"/>
            <w:tcMar>
              <w:top w:w="40" w:type="dxa"/>
              <w:left w:w="380" w:type="dxa"/>
              <w:bottom w:w="40" w:type="dxa"/>
              <w:right w:w="20" w:type="dxa"/>
            </w:tcMar>
            <w:vAlign w:val="center"/>
          </w:tcPr>
          <w:p w14:paraId="7E785890" w14:textId="77777777" w:rsidR="00A82082" w:rsidRDefault="00E946F9">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tcPr>
          <w:p w14:paraId="7E78589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89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893" w14:textId="77777777" w:rsidR="00A82082" w:rsidRDefault="00E946F9">
            <w:pPr>
              <w:jc w:val="right"/>
              <w:textAlignment w:val="center"/>
            </w:pPr>
            <w:r>
              <w:rPr>
                <w:rFonts w:ascii="Times New Roman" w:eastAsia="宋体" w:hAnsi="Times New Roman"/>
                <w:color w:val="000000"/>
                <w:sz w:val="16"/>
                <w:szCs w:val="16"/>
              </w:rPr>
              <w:t>266,049 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89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9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89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897" w14:textId="77777777" w:rsidR="00A82082" w:rsidRDefault="00E946F9">
            <w:pPr>
              <w:jc w:val="right"/>
              <w:textAlignment w:val="center"/>
            </w:pPr>
            <w:r>
              <w:rPr>
                <w:rFonts w:ascii="Times New Roman" w:eastAsia="宋体" w:hAnsi="Times New Roman"/>
                <w:color w:val="000000"/>
                <w:sz w:val="16"/>
                <w:szCs w:val="16"/>
              </w:rPr>
              <w:t>256,619 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898" w14:textId="77777777" w:rsidR="00A82082" w:rsidRDefault="00A82082">
            <w:pPr>
              <w:jc w:val="right"/>
              <w:rPr>
                <w:rFonts w:ascii="宋体"/>
              </w:rPr>
            </w:pPr>
          </w:p>
        </w:tc>
      </w:tr>
      <w:tr w:rsidR="00A82082" w14:paraId="7E7858A1" w14:textId="77777777">
        <w:tc>
          <w:tcPr>
            <w:tcW w:w="0" w:type="auto"/>
            <w:gridSpan w:val="3"/>
            <w:shd w:val="clear" w:color="auto" w:fill="FFFFFF"/>
            <w:tcMar>
              <w:top w:w="40" w:type="dxa"/>
              <w:left w:w="20" w:type="dxa"/>
              <w:bottom w:w="40" w:type="dxa"/>
              <w:right w:w="20" w:type="dxa"/>
            </w:tcMar>
            <w:vAlign w:val="center"/>
          </w:tcPr>
          <w:p w14:paraId="7E78589A" w14:textId="77777777" w:rsidR="00A82082" w:rsidRDefault="00E946F9">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tcPr>
          <w:p w14:paraId="7E78589B" w14:textId="77777777" w:rsidR="00A82082" w:rsidRDefault="00A8208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89C" w14:textId="77777777" w:rsidR="00A82082" w:rsidRDefault="00E946F9">
            <w:pPr>
              <w:jc w:val="right"/>
              <w:textAlignment w:val="center"/>
            </w:pPr>
            <w:r>
              <w:rPr>
                <w:rFonts w:ascii="Times New Roman" w:eastAsia="宋体" w:hAnsi="Times New Roman"/>
                <w:color w:val="000000"/>
                <w:sz w:val="16"/>
                <w:szCs w:val="16"/>
              </w:rPr>
              <w:t>13.7 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89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89E" w14:textId="77777777" w:rsidR="00A82082" w:rsidRDefault="00A8208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89F" w14:textId="77777777" w:rsidR="00A82082" w:rsidRDefault="00E946F9">
            <w:pPr>
              <w:jc w:val="right"/>
              <w:textAlignment w:val="center"/>
            </w:pPr>
            <w:r>
              <w:rPr>
                <w:rFonts w:ascii="Times New Roman" w:eastAsia="宋体" w:hAnsi="Times New Roman"/>
                <w:color w:val="000000"/>
                <w:sz w:val="16"/>
                <w:szCs w:val="16"/>
              </w:rPr>
              <w:t>13.7 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8A0" w14:textId="77777777" w:rsidR="00A82082" w:rsidRDefault="00E946F9">
            <w:pPr>
              <w:jc w:val="right"/>
              <w:textAlignment w:val="center"/>
            </w:pPr>
            <w:r>
              <w:rPr>
                <w:rFonts w:ascii="Times New Roman" w:eastAsia="宋体" w:hAnsi="Times New Roman"/>
                <w:color w:val="000000"/>
                <w:sz w:val="16"/>
                <w:szCs w:val="16"/>
              </w:rPr>
              <w:t>%</w:t>
            </w:r>
          </w:p>
        </w:tc>
      </w:tr>
    </w:tbl>
    <w:p w14:paraId="7E7858A2" w14:textId="77777777" w:rsidR="00A82082" w:rsidRDefault="00E946F9">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2"/>
        <w:gridCol w:w="5087"/>
        <w:gridCol w:w="40"/>
        <w:gridCol w:w="36"/>
        <w:gridCol w:w="36"/>
        <w:gridCol w:w="36"/>
        <w:gridCol w:w="100"/>
        <w:gridCol w:w="807"/>
        <w:gridCol w:w="36"/>
        <w:gridCol w:w="36"/>
        <w:gridCol w:w="36"/>
        <w:gridCol w:w="36"/>
        <w:gridCol w:w="100"/>
        <w:gridCol w:w="807"/>
        <w:gridCol w:w="36"/>
        <w:gridCol w:w="36"/>
        <w:gridCol w:w="36"/>
        <w:gridCol w:w="36"/>
        <w:gridCol w:w="100"/>
        <w:gridCol w:w="809"/>
        <w:gridCol w:w="36"/>
      </w:tblGrid>
      <w:tr w:rsidR="00A82082" w14:paraId="7E7858B8" w14:textId="77777777">
        <w:tc>
          <w:tcPr>
            <w:tcW w:w="50" w:type="pct"/>
            <w:shd w:val="clear" w:color="auto" w:fill="auto"/>
          </w:tcPr>
          <w:p w14:paraId="7E7858A3" w14:textId="77777777" w:rsidR="00A82082" w:rsidRDefault="00A82082">
            <w:pPr>
              <w:rPr>
                <w:rFonts w:ascii="宋体"/>
              </w:rPr>
            </w:pPr>
          </w:p>
        </w:tc>
        <w:tc>
          <w:tcPr>
            <w:tcW w:w="3078" w:type="pct"/>
            <w:shd w:val="clear" w:color="auto" w:fill="auto"/>
          </w:tcPr>
          <w:p w14:paraId="7E7858A4" w14:textId="77777777" w:rsidR="00A82082" w:rsidRDefault="00A82082">
            <w:pPr>
              <w:rPr>
                <w:rFonts w:ascii="宋体"/>
              </w:rPr>
            </w:pPr>
          </w:p>
        </w:tc>
        <w:tc>
          <w:tcPr>
            <w:tcW w:w="5" w:type="pct"/>
            <w:shd w:val="clear" w:color="auto" w:fill="auto"/>
          </w:tcPr>
          <w:p w14:paraId="7E7858A5" w14:textId="77777777" w:rsidR="00A82082" w:rsidRDefault="00A82082">
            <w:pPr>
              <w:rPr>
                <w:rFonts w:ascii="宋体"/>
              </w:rPr>
            </w:pPr>
          </w:p>
        </w:tc>
        <w:tc>
          <w:tcPr>
            <w:tcW w:w="5" w:type="pct"/>
            <w:shd w:val="clear" w:color="auto" w:fill="auto"/>
          </w:tcPr>
          <w:p w14:paraId="7E7858A6" w14:textId="77777777" w:rsidR="00A82082" w:rsidRDefault="00A82082">
            <w:pPr>
              <w:rPr>
                <w:rFonts w:ascii="宋体"/>
              </w:rPr>
            </w:pPr>
          </w:p>
        </w:tc>
        <w:tc>
          <w:tcPr>
            <w:tcW w:w="26" w:type="pct"/>
            <w:shd w:val="clear" w:color="auto" w:fill="auto"/>
          </w:tcPr>
          <w:p w14:paraId="7E7858A7" w14:textId="77777777" w:rsidR="00A82082" w:rsidRDefault="00A82082">
            <w:pPr>
              <w:rPr>
                <w:rFonts w:ascii="宋体"/>
              </w:rPr>
            </w:pPr>
          </w:p>
        </w:tc>
        <w:tc>
          <w:tcPr>
            <w:tcW w:w="5" w:type="pct"/>
            <w:shd w:val="clear" w:color="auto" w:fill="auto"/>
          </w:tcPr>
          <w:p w14:paraId="7E7858A8" w14:textId="77777777" w:rsidR="00A82082" w:rsidRDefault="00A82082">
            <w:pPr>
              <w:rPr>
                <w:rFonts w:ascii="宋体"/>
              </w:rPr>
            </w:pPr>
          </w:p>
        </w:tc>
        <w:tc>
          <w:tcPr>
            <w:tcW w:w="50" w:type="pct"/>
            <w:shd w:val="clear" w:color="auto" w:fill="auto"/>
          </w:tcPr>
          <w:p w14:paraId="7E7858A9" w14:textId="77777777" w:rsidR="00A82082" w:rsidRDefault="00A82082">
            <w:pPr>
              <w:rPr>
                <w:rFonts w:ascii="宋体"/>
              </w:rPr>
            </w:pPr>
          </w:p>
        </w:tc>
        <w:tc>
          <w:tcPr>
            <w:tcW w:w="530" w:type="pct"/>
            <w:shd w:val="clear" w:color="auto" w:fill="auto"/>
          </w:tcPr>
          <w:p w14:paraId="7E7858AA" w14:textId="77777777" w:rsidR="00A82082" w:rsidRDefault="00A82082">
            <w:pPr>
              <w:rPr>
                <w:rFonts w:ascii="宋体"/>
              </w:rPr>
            </w:pPr>
          </w:p>
        </w:tc>
        <w:tc>
          <w:tcPr>
            <w:tcW w:w="5" w:type="pct"/>
            <w:shd w:val="clear" w:color="auto" w:fill="auto"/>
          </w:tcPr>
          <w:p w14:paraId="7E7858AB" w14:textId="77777777" w:rsidR="00A82082" w:rsidRDefault="00A82082">
            <w:pPr>
              <w:rPr>
                <w:rFonts w:ascii="宋体"/>
              </w:rPr>
            </w:pPr>
          </w:p>
        </w:tc>
        <w:tc>
          <w:tcPr>
            <w:tcW w:w="5" w:type="pct"/>
            <w:shd w:val="clear" w:color="auto" w:fill="auto"/>
          </w:tcPr>
          <w:p w14:paraId="7E7858AC" w14:textId="77777777" w:rsidR="00A82082" w:rsidRDefault="00A82082">
            <w:pPr>
              <w:rPr>
                <w:rFonts w:ascii="宋体"/>
              </w:rPr>
            </w:pPr>
          </w:p>
        </w:tc>
        <w:tc>
          <w:tcPr>
            <w:tcW w:w="26" w:type="pct"/>
            <w:shd w:val="clear" w:color="auto" w:fill="auto"/>
          </w:tcPr>
          <w:p w14:paraId="7E7858AD" w14:textId="77777777" w:rsidR="00A82082" w:rsidRDefault="00A82082">
            <w:pPr>
              <w:rPr>
                <w:rFonts w:ascii="宋体"/>
              </w:rPr>
            </w:pPr>
          </w:p>
        </w:tc>
        <w:tc>
          <w:tcPr>
            <w:tcW w:w="5" w:type="pct"/>
            <w:shd w:val="clear" w:color="auto" w:fill="auto"/>
          </w:tcPr>
          <w:p w14:paraId="7E7858AE" w14:textId="77777777" w:rsidR="00A82082" w:rsidRDefault="00A82082">
            <w:pPr>
              <w:rPr>
                <w:rFonts w:ascii="宋体"/>
              </w:rPr>
            </w:pPr>
          </w:p>
        </w:tc>
        <w:tc>
          <w:tcPr>
            <w:tcW w:w="50" w:type="pct"/>
            <w:shd w:val="clear" w:color="auto" w:fill="auto"/>
          </w:tcPr>
          <w:p w14:paraId="7E7858AF" w14:textId="77777777" w:rsidR="00A82082" w:rsidRDefault="00A82082">
            <w:pPr>
              <w:rPr>
                <w:rFonts w:ascii="宋体"/>
              </w:rPr>
            </w:pPr>
          </w:p>
        </w:tc>
        <w:tc>
          <w:tcPr>
            <w:tcW w:w="530" w:type="pct"/>
            <w:shd w:val="clear" w:color="auto" w:fill="auto"/>
          </w:tcPr>
          <w:p w14:paraId="7E7858B0" w14:textId="77777777" w:rsidR="00A82082" w:rsidRDefault="00A82082">
            <w:pPr>
              <w:rPr>
                <w:rFonts w:ascii="宋体"/>
              </w:rPr>
            </w:pPr>
          </w:p>
        </w:tc>
        <w:tc>
          <w:tcPr>
            <w:tcW w:w="5" w:type="pct"/>
            <w:shd w:val="clear" w:color="auto" w:fill="auto"/>
          </w:tcPr>
          <w:p w14:paraId="7E7858B1" w14:textId="77777777" w:rsidR="00A82082" w:rsidRDefault="00A82082">
            <w:pPr>
              <w:rPr>
                <w:rFonts w:ascii="宋体"/>
              </w:rPr>
            </w:pPr>
          </w:p>
        </w:tc>
        <w:tc>
          <w:tcPr>
            <w:tcW w:w="5" w:type="pct"/>
            <w:shd w:val="clear" w:color="auto" w:fill="auto"/>
          </w:tcPr>
          <w:p w14:paraId="7E7858B2" w14:textId="77777777" w:rsidR="00A82082" w:rsidRDefault="00A82082">
            <w:pPr>
              <w:rPr>
                <w:rFonts w:ascii="宋体"/>
              </w:rPr>
            </w:pPr>
          </w:p>
        </w:tc>
        <w:tc>
          <w:tcPr>
            <w:tcW w:w="26" w:type="pct"/>
            <w:shd w:val="clear" w:color="auto" w:fill="auto"/>
          </w:tcPr>
          <w:p w14:paraId="7E7858B3" w14:textId="77777777" w:rsidR="00A82082" w:rsidRDefault="00A82082">
            <w:pPr>
              <w:rPr>
                <w:rFonts w:ascii="宋体"/>
              </w:rPr>
            </w:pPr>
          </w:p>
        </w:tc>
        <w:tc>
          <w:tcPr>
            <w:tcW w:w="5" w:type="pct"/>
            <w:shd w:val="clear" w:color="auto" w:fill="auto"/>
          </w:tcPr>
          <w:p w14:paraId="7E7858B4" w14:textId="77777777" w:rsidR="00A82082" w:rsidRDefault="00A82082">
            <w:pPr>
              <w:rPr>
                <w:rFonts w:ascii="宋体"/>
              </w:rPr>
            </w:pPr>
          </w:p>
        </w:tc>
        <w:tc>
          <w:tcPr>
            <w:tcW w:w="50" w:type="pct"/>
            <w:shd w:val="clear" w:color="auto" w:fill="auto"/>
          </w:tcPr>
          <w:p w14:paraId="7E7858B5" w14:textId="77777777" w:rsidR="00A82082" w:rsidRDefault="00A82082">
            <w:pPr>
              <w:rPr>
                <w:rFonts w:ascii="宋体"/>
              </w:rPr>
            </w:pPr>
          </w:p>
        </w:tc>
        <w:tc>
          <w:tcPr>
            <w:tcW w:w="530" w:type="pct"/>
            <w:shd w:val="clear" w:color="auto" w:fill="auto"/>
          </w:tcPr>
          <w:p w14:paraId="7E7858B6" w14:textId="77777777" w:rsidR="00A82082" w:rsidRDefault="00A82082">
            <w:pPr>
              <w:rPr>
                <w:rFonts w:ascii="宋体"/>
              </w:rPr>
            </w:pPr>
          </w:p>
        </w:tc>
        <w:tc>
          <w:tcPr>
            <w:tcW w:w="5" w:type="pct"/>
            <w:shd w:val="clear" w:color="auto" w:fill="auto"/>
          </w:tcPr>
          <w:p w14:paraId="7E7858B7" w14:textId="77777777" w:rsidR="00A82082" w:rsidRDefault="00A82082">
            <w:pPr>
              <w:rPr>
                <w:rFonts w:ascii="宋体"/>
              </w:rPr>
            </w:pPr>
          </w:p>
        </w:tc>
      </w:tr>
      <w:tr w:rsidR="00A82082" w14:paraId="7E7858BC" w14:textId="77777777">
        <w:tc>
          <w:tcPr>
            <w:tcW w:w="0" w:type="auto"/>
            <w:gridSpan w:val="3"/>
            <w:shd w:val="clear" w:color="auto" w:fill="auto"/>
            <w:tcMar>
              <w:top w:w="40" w:type="dxa"/>
              <w:left w:w="20" w:type="dxa"/>
              <w:bottom w:w="40" w:type="dxa"/>
              <w:right w:w="20" w:type="dxa"/>
            </w:tcMar>
            <w:vAlign w:val="bottom"/>
          </w:tcPr>
          <w:p w14:paraId="7E7858B9"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8BA" w14:textId="77777777" w:rsidR="00A82082" w:rsidRDefault="00A82082">
            <w:pPr>
              <w:rPr>
                <w:rFonts w:ascii="宋体"/>
              </w:rPr>
            </w:pPr>
          </w:p>
        </w:tc>
        <w:tc>
          <w:tcPr>
            <w:tcW w:w="0" w:type="auto"/>
            <w:gridSpan w:val="15"/>
            <w:shd w:val="clear" w:color="auto" w:fill="auto"/>
            <w:tcMar>
              <w:top w:w="40" w:type="dxa"/>
              <w:left w:w="20" w:type="dxa"/>
              <w:bottom w:w="40" w:type="dxa"/>
              <w:right w:w="20" w:type="dxa"/>
            </w:tcMar>
            <w:vAlign w:val="bottom"/>
          </w:tcPr>
          <w:p w14:paraId="7E7858BB" w14:textId="77777777" w:rsidR="00A82082" w:rsidRDefault="00E946F9">
            <w:pPr>
              <w:jc w:val="center"/>
              <w:textAlignment w:val="bottom"/>
            </w:pPr>
            <w:r>
              <w:rPr>
                <w:rFonts w:ascii="Times New Roman" w:eastAsia="宋体" w:hAnsi="Times New Roman"/>
                <w:b/>
                <w:bCs/>
                <w:color w:val="000000"/>
                <w:sz w:val="16"/>
                <w:szCs w:val="16"/>
              </w:rPr>
              <w:t>As of October 31,</w:t>
            </w:r>
          </w:p>
        </w:tc>
      </w:tr>
      <w:tr w:rsidR="00A82082" w14:paraId="7E7858C4" w14:textId="77777777">
        <w:tc>
          <w:tcPr>
            <w:tcW w:w="0" w:type="auto"/>
            <w:gridSpan w:val="3"/>
            <w:shd w:val="clear" w:color="auto" w:fill="auto"/>
            <w:tcMar>
              <w:top w:w="40" w:type="dxa"/>
              <w:left w:w="20" w:type="dxa"/>
              <w:bottom w:w="40" w:type="dxa"/>
              <w:right w:w="20" w:type="dxa"/>
            </w:tcMar>
            <w:vAlign w:val="bottom"/>
          </w:tcPr>
          <w:p w14:paraId="7E7858BD"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8B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8BF"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8C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8C1"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7E7858C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8C3" w14:textId="77777777" w:rsidR="00A82082" w:rsidRDefault="00E946F9">
            <w:pPr>
              <w:jc w:val="center"/>
              <w:textAlignment w:val="bottom"/>
            </w:pPr>
            <w:r>
              <w:rPr>
                <w:rFonts w:ascii="Times New Roman" w:eastAsia="宋体" w:hAnsi="Times New Roman"/>
                <w:b/>
                <w:bCs/>
                <w:color w:val="000000"/>
                <w:sz w:val="16"/>
                <w:szCs w:val="16"/>
              </w:rPr>
              <w:t>2018</w:t>
            </w:r>
          </w:p>
        </w:tc>
      </w:tr>
      <w:tr w:rsidR="00A82082" w14:paraId="7E7858CC" w14:textId="77777777">
        <w:tc>
          <w:tcPr>
            <w:tcW w:w="0" w:type="auto"/>
            <w:gridSpan w:val="3"/>
            <w:shd w:val="clear" w:color="auto" w:fill="auto"/>
            <w:tcMar>
              <w:top w:w="40" w:type="dxa"/>
              <w:left w:w="20" w:type="dxa"/>
              <w:bottom w:w="40" w:type="dxa"/>
              <w:right w:w="20" w:type="dxa"/>
            </w:tcMar>
            <w:vAlign w:val="bottom"/>
          </w:tcPr>
          <w:p w14:paraId="7E7858C5" w14:textId="77777777" w:rsidR="00A82082" w:rsidRDefault="00E946F9">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tcPr>
          <w:p w14:paraId="7E7858C6"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8C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8C8"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8C9"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8CA"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8CB" w14:textId="77777777" w:rsidR="00A82082" w:rsidRDefault="00A82082">
            <w:pPr>
              <w:rPr>
                <w:rFonts w:ascii="宋体"/>
              </w:rPr>
            </w:pPr>
          </w:p>
        </w:tc>
      </w:tr>
      <w:tr w:rsidR="00A82082" w14:paraId="7E7858DA" w14:textId="77777777">
        <w:tc>
          <w:tcPr>
            <w:tcW w:w="0" w:type="auto"/>
            <w:gridSpan w:val="3"/>
            <w:shd w:val="clear" w:color="auto" w:fill="CCEEFF"/>
            <w:tcMar>
              <w:top w:w="40" w:type="dxa"/>
              <w:left w:w="20" w:type="dxa"/>
              <w:bottom w:w="40" w:type="dxa"/>
              <w:right w:w="20" w:type="dxa"/>
            </w:tcMar>
            <w:vAlign w:val="center"/>
          </w:tcPr>
          <w:p w14:paraId="7E7858CD" w14:textId="77777777" w:rsidR="00A82082" w:rsidRDefault="00E946F9">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7E7858CE"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C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D0" w14:textId="77777777" w:rsidR="00A82082" w:rsidRDefault="00E946F9">
            <w:pPr>
              <w:jc w:val="right"/>
              <w:textAlignment w:val="center"/>
            </w:pPr>
            <w:r>
              <w:rPr>
                <w:rFonts w:ascii="Times New Roman" w:eastAsia="宋体" w:hAnsi="Times New Roman"/>
                <w:color w:val="000000"/>
                <w:sz w:val="16"/>
                <w:szCs w:val="16"/>
              </w:rPr>
              <w:t>250,863 </w:t>
            </w:r>
          </w:p>
        </w:tc>
        <w:tc>
          <w:tcPr>
            <w:tcW w:w="0" w:type="auto"/>
            <w:shd w:val="clear" w:color="auto" w:fill="CCEEFF"/>
            <w:tcMar>
              <w:top w:w="40" w:type="dxa"/>
              <w:left w:w="0" w:type="dxa"/>
              <w:bottom w:w="40" w:type="dxa"/>
              <w:right w:w="20" w:type="dxa"/>
            </w:tcMar>
            <w:vAlign w:val="center"/>
          </w:tcPr>
          <w:p w14:paraId="7E7858D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D2"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D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D4" w14:textId="77777777" w:rsidR="00A82082" w:rsidRDefault="00E946F9">
            <w:pPr>
              <w:jc w:val="right"/>
              <w:textAlignment w:val="center"/>
            </w:pPr>
            <w:r>
              <w:rPr>
                <w:rFonts w:ascii="Times New Roman" w:eastAsia="宋体" w:hAnsi="Times New Roman"/>
                <w:color w:val="000000"/>
                <w:sz w:val="16"/>
                <w:szCs w:val="16"/>
              </w:rPr>
              <w:t>239,830 </w:t>
            </w:r>
          </w:p>
        </w:tc>
        <w:tc>
          <w:tcPr>
            <w:tcW w:w="0" w:type="auto"/>
            <w:shd w:val="clear" w:color="auto" w:fill="CCEEFF"/>
            <w:tcMar>
              <w:top w:w="40" w:type="dxa"/>
              <w:left w:w="0" w:type="dxa"/>
              <w:bottom w:w="40" w:type="dxa"/>
              <w:right w:w="20" w:type="dxa"/>
            </w:tcMar>
            <w:vAlign w:val="center"/>
          </w:tcPr>
          <w:p w14:paraId="7E7858D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D6"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8D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8D8" w14:textId="77777777" w:rsidR="00A82082" w:rsidRDefault="00E946F9">
            <w:pPr>
              <w:jc w:val="right"/>
              <w:textAlignment w:val="center"/>
            </w:pPr>
            <w:r>
              <w:rPr>
                <w:rFonts w:ascii="Times New Roman" w:eastAsia="宋体" w:hAnsi="Times New Roman"/>
                <w:color w:val="000000"/>
                <w:sz w:val="16"/>
                <w:szCs w:val="16"/>
              </w:rPr>
              <w:t>226,583 </w:t>
            </w:r>
          </w:p>
        </w:tc>
        <w:tc>
          <w:tcPr>
            <w:tcW w:w="0" w:type="auto"/>
            <w:shd w:val="clear" w:color="auto" w:fill="CCEEFF"/>
            <w:tcMar>
              <w:top w:w="40" w:type="dxa"/>
              <w:left w:w="0" w:type="dxa"/>
              <w:bottom w:w="40" w:type="dxa"/>
              <w:right w:w="20" w:type="dxa"/>
            </w:tcMar>
            <w:vAlign w:val="center"/>
          </w:tcPr>
          <w:p w14:paraId="7E7858D9" w14:textId="77777777" w:rsidR="00A82082" w:rsidRDefault="00A82082">
            <w:pPr>
              <w:jc w:val="right"/>
              <w:rPr>
                <w:rFonts w:ascii="宋体"/>
              </w:rPr>
            </w:pPr>
          </w:p>
        </w:tc>
      </w:tr>
      <w:tr w:rsidR="00A82082" w14:paraId="7E7858E4" w14:textId="77777777">
        <w:tc>
          <w:tcPr>
            <w:tcW w:w="0" w:type="auto"/>
            <w:gridSpan w:val="3"/>
            <w:shd w:val="clear" w:color="auto" w:fill="FFFFFF"/>
            <w:tcMar>
              <w:top w:w="40" w:type="dxa"/>
              <w:left w:w="155" w:type="dxa"/>
              <w:bottom w:w="40" w:type="dxa"/>
              <w:right w:w="20" w:type="dxa"/>
            </w:tcMar>
            <w:vAlign w:val="center"/>
          </w:tcPr>
          <w:p w14:paraId="7E7858DB" w14:textId="77777777" w:rsidR="00A82082" w:rsidRDefault="00E946F9">
            <w:pPr>
              <w:textAlignment w:val="center"/>
            </w:pPr>
            <w:r>
              <w:rPr>
                <w:rFonts w:ascii="Times New Roman" w:eastAsia="宋体" w:hAnsi="Times New Roman"/>
                <w:color w:val="000000"/>
                <w:sz w:val="16"/>
                <w:szCs w:val="16"/>
              </w:rPr>
              <w:t>Leased assets, net</w:t>
            </w:r>
          </w:p>
        </w:tc>
        <w:tc>
          <w:tcPr>
            <w:tcW w:w="0" w:type="auto"/>
            <w:gridSpan w:val="3"/>
            <w:shd w:val="clear" w:color="auto" w:fill="FFFFFF"/>
            <w:tcMar>
              <w:top w:w="0" w:type="dxa"/>
              <w:left w:w="20" w:type="dxa"/>
              <w:bottom w:w="0" w:type="dxa"/>
              <w:right w:w="20" w:type="dxa"/>
            </w:tcMar>
          </w:tcPr>
          <w:p w14:paraId="7E7858DC" w14:textId="77777777" w:rsidR="00A82082" w:rsidRDefault="00A82082">
            <w:pPr>
              <w:rPr>
                <w:rFonts w:ascii="宋体"/>
              </w:rPr>
            </w:pPr>
          </w:p>
        </w:tc>
        <w:tc>
          <w:tcPr>
            <w:tcW w:w="0" w:type="auto"/>
            <w:gridSpan w:val="3"/>
            <w:shd w:val="clear" w:color="auto" w:fill="FFFFFF"/>
            <w:tcMar>
              <w:top w:w="40" w:type="dxa"/>
              <w:left w:w="20" w:type="dxa"/>
              <w:bottom w:w="40" w:type="dxa"/>
              <w:right w:w="20" w:type="dxa"/>
            </w:tcMar>
            <w:vAlign w:val="center"/>
          </w:tcPr>
          <w:p w14:paraId="7E7858DD" w14:textId="77777777" w:rsidR="00A82082" w:rsidRDefault="00E946F9">
            <w:pPr>
              <w:jc w:val="right"/>
              <w:textAlignment w:val="center"/>
            </w:pPr>
            <w:r>
              <w:rPr>
                <w:rFonts w:ascii="Times New Roman" w:eastAsia="宋体" w:hAnsi="Times New Roman"/>
                <w:color w:val="000000"/>
                <w:sz w:val="16"/>
                <w:szCs w:val="16"/>
              </w:rPr>
              <w:t>NP</w:t>
            </w:r>
          </w:p>
        </w:tc>
        <w:tc>
          <w:tcPr>
            <w:tcW w:w="0" w:type="auto"/>
            <w:gridSpan w:val="3"/>
            <w:shd w:val="clear" w:color="auto" w:fill="FFFFFF"/>
            <w:tcMar>
              <w:top w:w="0" w:type="dxa"/>
              <w:left w:w="20" w:type="dxa"/>
              <w:bottom w:w="0" w:type="dxa"/>
              <w:right w:w="20" w:type="dxa"/>
            </w:tcMar>
          </w:tcPr>
          <w:p w14:paraId="7E7858D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DF" w14:textId="77777777" w:rsidR="00A82082" w:rsidRDefault="00E946F9">
            <w:pPr>
              <w:jc w:val="right"/>
              <w:textAlignment w:val="center"/>
            </w:pPr>
            <w:r>
              <w:rPr>
                <w:rFonts w:ascii="Times New Roman" w:eastAsia="宋体" w:hAnsi="Times New Roman"/>
                <w:color w:val="000000"/>
                <w:sz w:val="16"/>
                <w:szCs w:val="16"/>
              </w:rPr>
              <w:t>21,099 </w:t>
            </w:r>
          </w:p>
        </w:tc>
        <w:tc>
          <w:tcPr>
            <w:tcW w:w="0" w:type="auto"/>
            <w:shd w:val="clear" w:color="auto" w:fill="FFFFFF"/>
            <w:tcMar>
              <w:top w:w="40" w:type="dxa"/>
              <w:left w:w="0" w:type="dxa"/>
              <w:bottom w:w="40" w:type="dxa"/>
              <w:right w:w="20" w:type="dxa"/>
            </w:tcMar>
            <w:vAlign w:val="center"/>
          </w:tcPr>
          <w:p w14:paraId="7E7858E0"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E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E2" w14:textId="77777777" w:rsidR="00A82082" w:rsidRDefault="00E946F9">
            <w:pPr>
              <w:jc w:val="right"/>
              <w:textAlignment w:val="center"/>
            </w:pPr>
            <w:r>
              <w:rPr>
                <w:rFonts w:ascii="Times New Roman" w:eastAsia="宋体" w:hAnsi="Times New Roman"/>
                <w:color w:val="000000"/>
                <w:sz w:val="16"/>
                <w:szCs w:val="16"/>
              </w:rPr>
              <w:t>6,991 </w:t>
            </w:r>
          </w:p>
        </w:tc>
        <w:tc>
          <w:tcPr>
            <w:tcW w:w="0" w:type="auto"/>
            <w:shd w:val="clear" w:color="auto" w:fill="FFFFFF"/>
            <w:tcMar>
              <w:top w:w="40" w:type="dxa"/>
              <w:left w:w="0" w:type="dxa"/>
              <w:bottom w:w="40" w:type="dxa"/>
              <w:right w:w="20" w:type="dxa"/>
            </w:tcMar>
            <w:vAlign w:val="center"/>
          </w:tcPr>
          <w:p w14:paraId="7E7858E3" w14:textId="77777777" w:rsidR="00A82082" w:rsidRDefault="00A82082">
            <w:pPr>
              <w:jc w:val="right"/>
              <w:rPr>
                <w:rFonts w:ascii="宋体"/>
              </w:rPr>
            </w:pPr>
          </w:p>
        </w:tc>
      </w:tr>
      <w:tr w:rsidR="00A82082" w14:paraId="7E7858EE" w14:textId="77777777">
        <w:tc>
          <w:tcPr>
            <w:tcW w:w="0" w:type="auto"/>
            <w:gridSpan w:val="3"/>
            <w:shd w:val="clear" w:color="auto" w:fill="CCEEFF"/>
            <w:tcMar>
              <w:top w:w="40" w:type="dxa"/>
              <w:left w:w="245" w:type="dxa"/>
              <w:bottom w:w="40" w:type="dxa"/>
              <w:right w:w="20" w:type="dxa"/>
            </w:tcMar>
            <w:vAlign w:val="center"/>
          </w:tcPr>
          <w:p w14:paraId="7E7858E5" w14:textId="77777777" w:rsidR="00A82082" w:rsidRDefault="00E946F9">
            <w:pPr>
              <w:textAlignment w:val="center"/>
            </w:pPr>
            <w:r>
              <w:rPr>
                <w:rFonts w:ascii="Times New Roman" w:eastAsia="宋体" w:hAnsi="Times New Roman"/>
                <w:color w:val="000000"/>
                <w:sz w:val="16"/>
                <w:szCs w:val="16"/>
              </w:rPr>
              <w:t>Total assets without leased assets, net</w:t>
            </w:r>
          </w:p>
        </w:tc>
        <w:tc>
          <w:tcPr>
            <w:tcW w:w="0" w:type="auto"/>
            <w:gridSpan w:val="3"/>
            <w:shd w:val="clear" w:color="auto" w:fill="CCEEFF"/>
            <w:tcMar>
              <w:top w:w="0" w:type="dxa"/>
              <w:left w:w="20" w:type="dxa"/>
              <w:bottom w:w="0" w:type="dxa"/>
              <w:right w:w="20" w:type="dxa"/>
            </w:tcMar>
          </w:tcPr>
          <w:p w14:paraId="7E7858E6" w14:textId="77777777" w:rsidR="00A82082" w:rsidRDefault="00A82082">
            <w:pPr>
              <w:rPr>
                <w:rFonts w:ascii="宋体"/>
              </w:rPr>
            </w:pPr>
          </w:p>
        </w:tc>
        <w:tc>
          <w:tcPr>
            <w:tcW w:w="0" w:type="auto"/>
            <w:gridSpan w:val="3"/>
            <w:shd w:val="clear" w:color="auto" w:fill="CCEEFF"/>
            <w:tcMar>
              <w:top w:w="40" w:type="dxa"/>
              <w:left w:w="20" w:type="dxa"/>
              <w:bottom w:w="40" w:type="dxa"/>
              <w:right w:w="20" w:type="dxa"/>
            </w:tcMar>
            <w:vAlign w:val="center"/>
          </w:tcPr>
          <w:p w14:paraId="7E7858E7" w14:textId="77777777" w:rsidR="00A82082" w:rsidRDefault="00E946F9">
            <w:pPr>
              <w:jc w:val="right"/>
              <w:textAlignment w:val="center"/>
            </w:pPr>
            <w:r>
              <w:rPr>
                <w:rFonts w:ascii="Times New Roman" w:eastAsia="宋体" w:hAnsi="Times New Roman"/>
                <w:color w:val="000000"/>
                <w:sz w:val="16"/>
                <w:szCs w:val="16"/>
              </w:rPr>
              <w:t>NP</w:t>
            </w:r>
          </w:p>
        </w:tc>
        <w:tc>
          <w:tcPr>
            <w:tcW w:w="0" w:type="auto"/>
            <w:gridSpan w:val="3"/>
            <w:shd w:val="clear" w:color="auto" w:fill="CCEEFF"/>
            <w:tcMar>
              <w:top w:w="0" w:type="dxa"/>
              <w:left w:w="20" w:type="dxa"/>
              <w:bottom w:w="0" w:type="dxa"/>
              <w:right w:w="20" w:type="dxa"/>
            </w:tcMar>
          </w:tcPr>
          <w:p w14:paraId="7E7858E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E9" w14:textId="77777777" w:rsidR="00A82082" w:rsidRDefault="00E946F9">
            <w:pPr>
              <w:jc w:val="right"/>
              <w:textAlignment w:val="center"/>
            </w:pPr>
            <w:r>
              <w:rPr>
                <w:rFonts w:ascii="Times New Roman" w:eastAsia="宋体" w:hAnsi="Times New Roman"/>
                <w:color w:val="000000"/>
                <w:sz w:val="16"/>
                <w:szCs w:val="16"/>
              </w:rPr>
              <w:t>218,731 </w:t>
            </w:r>
          </w:p>
        </w:tc>
        <w:tc>
          <w:tcPr>
            <w:tcW w:w="0" w:type="auto"/>
            <w:shd w:val="clear" w:color="auto" w:fill="CCEEFF"/>
            <w:tcMar>
              <w:top w:w="40" w:type="dxa"/>
              <w:left w:w="0" w:type="dxa"/>
              <w:bottom w:w="40" w:type="dxa"/>
              <w:right w:w="20" w:type="dxa"/>
            </w:tcMar>
            <w:vAlign w:val="center"/>
          </w:tcPr>
          <w:p w14:paraId="7E7858E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8E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EC" w14:textId="77777777" w:rsidR="00A82082" w:rsidRDefault="00E946F9">
            <w:pPr>
              <w:jc w:val="right"/>
              <w:textAlignment w:val="center"/>
            </w:pPr>
            <w:r>
              <w:rPr>
                <w:rFonts w:ascii="Times New Roman" w:eastAsia="宋体" w:hAnsi="Times New Roman"/>
                <w:color w:val="000000"/>
                <w:sz w:val="16"/>
                <w:szCs w:val="16"/>
              </w:rPr>
              <w:t>219,592 </w:t>
            </w:r>
          </w:p>
        </w:tc>
        <w:tc>
          <w:tcPr>
            <w:tcW w:w="0" w:type="auto"/>
            <w:shd w:val="clear" w:color="auto" w:fill="CCEEFF"/>
            <w:tcMar>
              <w:top w:w="40" w:type="dxa"/>
              <w:left w:w="0" w:type="dxa"/>
              <w:bottom w:w="40" w:type="dxa"/>
              <w:right w:w="20" w:type="dxa"/>
            </w:tcMar>
            <w:vAlign w:val="center"/>
          </w:tcPr>
          <w:p w14:paraId="7E7858ED" w14:textId="77777777" w:rsidR="00A82082" w:rsidRDefault="00A82082">
            <w:pPr>
              <w:jc w:val="right"/>
              <w:rPr>
                <w:rFonts w:ascii="宋体"/>
              </w:rPr>
            </w:pPr>
          </w:p>
        </w:tc>
      </w:tr>
      <w:tr w:rsidR="00A82082" w14:paraId="7E7858F9" w14:textId="77777777">
        <w:tc>
          <w:tcPr>
            <w:tcW w:w="0" w:type="auto"/>
            <w:gridSpan w:val="3"/>
            <w:shd w:val="clear" w:color="auto" w:fill="FFFFFF"/>
            <w:tcMar>
              <w:top w:w="40" w:type="dxa"/>
              <w:left w:w="20" w:type="dxa"/>
              <w:bottom w:w="40" w:type="dxa"/>
              <w:right w:w="20" w:type="dxa"/>
            </w:tcMar>
            <w:vAlign w:val="center"/>
          </w:tcPr>
          <w:p w14:paraId="7E7858EF" w14:textId="77777777" w:rsidR="00A82082" w:rsidRDefault="00E946F9">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tcPr>
          <w:p w14:paraId="7E7858F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F1" w14:textId="77777777" w:rsidR="00A82082" w:rsidRDefault="00E946F9">
            <w:pPr>
              <w:jc w:val="right"/>
              <w:textAlignment w:val="center"/>
            </w:pPr>
            <w:r>
              <w:rPr>
                <w:rFonts w:ascii="Times New Roman" w:eastAsia="宋体" w:hAnsi="Times New Roman"/>
                <w:color w:val="000000"/>
                <w:sz w:val="16"/>
                <w:szCs w:val="16"/>
              </w:rPr>
              <w:t>99,576 </w:t>
            </w:r>
          </w:p>
        </w:tc>
        <w:tc>
          <w:tcPr>
            <w:tcW w:w="0" w:type="auto"/>
            <w:shd w:val="clear" w:color="auto" w:fill="FFFFFF"/>
            <w:tcMar>
              <w:top w:w="40" w:type="dxa"/>
              <w:left w:w="0" w:type="dxa"/>
              <w:bottom w:w="40" w:type="dxa"/>
              <w:right w:w="20" w:type="dxa"/>
            </w:tcMar>
            <w:vAlign w:val="center"/>
          </w:tcPr>
          <w:p w14:paraId="7E7858F2"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F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F4" w14:textId="77777777" w:rsidR="00A82082" w:rsidRDefault="00E946F9">
            <w:pPr>
              <w:jc w:val="right"/>
              <w:textAlignment w:val="center"/>
            </w:pPr>
            <w:r>
              <w:rPr>
                <w:rFonts w:ascii="Times New Roman" w:eastAsia="宋体" w:hAnsi="Times New Roman"/>
                <w:color w:val="000000"/>
                <w:sz w:val="16"/>
                <w:szCs w:val="16"/>
              </w:rPr>
              <w:t>91,697 </w:t>
            </w:r>
          </w:p>
        </w:tc>
        <w:tc>
          <w:tcPr>
            <w:tcW w:w="0" w:type="auto"/>
            <w:shd w:val="clear" w:color="auto" w:fill="FFFFFF"/>
            <w:tcMar>
              <w:top w:w="40" w:type="dxa"/>
              <w:left w:w="0" w:type="dxa"/>
              <w:bottom w:w="40" w:type="dxa"/>
              <w:right w:w="20" w:type="dxa"/>
            </w:tcMar>
            <w:vAlign w:val="center"/>
          </w:tcPr>
          <w:p w14:paraId="7E7858F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8F6"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8F7" w14:textId="77777777" w:rsidR="00A82082" w:rsidRDefault="00E946F9">
            <w:pPr>
              <w:jc w:val="right"/>
              <w:textAlignment w:val="center"/>
            </w:pPr>
            <w:r>
              <w:rPr>
                <w:rFonts w:ascii="Times New Roman" w:eastAsia="宋体" w:hAnsi="Times New Roman"/>
                <w:color w:val="000000"/>
                <w:sz w:val="16"/>
                <w:szCs w:val="16"/>
              </w:rPr>
              <w:t>85,827 </w:t>
            </w:r>
          </w:p>
        </w:tc>
        <w:tc>
          <w:tcPr>
            <w:tcW w:w="0" w:type="auto"/>
            <w:shd w:val="clear" w:color="auto" w:fill="FFFFFF"/>
            <w:tcMar>
              <w:top w:w="40" w:type="dxa"/>
              <w:left w:w="0" w:type="dxa"/>
              <w:bottom w:w="40" w:type="dxa"/>
              <w:right w:w="20" w:type="dxa"/>
            </w:tcMar>
            <w:vAlign w:val="center"/>
          </w:tcPr>
          <w:p w14:paraId="7E7858F8" w14:textId="77777777" w:rsidR="00A82082" w:rsidRDefault="00A82082">
            <w:pPr>
              <w:jc w:val="right"/>
              <w:rPr>
                <w:rFonts w:ascii="宋体"/>
              </w:rPr>
            </w:pPr>
          </w:p>
        </w:tc>
      </w:tr>
      <w:tr w:rsidR="00A82082" w14:paraId="7E785903" w14:textId="77777777">
        <w:tc>
          <w:tcPr>
            <w:tcW w:w="0" w:type="auto"/>
            <w:gridSpan w:val="3"/>
            <w:shd w:val="clear" w:color="auto" w:fill="CCEEFF"/>
            <w:tcMar>
              <w:top w:w="40" w:type="dxa"/>
              <w:left w:w="155" w:type="dxa"/>
              <w:bottom w:w="40" w:type="dxa"/>
              <w:right w:w="20" w:type="dxa"/>
            </w:tcMar>
            <w:vAlign w:val="center"/>
          </w:tcPr>
          <w:p w14:paraId="7E7858FA" w14:textId="77777777" w:rsidR="00A82082" w:rsidRDefault="00E946F9">
            <w:pPr>
              <w:textAlignment w:val="center"/>
            </w:pPr>
            <w:r>
              <w:rPr>
                <w:rFonts w:ascii="Times New Roman" w:eastAsia="宋体" w:hAnsi="Times New Roman"/>
                <w:color w:val="000000"/>
                <w:sz w:val="16"/>
                <w:szCs w:val="16"/>
              </w:rPr>
              <w:t xml:space="preserve">Accumulated </w:t>
            </w:r>
            <w:r>
              <w:rPr>
                <w:rFonts w:ascii="Times New Roman" w:eastAsia="宋体" w:hAnsi="Times New Roman"/>
                <w:color w:val="000000"/>
                <w:sz w:val="16"/>
                <w:szCs w:val="16"/>
              </w:rPr>
              <w:t>amortization on leased assets</w:t>
            </w:r>
          </w:p>
        </w:tc>
        <w:tc>
          <w:tcPr>
            <w:tcW w:w="0" w:type="auto"/>
            <w:gridSpan w:val="3"/>
            <w:shd w:val="clear" w:color="auto" w:fill="CCEEFF"/>
            <w:tcMar>
              <w:top w:w="0" w:type="dxa"/>
              <w:left w:w="20" w:type="dxa"/>
              <w:bottom w:w="0" w:type="dxa"/>
              <w:right w:w="20" w:type="dxa"/>
            </w:tcMar>
          </w:tcPr>
          <w:p w14:paraId="7E7858FB" w14:textId="77777777" w:rsidR="00A82082" w:rsidRDefault="00A82082">
            <w:pPr>
              <w:rPr>
                <w:rFonts w:ascii="宋体"/>
              </w:rPr>
            </w:pPr>
          </w:p>
        </w:tc>
        <w:tc>
          <w:tcPr>
            <w:tcW w:w="0" w:type="auto"/>
            <w:gridSpan w:val="3"/>
            <w:shd w:val="clear" w:color="auto" w:fill="CCEEFF"/>
            <w:tcMar>
              <w:top w:w="40" w:type="dxa"/>
              <w:left w:w="20" w:type="dxa"/>
              <w:bottom w:w="40" w:type="dxa"/>
              <w:right w:w="20" w:type="dxa"/>
            </w:tcMar>
            <w:vAlign w:val="center"/>
          </w:tcPr>
          <w:p w14:paraId="7E7858FC" w14:textId="77777777" w:rsidR="00A82082" w:rsidRDefault="00E946F9">
            <w:pPr>
              <w:jc w:val="right"/>
              <w:textAlignment w:val="center"/>
            </w:pPr>
            <w:r>
              <w:rPr>
                <w:rFonts w:ascii="Times New Roman" w:eastAsia="宋体" w:hAnsi="Times New Roman"/>
                <w:color w:val="000000"/>
                <w:sz w:val="16"/>
                <w:szCs w:val="16"/>
              </w:rPr>
              <w:t>NP</w:t>
            </w:r>
          </w:p>
        </w:tc>
        <w:tc>
          <w:tcPr>
            <w:tcW w:w="0" w:type="auto"/>
            <w:gridSpan w:val="3"/>
            <w:shd w:val="clear" w:color="auto" w:fill="CCEEFF"/>
            <w:tcMar>
              <w:top w:w="0" w:type="dxa"/>
              <w:left w:w="20" w:type="dxa"/>
              <w:bottom w:w="0" w:type="dxa"/>
              <w:right w:w="20" w:type="dxa"/>
            </w:tcMar>
          </w:tcPr>
          <w:p w14:paraId="7E7858F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8FE" w14:textId="77777777" w:rsidR="00A82082" w:rsidRDefault="00E946F9">
            <w:pPr>
              <w:jc w:val="right"/>
              <w:textAlignment w:val="center"/>
            </w:pPr>
            <w:r>
              <w:rPr>
                <w:rFonts w:ascii="Times New Roman" w:eastAsia="宋体" w:hAnsi="Times New Roman"/>
                <w:color w:val="000000"/>
                <w:sz w:val="16"/>
                <w:szCs w:val="16"/>
              </w:rPr>
              <w:t>4,140 </w:t>
            </w:r>
          </w:p>
        </w:tc>
        <w:tc>
          <w:tcPr>
            <w:tcW w:w="0" w:type="auto"/>
            <w:shd w:val="clear" w:color="auto" w:fill="CCEEFF"/>
            <w:tcMar>
              <w:top w:w="40" w:type="dxa"/>
              <w:left w:w="0" w:type="dxa"/>
              <w:bottom w:w="40" w:type="dxa"/>
              <w:right w:w="20" w:type="dxa"/>
            </w:tcMar>
            <w:vAlign w:val="center"/>
          </w:tcPr>
          <w:p w14:paraId="7E7858F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0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901" w14:textId="77777777" w:rsidR="00A82082" w:rsidRDefault="00E946F9">
            <w:pPr>
              <w:jc w:val="right"/>
              <w:textAlignment w:val="center"/>
            </w:pPr>
            <w:r>
              <w:rPr>
                <w:rFonts w:ascii="Times New Roman" w:eastAsia="宋体" w:hAnsi="Times New Roman"/>
                <w:color w:val="000000"/>
                <w:sz w:val="16"/>
                <w:szCs w:val="16"/>
              </w:rPr>
              <w:t>5,701 </w:t>
            </w:r>
          </w:p>
        </w:tc>
        <w:tc>
          <w:tcPr>
            <w:tcW w:w="0" w:type="auto"/>
            <w:shd w:val="clear" w:color="auto" w:fill="CCEEFF"/>
            <w:tcMar>
              <w:top w:w="40" w:type="dxa"/>
              <w:left w:w="0" w:type="dxa"/>
              <w:bottom w:w="40" w:type="dxa"/>
              <w:right w:w="20" w:type="dxa"/>
            </w:tcMar>
            <w:vAlign w:val="center"/>
          </w:tcPr>
          <w:p w14:paraId="7E785902" w14:textId="77777777" w:rsidR="00A82082" w:rsidRDefault="00A82082">
            <w:pPr>
              <w:jc w:val="right"/>
              <w:rPr>
                <w:rFonts w:ascii="宋体"/>
              </w:rPr>
            </w:pPr>
          </w:p>
        </w:tc>
      </w:tr>
      <w:tr w:rsidR="00A82082" w14:paraId="7E78590D" w14:textId="77777777">
        <w:tc>
          <w:tcPr>
            <w:tcW w:w="0" w:type="auto"/>
            <w:gridSpan w:val="3"/>
            <w:shd w:val="clear" w:color="auto" w:fill="FFFFFF"/>
            <w:tcMar>
              <w:top w:w="40" w:type="dxa"/>
              <w:left w:w="245" w:type="dxa"/>
              <w:bottom w:w="40" w:type="dxa"/>
              <w:right w:w="20" w:type="dxa"/>
            </w:tcMar>
            <w:vAlign w:val="center"/>
          </w:tcPr>
          <w:p w14:paraId="7E785904" w14:textId="77777777" w:rsidR="00A82082" w:rsidRDefault="00E946F9">
            <w:pPr>
              <w:textAlignment w:val="center"/>
            </w:pPr>
            <w:r>
              <w:rPr>
                <w:rFonts w:ascii="Times New Roman" w:eastAsia="宋体" w:hAnsi="Times New Roman"/>
                <w:color w:val="000000"/>
                <w:sz w:val="16"/>
                <w:szCs w:val="16"/>
              </w:rPr>
              <w:t>Accumulated depreciation and amortization, without leased assets</w:t>
            </w:r>
          </w:p>
        </w:tc>
        <w:tc>
          <w:tcPr>
            <w:tcW w:w="0" w:type="auto"/>
            <w:gridSpan w:val="3"/>
            <w:shd w:val="clear" w:color="auto" w:fill="FFFFFF"/>
            <w:tcMar>
              <w:top w:w="0" w:type="dxa"/>
              <w:left w:w="20" w:type="dxa"/>
              <w:bottom w:w="0" w:type="dxa"/>
              <w:right w:w="20" w:type="dxa"/>
            </w:tcMar>
          </w:tcPr>
          <w:p w14:paraId="7E785905" w14:textId="77777777" w:rsidR="00A82082" w:rsidRDefault="00A82082">
            <w:pPr>
              <w:rPr>
                <w:rFonts w:ascii="宋体"/>
              </w:rPr>
            </w:pPr>
          </w:p>
        </w:tc>
        <w:tc>
          <w:tcPr>
            <w:tcW w:w="0" w:type="auto"/>
            <w:gridSpan w:val="3"/>
            <w:shd w:val="clear" w:color="auto" w:fill="FFFFFF"/>
            <w:tcMar>
              <w:top w:w="40" w:type="dxa"/>
              <w:left w:w="20" w:type="dxa"/>
              <w:bottom w:w="40" w:type="dxa"/>
              <w:right w:w="20" w:type="dxa"/>
            </w:tcMar>
            <w:vAlign w:val="center"/>
          </w:tcPr>
          <w:p w14:paraId="7E785906" w14:textId="77777777" w:rsidR="00A82082" w:rsidRDefault="00E946F9">
            <w:pPr>
              <w:jc w:val="right"/>
              <w:textAlignment w:val="center"/>
            </w:pPr>
            <w:r>
              <w:rPr>
                <w:rFonts w:ascii="Times New Roman" w:eastAsia="宋体" w:hAnsi="Times New Roman"/>
                <w:color w:val="000000"/>
                <w:sz w:val="16"/>
                <w:szCs w:val="16"/>
              </w:rPr>
              <w:t>NP</w:t>
            </w:r>
          </w:p>
        </w:tc>
        <w:tc>
          <w:tcPr>
            <w:tcW w:w="0" w:type="auto"/>
            <w:gridSpan w:val="3"/>
            <w:shd w:val="clear" w:color="auto" w:fill="FFFFFF"/>
            <w:tcMar>
              <w:top w:w="0" w:type="dxa"/>
              <w:left w:w="20" w:type="dxa"/>
              <w:bottom w:w="0" w:type="dxa"/>
              <w:right w:w="20" w:type="dxa"/>
            </w:tcMar>
          </w:tcPr>
          <w:p w14:paraId="7E78590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08" w14:textId="77777777" w:rsidR="00A82082" w:rsidRDefault="00E946F9">
            <w:pPr>
              <w:jc w:val="right"/>
              <w:textAlignment w:val="center"/>
            </w:pPr>
            <w:r>
              <w:rPr>
                <w:rFonts w:ascii="Times New Roman" w:eastAsia="宋体" w:hAnsi="Times New Roman"/>
                <w:color w:val="000000"/>
                <w:sz w:val="16"/>
                <w:szCs w:val="16"/>
              </w:rPr>
              <w:t>87,557 </w:t>
            </w:r>
          </w:p>
        </w:tc>
        <w:tc>
          <w:tcPr>
            <w:tcW w:w="0" w:type="auto"/>
            <w:shd w:val="clear" w:color="auto" w:fill="FFFFFF"/>
            <w:tcMar>
              <w:top w:w="40" w:type="dxa"/>
              <w:left w:w="0" w:type="dxa"/>
              <w:bottom w:w="40" w:type="dxa"/>
              <w:right w:w="20" w:type="dxa"/>
            </w:tcMar>
            <w:vAlign w:val="center"/>
          </w:tcPr>
          <w:p w14:paraId="7E78590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90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0B" w14:textId="77777777" w:rsidR="00A82082" w:rsidRDefault="00E946F9">
            <w:pPr>
              <w:jc w:val="right"/>
              <w:textAlignment w:val="center"/>
            </w:pPr>
            <w:r>
              <w:rPr>
                <w:rFonts w:ascii="Times New Roman" w:eastAsia="宋体" w:hAnsi="Times New Roman"/>
                <w:color w:val="000000"/>
                <w:sz w:val="16"/>
                <w:szCs w:val="16"/>
              </w:rPr>
              <w:t>80,126 </w:t>
            </w:r>
          </w:p>
        </w:tc>
        <w:tc>
          <w:tcPr>
            <w:tcW w:w="0" w:type="auto"/>
            <w:shd w:val="clear" w:color="auto" w:fill="FFFFFF"/>
            <w:tcMar>
              <w:top w:w="40" w:type="dxa"/>
              <w:left w:w="0" w:type="dxa"/>
              <w:bottom w:w="40" w:type="dxa"/>
              <w:right w:w="20" w:type="dxa"/>
            </w:tcMar>
            <w:vAlign w:val="center"/>
          </w:tcPr>
          <w:p w14:paraId="7E78590C" w14:textId="77777777" w:rsidR="00A82082" w:rsidRDefault="00A82082">
            <w:pPr>
              <w:jc w:val="right"/>
              <w:rPr>
                <w:rFonts w:ascii="宋体"/>
              </w:rPr>
            </w:pPr>
          </w:p>
        </w:tc>
      </w:tr>
      <w:tr w:rsidR="00A82082" w14:paraId="7E785918" w14:textId="77777777">
        <w:tc>
          <w:tcPr>
            <w:tcW w:w="0" w:type="auto"/>
            <w:gridSpan w:val="3"/>
            <w:shd w:val="clear" w:color="auto" w:fill="CCEEFF"/>
            <w:tcMar>
              <w:top w:w="40" w:type="dxa"/>
              <w:left w:w="20" w:type="dxa"/>
              <w:bottom w:w="40" w:type="dxa"/>
              <w:right w:w="20" w:type="dxa"/>
            </w:tcMar>
            <w:vAlign w:val="center"/>
          </w:tcPr>
          <w:p w14:paraId="7E78590E" w14:textId="77777777" w:rsidR="00A82082" w:rsidRDefault="00E946F9">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7E78590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910" w14:textId="77777777" w:rsidR="00A82082" w:rsidRDefault="00E946F9">
            <w:pPr>
              <w:jc w:val="right"/>
              <w:textAlignment w:val="center"/>
            </w:pPr>
            <w:r>
              <w:rPr>
                <w:rFonts w:ascii="Times New Roman" w:eastAsia="宋体" w:hAnsi="Times New Roman"/>
                <w:color w:val="000000"/>
                <w:sz w:val="16"/>
                <w:szCs w:val="16"/>
              </w:rPr>
              <w:t>54,152 </w:t>
            </w:r>
          </w:p>
        </w:tc>
        <w:tc>
          <w:tcPr>
            <w:tcW w:w="0" w:type="auto"/>
            <w:shd w:val="clear" w:color="auto" w:fill="CCEEFF"/>
            <w:tcMar>
              <w:top w:w="40" w:type="dxa"/>
              <w:left w:w="0" w:type="dxa"/>
              <w:bottom w:w="40" w:type="dxa"/>
              <w:right w:w="20" w:type="dxa"/>
            </w:tcMar>
            <w:vAlign w:val="center"/>
          </w:tcPr>
          <w:p w14:paraId="7E78591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1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913" w14:textId="77777777" w:rsidR="00A82082" w:rsidRDefault="00E946F9">
            <w:pPr>
              <w:jc w:val="right"/>
              <w:textAlignment w:val="center"/>
            </w:pPr>
            <w:r>
              <w:rPr>
                <w:rFonts w:ascii="Times New Roman" w:eastAsia="宋体" w:hAnsi="Times New Roman"/>
                <w:color w:val="000000"/>
                <w:sz w:val="16"/>
                <w:szCs w:val="16"/>
              </w:rPr>
              <w:t>49,750 </w:t>
            </w:r>
          </w:p>
        </w:tc>
        <w:tc>
          <w:tcPr>
            <w:tcW w:w="0" w:type="auto"/>
            <w:shd w:val="clear" w:color="auto" w:fill="CCEEFF"/>
            <w:tcMar>
              <w:top w:w="40" w:type="dxa"/>
              <w:left w:w="0" w:type="dxa"/>
              <w:bottom w:w="40" w:type="dxa"/>
              <w:right w:w="20" w:type="dxa"/>
            </w:tcMar>
            <w:vAlign w:val="center"/>
          </w:tcPr>
          <w:p w14:paraId="7E78591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1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916" w14:textId="77777777" w:rsidR="00A82082" w:rsidRDefault="00E946F9">
            <w:pPr>
              <w:jc w:val="right"/>
              <w:textAlignment w:val="center"/>
            </w:pPr>
            <w:r>
              <w:rPr>
                <w:rFonts w:ascii="Times New Roman" w:eastAsia="宋体" w:hAnsi="Times New Roman"/>
                <w:color w:val="000000"/>
                <w:sz w:val="16"/>
                <w:szCs w:val="16"/>
              </w:rPr>
              <w:t>49,729 </w:t>
            </w:r>
          </w:p>
        </w:tc>
        <w:tc>
          <w:tcPr>
            <w:tcW w:w="0" w:type="auto"/>
            <w:shd w:val="clear" w:color="auto" w:fill="CCEEFF"/>
            <w:tcMar>
              <w:top w:w="40" w:type="dxa"/>
              <w:left w:w="0" w:type="dxa"/>
              <w:bottom w:w="40" w:type="dxa"/>
              <w:right w:w="20" w:type="dxa"/>
            </w:tcMar>
            <w:vAlign w:val="center"/>
          </w:tcPr>
          <w:p w14:paraId="7E785917" w14:textId="77777777" w:rsidR="00A82082" w:rsidRDefault="00A82082">
            <w:pPr>
              <w:jc w:val="right"/>
              <w:rPr>
                <w:rFonts w:ascii="宋体"/>
              </w:rPr>
            </w:pPr>
          </w:p>
        </w:tc>
      </w:tr>
      <w:tr w:rsidR="00A82082" w14:paraId="7E785923" w14:textId="77777777">
        <w:tc>
          <w:tcPr>
            <w:tcW w:w="0" w:type="auto"/>
            <w:gridSpan w:val="3"/>
            <w:shd w:val="clear" w:color="auto" w:fill="FFFFFF"/>
            <w:tcMar>
              <w:top w:w="40" w:type="dxa"/>
              <w:left w:w="20" w:type="dxa"/>
              <w:bottom w:w="40" w:type="dxa"/>
              <w:right w:w="20" w:type="dxa"/>
            </w:tcMar>
            <w:vAlign w:val="center"/>
          </w:tcPr>
          <w:p w14:paraId="7E785919" w14:textId="77777777" w:rsidR="00A82082" w:rsidRDefault="00E946F9">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7E78591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1B" w14:textId="77777777" w:rsidR="00A82082" w:rsidRDefault="00E946F9">
            <w:pPr>
              <w:jc w:val="right"/>
              <w:textAlignment w:val="center"/>
            </w:pPr>
            <w:r>
              <w:rPr>
                <w:rFonts w:ascii="Times New Roman" w:eastAsia="宋体" w:hAnsi="Times New Roman"/>
                <w:color w:val="000000"/>
                <w:sz w:val="16"/>
                <w:szCs w:val="16"/>
              </w:rPr>
              <w:t>24,995 </w:t>
            </w:r>
          </w:p>
        </w:tc>
        <w:tc>
          <w:tcPr>
            <w:tcW w:w="0" w:type="auto"/>
            <w:shd w:val="clear" w:color="auto" w:fill="FFFFFF"/>
            <w:tcMar>
              <w:top w:w="40" w:type="dxa"/>
              <w:left w:w="0" w:type="dxa"/>
              <w:bottom w:w="40" w:type="dxa"/>
              <w:right w:w="20" w:type="dxa"/>
            </w:tcMar>
            <w:vAlign w:val="center"/>
          </w:tcPr>
          <w:p w14:paraId="7E78591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91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1E" w14:textId="77777777" w:rsidR="00A82082" w:rsidRDefault="00E946F9">
            <w:pPr>
              <w:jc w:val="right"/>
              <w:textAlignment w:val="center"/>
            </w:pPr>
            <w:r>
              <w:rPr>
                <w:rFonts w:ascii="Times New Roman" w:eastAsia="宋体" w:hAnsi="Times New Roman"/>
                <w:color w:val="000000"/>
                <w:sz w:val="16"/>
                <w:szCs w:val="16"/>
              </w:rPr>
              <w:t>20,973 </w:t>
            </w:r>
          </w:p>
        </w:tc>
        <w:tc>
          <w:tcPr>
            <w:tcW w:w="0" w:type="auto"/>
            <w:shd w:val="clear" w:color="auto" w:fill="FFFFFF"/>
            <w:tcMar>
              <w:top w:w="40" w:type="dxa"/>
              <w:left w:w="0" w:type="dxa"/>
              <w:bottom w:w="40" w:type="dxa"/>
              <w:right w:w="20" w:type="dxa"/>
            </w:tcMar>
            <w:vAlign w:val="center"/>
          </w:tcPr>
          <w:p w14:paraId="7E78591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92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21" w14:textId="77777777" w:rsidR="00A82082" w:rsidRDefault="00E946F9">
            <w:pPr>
              <w:jc w:val="right"/>
              <w:textAlignment w:val="center"/>
            </w:pPr>
            <w:r>
              <w:rPr>
                <w:rFonts w:ascii="Times New Roman" w:eastAsia="宋体" w:hAnsi="Times New Roman"/>
                <w:color w:val="000000"/>
                <w:sz w:val="16"/>
                <w:szCs w:val="16"/>
              </w:rPr>
              <w:t>22,795 </w:t>
            </w:r>
          </w:p>
        </w:tc>
        <w:tc>
          <w:tcPr>
            <w:tcW w:w="0" w:type="auto"/>
            <w:shd w:val="clear" w:color="auto" w:fill="FFFFFF"/>
            <w:tcMar>
              <w:top w:w="40" w:type="dxa"/>
              <w:left w:w="0" w:type="dxa"/>
              <w:bottom w:w="40" w:type="dxa"/>
              <w:right w:w="20" w:type="dxa"/>
            </w:tcMar>
            <w:vAlign w:val="center"/>
          </w:tcPr>
          <w:p w14:paraId="7E785922" w14:textId="77777777" w:rsidR="00A82082" w:rsidRDefault="00A82082">
            <w:pPr>
              <w:jc w:val="right"/>
              <w:rPr>
                <w:rFonts w:ascii="宋体"/>
              </w:rPr>
            </w:pPr>
          </w:p>
        </w:tc>
      </w:tr>
    </w:tbl>
    <w:p w14:paraId="7E785924" w14:textId="77777777" w:rsidR="00A82082" w:rsidRDefault="00E946F9">
      <w:r>
        <w:rPr>
          <w:rFonts w:ascii="Times New Roman" w:eastAsia="宋体" w:hAnsi="Times New Roman"/>
          <w:color w:val="000000"/>
          <w:sz w:val="20"/>
          <w:szCs w:val="20"/>
        </w:rPr>
        <w:t> </w:t>
      </w:r>
    </w:p>
    <w:p w14:paraId="7E785925" w14:textId="77777777" w:rsidR="00A82082" w:rsidRDefault="00E946F9">
      <w:pPr>
        <w:ind w:hanging="180"/>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w:t>
      </w:r>
      <w:r>
        <w:rPr>
          <w:rFonts w:ascii="Times New Roman" w:eastAsia="宋体" w:hAnsi="Times New Roman"/>
          <w:color w:val="000000"/>
          <w:sz w:val="16"/>
          <w:szCs w:val="16"/>
        </w:rPr>
        <w:t xml:space="preserve">average is based on the addition of the account balance at the end of the current period to the account balance at the end of the corresponding prior period and dividing by 2. Average total assets as used in ROA includes the average impact of the adoption </w:t>
      </w:r>
      <w:r>
        <w:rPr>
          <w:rFonts w:ascii="Times New Roman" w:eastAsia="宋体" w:hAnsi="Times New Roman"/>
          <w:color w:val="000000"/>
          <w:sz w:val="16"/>
          <w:szCs w:val="16"/>
        </w:rPr>
        <w:t>of ASU 2016-02.</w:t>
      </w:r>
      <w:r>
        <w:rPr>
          <w:rFonts w:ascii="Times New Roman" w:eastAsia="宋体" w:hAnsi="Times New Roman"/>
          <w:color w:val="000000"/>
          <w:sz w:val="10"/>
          <w:szCs w:val="10"/>
        </w:rPr>
        <w:t xml:space="preserve"> </w:t>
      </w:r>
    </w:p>
    <w:p w14:paraId="7E785926" w14:textId="77777777" w:rsidR="00A82082" w:rsidRDefault="00A82082">
      <w:pPr>
        <w:ind w:hanging="360"/>
      </w:pPr>
    </w:p>
    <w:p w14:paraId="7E785927" w14:textId="77777777" w:rsidR="00A82082" w:rsidRDefault="00E946F9">
      <w:pPr>
        <w:ind w:hanging="180"/>
      </w:pPr>
      <w:r>
        <w:rPr>
          <w:rFonts w:ascii="Times New Roman" w:eastAsia="宋体" w:hAnsi="Times New Roman"/>
          <w:color w:val="000000"/>
          <w:sz w:val="10"/>
          <w:szCs w:val="10"/>
        </w:rPr>
        <w:t>(2)</w:t>
      </w:r>
      <w:r>
        <w:rPr>
          <w:rFonts w:ascii="Times New Roman" w:eastAsia="宋体" w:hAnsi="Times New Roman"/>
          <w:color w:val="000000"/>
          <w:sz w:val="16"/>
          <w:szCs w:val="16"/>
        </w:rPr>
        <w:t xml:space="preserve"> For the twelve months ended October 31, 2019, as a result of adopting ASU 2016-02, average total assets is based on the average of total assets without leased assets, net plus leased assets, net as of October 31, 2019. Average accumul</w:t>
      </w:r>
      <w:r>
        <w:rPr>
          <w:rFonts w:ascii="Times New Roman" w:eastAsia="宋体" w:hAnsi="Times New Roman"/>
          <w:color w:val="000000"/>
          <w:sz w:val="16"/>
          <w:szCs w:val="16"/>
        </w:rPr>
        <w:t xml:space="preserve">ated depreciation and amortization is based on the average of accumulated depreciation and amortization, without leased assets plus accumulated amortization on leased assets as of October 31, 2019. </w:t>
      </w:r>
    </w:p>
    <w:p w14:paraId="7E785928" w14:textId="77777777" w:rsidR="00A82082" w:rsidRDefault="00A82082">
      <w:pPr>
        <w:ind w:hanging="360"/>
      </w:pPr>
    </w:p>
    <w:p w14:paraId="7E785929" w14:textId="77777777" w:rsidR="00A82082" w:rsidRDefault="00E946F9">
      <w:pPr>
        <w:ind w:hanging="360"/>
      </w:pPr>
      <w:r>
        <w:rPr>
          <w:rFonts w:ascii="Times New Roman" w:eastAsia="宋体" w:hAnsi="Times New Roman"/>
          <w:color w:val="000000"/>
          <w:sz w:val="16"/>
          <w:szCs w:val="16"/>
        </w:rPr>
        <w:t xml:space="preserve">NP = Not provided </w:t>
      </w:r>
    </w:p>
    <w:p w14:paraId="7E78592A" w14:textId="77777777" w:rsidR="00A82082" w:rsidRDefault="00A82082">
      <w:pPr>
        <w:ind w:hanging="360"/>
      </w:pPr>
    </w:p>
    <w:p w14:paraId="7E78592B" w14:textId="77777777" w:rsidR="00A82082" w:rsidRDefault="00A82082">
      <w:pPr>
        <w:ind w:hanging="360"/>
      </w:pPr>
    </w:p>
    <w:p w14:paraId="7E78592C" w14:textId="77777777" w:rsidR="00A82082" w:rsidRDefault="00A82082">
      <w:pPr>
        <w:ind w:hanging="360"/>
      </w:pPr>
    </w:p>
    <w:p w14:paraId="7E78592D" w14:textId="77777777" w:rsidR="00A82082" w:rsidRDefault="00E946F9">
      <w:pPr>
        <w:jc w:val="center"/>
      </w:pPr>
      <w:r>
        <w:rPr>
          <w:rFonts w:ascii="Times New Roman" w:eastAsia="宋体" w:hAnsi="Times New Roman"/>
          <w:color w:val="000000"/>
          <w:sz w:val="20"/>
          <w:szCs w:val="20"/>
        </w:rPr>
        <w:t>20</w:t>
      </w:r>
    </w:p>
    <w:p w14:paraId="7E78592E" w14:textId="77777777" w:rsidR="00A82082" w:rsidRDefault="00E946F9">
      <w:r>
        <w:pict w14:anchorId="7E78615C">
          <v:rect id="_x0000_i1044" style="width:415.3pt;height:1.5pt" o:hralign="center" o:hrstd="t" o:hr="t" fillcolor="#a0a0a0" stroked="f"/>
        </w:pict>
      </w:r>
    </w:p>
    <w:p w14:paraId="7E78592F" w14:textId="77777777" w:rsidR="00A82082" w:rsidRDefault="00E946F9">
      <w:hyperlink r:id="rId85" w:anchor="i5c815528a95c4409b9043de534639b9a_7" w:history="1">
        <w:r>
          <w:rPr>
            <w:rStyle w:val="a5"/>
            <w:rFonts w:ascii="Times New Roman" w:eastAsia="宋体" w:hAnsi="Times New Roman"/>
            <w:sz w:val="20"/>
            <w:szCs w:val="20"/>
          </w:rPr>
          <w:t>Table of C</w:t>
        </w:r>
      </w:hyperlink>
      <w:hyperlink r:id="rId86" w:anchor="i5c815528a95c4409b9043de534639b9a_7" w:history="1">
        <w:r>
          <w:rPr>
            <w:rStyle w:val="a5"/>
            <w:rFonts w:ascii="Times New Roman" w:eastAsia="宋体" w:hAnsi="Times New Roman"/>
            <w:sz w:val="20"/>
            <w:szCs w:val="20"/>
          </w:rPr>
          <w:t>ontents</w:t>
        </w:r>
      </w:hyperlink>
    </w:p>
    <w:p w14:paraId="7E785930" w14:textId="77777777" w:rsidR="00A82082" w:rsidRDefault="00E946F9">
      <w:r>
        <w:rPr>
          <w:rFonts w:ascii="Times New Roman" w:eastAsia="宋体" w:hAnsi="Times New Roman"/>
          <w:i/>
          <w:iCs/>
          <w:color w:val="000000"/>
          <w:sz w:val="20"/>
          <w:szCs w:val="20"/>
        </w:rPr>
        <w:t>Free Cash Flow</w:t>
      </w:r>
    </w:p>
    <w:p w14:paraId="7E785931" w14:textId="77777777" w:rsidR="00A82082" w:rsidRDefault="00E946F9">
      <w:pPr>
        <w:spacing w:before="100"/>
      </w:pPr>
      <w:r>
        <w:rPr>
          <w:rFonts w:ascii="Times New Roman" w:eastAsia="宋体" w:hAnsi="Times New Roman"/>
          <w:color w:val="000000"/>
          <w:sz w:val="20"/>
          <w:szCs w:val="20"/>
        </w:rPr>
        <w:t>Free cash flow is considered a non-GAAP financial measure.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Management believes, h</w:t>
      </w:r>
      <w:r>
        <w:rPr>
          <w:rFonts w:ascii="Times New Roman" w:eastAsia="宋体" w:hAnsi="Times New Roman"/>
          <w:color w:val="000000"/>
          <w:sz w:val="20"/>
          <w:szCs w:val="20"/>
        </w:rPr>
        <w:t>owever, that free cash flow, which measures our ability to generate cash from our business operations, is an important financial measure for use in evaluating the Company's financial performance. Free cash flow should be considered in addition to, rather t</w:t>
      </w:r>
      <w:r>
        <w:rPr>
          <w:rFonts w:ascii="Times New Roman" w:eastAsia="宋体" w:hAnsi="Times New Roman"/>
          <w:color w:val="000000"/>
          <w:sz w:val="20"/>
          <w:szCs w:val="20"/>
        </w:rPr>
        <w:t xml:space="preserve">han as a substitute for, consolidated net income as a measure of our performance and net cash provided by operating activities as a measure of our liquidity. See </w:t>
      </w:r>
      <w:hyperlink r:id="rId87" w:anchor="i5c815528a95c4409b9043de534639b9a_112"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financing activities</w:t>
      </w:r>
      <w:r>
        <w:rPr>
          <w:rFonts w:ascii="Times New Roman" w:eastAsia="宋体" w:hAnsi="Times New Roman"/>
          <w:color w:val="000000"/>
          <w:sz w:val="20"/>
          <w:szCs w:val="20"/>
        </w:rPr>
        <w:t>.</w:t>
      </w:r>
    </w:p>
    <w:p w14:paraId="7E785932" w14:textId="77777777" w:rsidR="00A82082" w:rsidRDefault="00E946F9">
      <w:pPr>
        <w:spacing w:before="100"/>
      </w:pPr>
      <w:r>
        <w:rPr>
          <w:rFonts w:ascii="Times New Roman" w:eastAsia="宋体" w:hAnsi="Times New Roman"/>
          <w:color w:val="000000"/>
          <w:sz w:val="20"/>
          <w:szCs w:val="20"/>
        </w:rPr>
        <w:t>We define free cash flow as net cash provided by operating activities in a period minus payments for property and equipment made in that period. We had net cash provided by operating activities of $22.9 billion for the nine months ended October 31, 2020,</w:t>
      </w:r>
      <w:r>
        <w:rPr>
          <w:rFonts w:ascii="Times New Roman" w:eastAsia="宋体" w:hAnsi="Times New Roman"/>
          <w:color w:val="000000"/>
          <w:sz w:val="20"/>
          <w:szCs w:val="20"/>
        </w:rPr>
        <w:t xml:space="preserve"> which increased when compared to $14.5 billion for the nine months ended October 31, 2019 primarily due to the impact of the global health crisis which accelerated inventory sell-through, as well as the timing and payment of inventory purchases, increment</w:t>
      </w:r>
      <w:r>
        <w:rPr>
          <w:rFonts w:ascii="Times New Roman" w:eastAsia="宋体" w:hAnsi="Times New Roman"/>
          <w:color w:val="000000"/>
          <w:sz w:val="20"/>
          <w:szCs w:val="20"/>
        </w:rPr>
        <w:t>al COVID-19 related expenses and certain benefit payments. We generated free cash flow of $16.4 billion for the nine months ended October 31, 2020, which increased when compared to $6.8 billion for the nine months ended October 31, 2019 due to the same rea</w:t>
      </w:r>
      <w:r>
        <w:rPr>
          <w:rFonts w:ascii="Times New Roman" w:eastAsia="宋体" w:hAnsi="Times New Roman"/>
          <w:color w:val="000000"/>
          <w:sz w:val="20"/>
          <w:szCs w:val="20"/>
        </w:rPr>
        <w:t>sons as the increase in net cash provided by operating activities, as well as $1.3 billion in decreased capital expenditures due to impacts from the COVID-19 pandemic which impacted the timing of store remodeling and front-end technology transformation act</w:t>
      </w:r>
      <w:r>
        <w:rPr>
          <w:rFonts w:ascii="Times New Roman" w:eastAsia="宋体" w:hAnsi="Times New Roman"/>
          <w:color w:val="000000"/>
          <w:sz w:val="20"/>
          <w:szCs w:val="20"/>
        </w:rPr>
        <w:t xml:space="preserve">ivities in Walmart U.S. </w:t>
      </w:r>
    </w:p>
    <w:p w14:paraId="7E785933" w14:textId="77777777" w:rsidR="00A82082" w:rsidRDefault="00E946F9">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due to the fact that the measure does not deduct the payments required for debt service an</w:t>
      </w:r>
      <w:r>
        <w:rPr>
          <w:rFonts w:ascii="Times New Roman" w:eastAsia="宋体" w:hAnsi="Times New Roman"/>
          <w:color w:val="000000"/>
          <w:sz w:val="20"/>
          <w:szCs w:val="20"/>
        </w:rPr>
        <w:t>d other contractual obligations or payments made for business acquisitions. Therefore, we believe it is important to view free cash flow as a measure that provides supplemental information to our Condensed Consolidated Statements of Cash Flows.</w:t>
      </w:r>
    </w:p>
    <w:p w14:paraId="7E785934" w14:textId="77777777" w:rsidR="00A82082" w:rsidRDefault="00E946F9">
      <w:pPr>
        <w:spacing w:before="100"/>
      </w:pPr>
      <w:r>
        <w:rPr>
          <w:rFonts w:ascii="Times New Roman" w:eastAsia="宋体" w:hAnsi="Times New Roman"/>
          <w:color w:val="000000"/>
          <w:sz w:val="20"/>
          <w:szCs w:val="20"/>
        </w:rPr>
        <w:t>Although ot</w:t>
      </w:r>
      <w:r>
        <w:rPr>
          <w:rFonts w:ascii="Times New Roman" w:eastAsia="宋体" w:hAnsi="Times New Roman"/>
          <w:color w:val="000000"/>
          <w:sz w:val="20"/>
          <w:szCs w:val="20"/>
        </w:rPr>
        <w:t>her companies report their free cash flow, numerous methods may exist for calculating a company's free cash flow. As a result, the method used by management to calculate our free cash flow may differ from the methods used by other companies to calculate th</w:t>
      </w:r>
      <w:r>
        <w:rPr>
          <w:rFonts w:ascii="Times New Roman" w:eastAsia="宋体" w:hAnsi="Times New Roman"/>
          <w:color w:val="000000"/>
          <w:sz w:val="20"/>
          <w:szCs w:val="20"/>
        </w:rPr>
        <w:t>eir free cash flow.</w:t>
      </w:r>
    </w:p>
    <w:p w14:paraId="7E785935" w14:textId="77777777" w:rsidR="00A82082" w:rsidRDefault="00E946F9">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which we believe to be the GAAP financial measure most directly comparable to free cash flow,</w:t>
      </w:r>
      <w:r>
        <w:rPr>
          <w:rFonts w:ascii="Times New Roman" w:eastAsia="宋体" w:hAnsi="Times New Roman"/>
          <w:color w:val="000000"/>
          <w:sz w:val="20"/>
          <w:szCs w:val="20"/>
        </w:rPr>
        <w:t xml:space="preserve">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493"/>
        <w:gridCol w:w="37"/>
        <w:gridCol w:w="36"/>
        <w:gridCol w:w="36"/>
        <w:gridCol w:w="36"/>
        <w:gridCol w:w="36"/>
        <w:gridCol w:w="36"/>
        <w:gridCol w:w="200"/>
        <w:gridCol w:w="200"/>
        <w:gridCol w:w="200"/>
        <w:gridCol w:w="36"/>
        <w:gridCol w:w="36"/>
        <w:gridCol w:w="36"/>
        <w:gridCol w:w="100"/>
        <w:gridCol w:w="732"/>
        <w:gridCol w:w="36"/>
        <w:gridCol w:w="36"/>
        <w:gridCol w:w="36"/>
        <w:gridCol w:w="36"/>
        <w:gridCol w:w="100"/>
        <w:gridCol w:w="756"/>
        <w:gridCol w:w="36"/>
      </w:tblGrid>
      <w:tr w:rsidR="00A82082" w14:paraId="7E78594B" w14:textId="77777777">
        <w:trPr>
          <w:jc w:val="center"/>
        </w:trPr>
        <w:tc>
          <w:tcPr>
            <w:tcW w:w="50" w:type="pct"/>
            <w:shd w:val="clear" w:color="auto" w:fill="auto"/>
          </w:tcPr>
          <w:p w14:paraId="7E785936" w14:textId="77777777" w:rsidR="00A82082" w:rsidRDefault="00A82082">
            <w:pPr>
              <w:rPr>
                <w:rFonts w:ascii="宋体"/>
              </w:rPr>
            </w:pPr>
          </w:p>
        </w:tc>
        <w:tc>
          <w:tcPr>
            <w:tcW w:w="3671" w:type="pct"/>
            <w:shd w:val="clear" w:color="auto" w:fill="auto"/>
          </w:tcPr>
          <w:p w14:paraId="7E785937" w14:textId="77777777" w:rsidR="00A82082" w:rsidRDefault="00A82082">
            <w:pPr>
              <w:rPr>
                <w:rFonts w:ascii="宋体"/>
              </w:rPr>
            </w:pPr>
          </w:p>
        </w:tc>
        <w:tc>
          <w:tcPr>
            <w:tcW w:w="5" w:type="pct"/>
            <w:shd w:val="clear" w:color="auto" w:fill="auto"/>
          </w:tcPr>
          <w:p w14:paraId="7E785938" w14:textId="77777777" w:rsidR="00A82082" w:rsidRDefault="00A82082">
            <w:pPr>
              <w:rPr>
                <w:rFonts w:ascii="宋体"/>
              </w:rPr>
            </w:pPr>
          </w:p>
        </w:tc>
        <w:tc>
          <w:tcPr>
            <w:tcW w:w="5" w:type="pct"/>
            <w:shd w:val="clear" w:color="auto" w:fill="auto"/>
          </w:tcPr>
          <w:p w14:paraId="7E785939" w14:textId="77777777" w:rsidR="00A82082" w:rsidRDefault="00A82082">
            <w:pPr>
              <w:rPr>
                <w:rFonts w:ascii="宋体"/>
              </w:rPr>
            </w:pPr>
          </w:p>
        </w:tc>
        <w:tc>
          <w:tcPr>
            <w:tcW w:w="26" w:type="pct"/>
            <w:shd w:val="clear" w:color="auto" w:fill="auto"/>
          </w:tcPr>
          <w:p w14:paraId="7E78593A" w14:textId="77777777" w:rsidR="00A82082" w:rsidRDefault="00A82082">
            <w:pPr>
              <w:rPr>
                <w:rFonts w:ascii="宋体"/>
              </w:rPr>
            </w:pPr>
          </w:p>
        </w:tc>
        <w:tc>
          <w:tcPr>
            <w:tcW w:w="5" w:type="pct"/>
            <w:shd w:val="clear" w:color="auto" w:fill="auto"/>
          </w:tcPr>
          <w:p w14:paraId="7E78593B" w14:textId="77777777" w:rsidR="00A82082" w:rsidRDefault="00A82082">
            <w:pPr>
              <w:rPr>
                <w:rFonts w:ascii="宋体"/>
              </w:rPr>
            </w:pPr>
          </w:p>
        </w:tc>
        <w:tc>
          <w:tcPr>
            <w:tcW w:w="0" w:type="auto"/>
            <w:shd w:val="clear" w:color="auto" w:fill="auto"/>
          </w:tcPr>
          <w:p w14:paraId="7E78593C" w14:textId="77777777" w:rsidR="00A82082" w:rsidRDefault="00A82082">
            <w:pPr>
              <w:rPr>
                <w:rFonts w:ascii="宋体"/>
                <w:vanish/>
              </w:rPr>
            </w:pPr>
          </w:p>
        </w:tc>
        <w:tc>
          <w:tcPr>
            <w:tcW w:w="0" w:type="auto"/>
            <w:shd w:val="clear" w:color="auto" w:fill="auto"/>
          </w:tcPr>
          <w:p w14:paraId="7E78593D" w14:textId="77777777" w:rsidR="00A82082" w:rsidRDefault="00A82082">
            <w:pPr>
              <w:rPr>
                <w:rFonts w:ascii="宋体"/>
                <w:vanish/>
              </w:rPr>
            </w:pPr>
          </w:p>
        </w:tc>
        <w:tc>
          <w:tcPr>
            <w:tcW w:w="0" w:type="auto"/>
            <w:shd w:val="clear" w:color="auto" w:fill="auto"/>
          </w:tcPr>
          <w:p w14:paraId="7E78593E" w14:textId="77777777" w:rsidR="00A82082" w:rsidRDefault="00A82082">
            <w:pPr>
              <w:rPr>
                <w:rFonts w:ascii="宋体"/>
                <w:vanish/>
              </w:rPr>
            </w:pPr>
          </w:p>
        </w:tc>
        <w:tc>
          <w:tcPr>
            <w:tcW w:w="0" w:type="auto"/>
            <w:shd w:val="clear" w:color="auto" w:fill="auto"/>
          </w:tcPr>
          <w:p w14:paraId="7E78593F" w14:textId="77777777" w:rsidR="00A82082" w:rsidRDefault="00A82082">
            <w:pPr>
              <w:rPr>
                <w:rFonts w:ascii="宋体"/>
                <w:vanish/>
              </w:rPr>
            </w:pPr>
          </w:p>
        </w:tc>
        <w:tc>
          <w:tcPr>
            <w:tcW w:w="0" w:type="auto"/>
            <w:shd w:val="clear" w:color="auto" w:fill="auto"/>
          </w:tcPr>
          <w:p w14:paraId="7E785940" w14:textId="77777777" w:rsidR="00A82082" w:rsidRDefault="00A82082">
            <w:pPr>
              <w:rPr>
                <w:rFonts w:ascii="宋体"/>
                <w:vanish/>
              </w:rPr>
            </w:pPr>
          </w:p>
        </w:tc>
        <w:tc>
          <w:tcPr>
            <w:tcW w:w="0" w:type="auto"/>
            <w:gridSpan w:val="3"/>
            <w:shd w:val="clear" w:color="auto" w:fill="auto"/>
          </w:tcPr>
          <w:p w14:paraId="7E785941" w14:textId="77777777" w:rsidR="00A82082" w:rsidRDefault="00A82082">
            <w:pPr>
              <w:rPr>
                <w:rFonts w:ascii="宋体"/>
                <w:vanish/>
              </w:rPr>
            </w:pPr>
          </w:p>
        </w:tc>
        <w:tc>
          <w:tcPr>
            <w:tcW w:w="50" w:type="pct"/>
            <w:shd w:val="clear" w:color="auto" w:fill="auto"/>
          </w:tcPr>
          <w:p w14:paraId="7E785942" w14:textId="77777777" w:rsidR="00A82082" w:rsidRDefault="00A82082">
            <w:pPr>
              <w:rPr>
                <w:rFonts w:ascii="宋体"/>
              </w:rPr>
            </w:pPr>
          </w:p>
        </w:tc>
        <w:tc>
          <w:tcPr>
            <w:tcW w:w="537" w:type="pct"/>
            <w:shd w:val="clear" w:color="auto" w:fill="auto"/>
          </w:tcPr>
          <w:p w14:paraId="7E785943" w14:textId="77777777" w:rsidR="00A82082" w:rsidRDefault="00A82082">
            <w:pPr>
              <w:rPr>
                <w:rFonts w:ascii="宋体"/>
              </w:rPr>
            </w:pPr>
          </w:p>
        </w:tc>
        <w:tc>
          <w:tcPr>
            <w:tcW w:w="5" w:type="pct"/>
            <w:shd w:val="clear" w:color="auto" w:fill="auto"/>
          </w:tcPr>
          <w:p w14:paraId="7E785944" w14:textId="77777777" w:rsidR="00A82082" w:rsidRDefault="00A82082">
            <w:pPr>
              <w:rPr>
                <w:rFonts w:ascii="宋体"/>
              </w:rPr>
            </w:pPr>
          </w:p>
        </w:tc>
        <w:tc>
          <w:tcPr>
            <w:tcW w:w="5" w:type="pct"/>
            <w:shd w:val="clear" w:color="auto" w:fill="auto"/>
          </w:tcPr>
          <w:p w14:paraId="7E785945" w14:textId="77777777" w:rsidR="00A82082" w:rsidRDefault="00A82082">
            <w:pPr>
              <w:rPr>
                <w:rFonts w:ascii="宋体"/>
              </w:rPr>
            </w:pPr>
          </w:p>
        </w:tc>
        <w:tc>
          <w:tcPr>
            <w:tcW w:w="41" w:type="pct"/>
            <w:shd w:val="clear" w:color="auto" w:fill="auto"/>
          </w:tcPr>
          <w:p w14:paraId="7E785946" w14:textId="77777777" w:rsidR="00A82082" w:rsidRDefault="00A82082">
            <w:pPr>
              <w:rPr>
                <w:rFonts w:ascii="宋体"/>
              </w:rPr>
            </w:pPr>
          </w:p>
        </w:tc>
        <w:tc>
          <w:tcPr>
            <w:tcW w:w="5" w:type="pct"/>
            <w:shd w:val="clear" w:color="auto" w:fill="auto"/>
          </w:tcPr>
          <w:p w14:paraId="7E785947" w14:textId="77777777" w:rsidR="00A82082" w:rsidRDefault="00A82082">
            <w:pPr>
              <w:rPr>
                <w:rFonts w:ascii="宋体"/>
              </w:rPr>
            </w:pPr>
          </w:p>
        </w:tc>
        <w:tc>
          <w:tcPr>
            <w:tcW w:w="50" w:type="pct"/>
            <w:shd w:val="clear" w:color="auto" w:fill="auto"/>
          </w:tcPr>
          <w:p w14:paraId="7E785948" w14:textId="77777777" w:rsidR="00A82082" w:rsidRDefault="00A82082">
            <w:pPr>
              <w:rPr>
                <w:rFonts w:ascii="宋体"/>
              </w:rPr>
            </w:pPr>
          </w:p>
        </w:tc>
        <w:tc>
          <w:tcPr>
            <w:tcW w:w="538" w:type="pct"/>
            <w:shd w:val="clear" w:color="auto" w:fill="auto"/>
          </w:tcPr>
          <w:p w14:paraId="7E785949" w14:textId="77777777" w:rsidR="00A82082" w:rsidRDefault="00A82082">
            <w:pPr>
              <w:rPr>
                <w:rFonts w:ascii="宋体"/>
              </w:rPr>
            </w:pPr>
          </w:p>
        </w:tc>
        <w:tc>
          <w:tcPr>
            <w:tcW w:w="5" w:type="pct"/>
            <w:shd w:val="clear" w:color="auto" w:fill="auto"/>
          </w:tcPr>
          <w:p w14:paraId="7E78594A" w14:textId="77777777" w:rsidR="00A82082" w:rsidRDefault="00A82082">
            <w:pPr>
              <w:rPr>
                <w:rFonts w:ascii="宋体"/>
              </w:rPr>
            </w:pPr>
          </w:p>
        </w:tc>
      </w:tr>
      <w:tr w:rsidR="00A82082" w14:paraId="7E78595D" w14:textId="77777777">
        <w:trPr>
          <w:jc w:val="center"/>
        </w:trPr>
        <w:tc>
          <w:tcPr>
            <w:tcW w:w="0" w:type="auto"/>
            <w:gridSpan w:val="3"/>
            <w:shd w:val="clear" w:color="auto" w:fill="auto"/>
            <w:tcMar>
              <w:top w:w="40" w:type="dxa"/>
              <w:left w:w="20" w:type="dxa"/>
              <w:bottom w:w="40" w:type="dxa"/>
              <w:right w:w="20" w:type="dxa"/>
            </w:tcMar>
            <w:vAlign w:val="bottom"/>
          </w:tcPr>
          <w:p w14:paraId="7E78594C"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94D" w14:textId="77777777" w:rsidR="00A82082" w:rsidRDefault="00A82082">
            <w:pPr>
              <w:rPr>
                <w:rFonts w:ascii="宋体"/>
              </w:rPr>
            </w:pPr>
          </w:p>
        </w:tc>
        <w:tc>
          <w:tcPr>
            <w:tcW w:w="0" w:type="auto"/>
            <w:shd w:val="clear" w:color="auto" w:fill="auto"/>
          </w:tcPr>
          <w:p w14:paraId="7E78594E" w14:textId="77777777" w:rsidR="00A82082" w:rsidRDefault="00A82082">
            <w:pPr>
              <w:rPr>
                <w:rFonts w:ascii="宋体"/>
                <w:vanish/>
              </w:rPr>
            </w:pPr>
          </w:p>
        </w:tc>
        <w:tc>
          <w:tcPr>
            <w:tcW w:w="0" w:type="auto"/>
            <w:shd w:val="clear" w:color="auto" w:fill="auto"/>
          </w:tcPr>
          <w:p w14:paraId="7E78594F" w14:textId="77777777" w:rsidR="00A82082" w:rsidRDefault="00A82082">
            <w:pPr>
              <w:rPr>
                <w:rFonts w:ascii="宋体"/>
                <w:vanish/>
              </w:rPr>
            </w:pPr>
          </w:p>
        </w:tc>
        <w:tc>
          <w:tcPr>
            <w:tcW w:w="0" w:type="auto"/>
            <w:gridSpan w:val="3"/>
            <w:shd w:val="clear" w:color="auto" w:fill="auto"/>
            <w:tcMar>
              <w:top w:w="40" w:type="dxa"/>
              <w:left w:w="20" w:type="dxa"/>
              <w:bottom w:w="40" w:type="dxa"/>
              <w:right w:w="20" w:type="dxa"/>
            </w:tcMar>
            <w:vAlign w:val="bottom"/>
          </w:tcPr>
          <w:p w14:paraId="7E785950"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951" w14:textId="77777777" w:rsidR="00A82082" w:rsidRDefault="00A82082">
            <w:pPr>
              <w:rPr>
                <w:rFonts w:ascii="宋体"/>
              </w:rPr>
            </w:pPr>
          </w:p>
        </w:tc>
        <w:tc>
          <w:tcPr>
            <w:tcW w:w="0" w:type="auto"/>
            <w:shd w:val="clear" w:color="auto" w:fill="auto"/>
          </w:tcPr>
          <w:p w14:paraId="7E785952" w14:textId="77777777" w:rsidR="00A82082" w:rsidRDefault="00A82082">
            <w:pPr>
              <w:rPr>
                <w:rFonts w:ascii="宋体"/>
              </w:rPr>
            </w:pPr>
          </w:p>
        </w:tc>
        <w:tc>
          <w:tcPr>
            <w:tcW w:w="0" w:type="auto"/>
            <w:shd w:val="clear" w:color="auto" w:fill="auto"/>
          </w:tcPr>
          <w:p w14:paraId="7E785953" w14:textId="77777777" w:rsidR="00A82082" w:rsidRDefault="00A82082">
            <w:pPr>
              <w:rPr>
                <w:rFonts w:ascii="宋体"/>
              </w:rPr>
            </w:pPr>
          </w:p>
        </w:tc>
        <w:tc>
          <w:tcPr>
            <w:tcW w:w="0" w:type="auto"/>
            <w:shd w:val="clear" w:color="auto" w:fill="auto"/>
          </w:tcPr>
          <w:p w14:paraId="7E785954" w14:textId="77777777" w:rsidR="00A82082" w:rsidRDefault="00A82082">
            <w:pPr>
              <w:rPr>
                <w:rFonts w:ascii="宋体"/>
              </w:rPr>
            </w:pPr>
          </w:p>
        </w:tc>
        <w:tc>
          <w:tcPr>
            <w:tcW w:w="0" w:type="auto"/>
            <w:shd w:val="clear" w:color="auto" w:fill="auto"/>
          </w:tcPr>
          <w:p w14:paraId="7E785955" w14:textId="77777777" w:rsidR="00A82082" w:rsidRDefault="00A82082">
            <w:pPr>
              <w:rPr>
                <w:rFonts w:ascii="宋体"/>
              </w:rPr>
            </w:pPr>
          </w:p>
        </w:tc>
        <w:tc>
          <w:tcPr>
            <w:tcW w:w="0" w:type="auto"/>
            <w:shd w:val="clear" w:color="auto" w:fill="auto"/>
          </w:tcPr>
          <w:p w14:paraId="7E785956" w14:textId="77777777" w:rsidR="00A82082" w:rsidRDefault="00A82082">
            <w:pPr>
              <w:rPr>
                <w:rFonts w:ascii="宋体"/>
              </w:rPr>
            </w:pPr>
          </w:p>
        </w:tc>
        <w:tc>
          <w:tcPr>
            <w:tcW w:w="0" w:type="auto"/>
            <w:shd w:val="clear" w:color="auto" w:fill="auto"/>
          </w:tcPr>
          <w:p w14:paraId="7E785957" w14:textId="77777777" w:rsidR="00A82082" w:rsidRDefault="00A82082">
            <w:pPr>
              <w:rPr>
                <w:rFonts w:ascii="宋体"/>
              </w:rPr>
            </w:pPr>
          </w:p>
        </w:tc>
        <w:tc>
          <w:tcPr>
            <w:tcW w:w="0" w:type="auto"/>
            <w:shd w:val="clear" w:color="auto" w:fill="auto"/>
          </w:tcPr>
          <w:p w14:paraId="7E785958" w14:textId="77777777" w:rsidR="00A82082" w:rsidRDefault="00A82082">
            <w:pPr>
              <w:rPr>
                <w:rFonts w:ascii="宋体"/>
              </w:rPr>
            </w:pPr>
          </w:p>
        </w:tc>
        <w:tc>
          <w:tcPr>
            <w:tcW w:w="0" w:type="auto"/>
            <w:shd w:val="clear" w:color="auto" w:fill="auto"/>
          </w:tcPr>
          <w:p w14:paraId="7E785959" w14:textId="77777777" w:rsidR="00A82082" w:rsidRDefault="00A82082">
            <w:pPr>
              <w:rPr>
                <w:rFonts w:ascii="宋体"/>
              </w:rPr>
            </w:pPr>
          </w:p>
        </w:tc>
        <w:tc>
          <w:tcPr>
            <w:tcW w:w="0" w:type="auto"/>
            <w:shd w:val="clear" w:color="auto" w:fill="auto"/>
          </w:tcPr>
          <w:p w14:paraId="7E78595A" w14:textId="77777777" w:rsidR="00A82082" w:rsidRDefault="00A82082">
            <w:pPr>
              <w:rPr>
                <w:rFonts w:ascii="宋体"/>
              </w:rPr>
            </w:pPr>
          </w:p>
        </w:tc>
        <w:tc>
          <w:tcPr>
            <w:tcW w:w="0" w:type="auto"/>
            <w:shd w:val="clear" w:color="auto" w:fill="auto"/>
          </w:tcPr>
          <w:p w14:paraId="7E78595B" w14:textId="77777777" w:rsidR="00A82082" w:rsidRDefault="00A82082">
            <w:pPr>
              <w:rPr>
                <w:rFonts w:ascii="宋体"/>
              </w:rPr>
            </w:pPr>
          </w:p>
        </w:tc>
        <w:tc>
          <w:tcPr>
            <w:tcW w:w="0" w:type="auto"/>
            <w:shd w:val="clear" w:color="auto" w:fill="auto"/>
          </w:tcPr>
          <w:p w14:paraId="7E78595C" w14:textId="77777777" w:rsidR="00A82082" w:rsidRDefault="00A82082">
            <w:pPr>
              <w:rPr>
                <w:rFonts w:ascii="宋体"/>
              </w:rPr>
            </w:pPr>
          </w:p>
        </w:tc>
      </w:tr>
      <w:tr w:rsidR="00A82082" w14:paraId="7E785969" w14:textId="77777777">
        <w:trPr>
          <w:jc w:val="center"/>
        </w:trPr>
        <w:tc>
          <w:tcPr>
            <w:tcW w:w="0" w:type="auto"/>
            <w:gridSpan w:val="3"/>
            <w:shd w:val="clear" w:color="auto" w:fill="auto"/>
            <w:tcMar>
              <w:top w:w="40" w:type="dxa"/>
              <w:left w:w="20" w:type="dxa"/>
              <w:bottom w:w="40" w:type="dxa"/>
              <w:right w:w="20" w:type="dxa"/>
            </w:tcMar>
            <w:vAlign w:val="bottom"/>
          </w:tcPr>
          <w:p w14:paraId="7E78595E"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95F" w14:textId="77777777" w:rsidR="00A82082" w:rsidRDefault="00A82082">
            <w:pPr>
              <w:rPr>
                <w:rFonts w:ascii="宋体"/>
              </w:rPr>
            </w:pPr>
          </w:p>
        </w:tc>
        <w:tc>
          <w:tcPr>
            <w:tcW w:w="0" w:type="auto"/>
            <w:shd w:val="clear" w:color="auto" w:fill="auto"/>
          </w:tcPr>
          <w:p w14:paraId="7E785960" w14:textId="77777777" w:rsidR="00A82082" w:rsidRDefault="00A82082">
            <w:pPr>
              <w:rPr>
                <w:rFonts w:ascii="宋体"/>
                <w:vanish/>
              </w:rPr>
            </w:pPr>
          </w:p>
        </w:tc>
        <w:tc>
          <w:tcPr>
            <w:tcW w:w="0" w:type="auto"/>
            <w:shd w:val="clear" w:color="auto" w:fill="auto"/>
          </w:tcPr>
          <w:p w14:paraId="7E785961" w14:textId="77777777" w:rsidR="00A82082" w:rsidRDefault="00A82082">
            <w:pPr>
              <w:rPr>
                <w:rFonts w:ascii="宋体"/>
                <w:vanish/>
              </w:rPr>
            </w:pPr>
          </w:p>
        </w:tc>
        <w:tc>
          <w:tcPr>
            <w:tcW w:w="0" w:type="auto"/>
            <w:shd w:val="clear" w:color="auto" w:fill="auto"/>
          </w:tcPr>
          <w:p w14:paraId="7E785962" w14:textId="77777777" w:rsidR="00A82082" w:rsidRDefault="00A82082">
            <w:pPr>
              <w:rPr>
                <w:rFonts w:ascii="宋体"/>
                <w:vanish/>
              </w:rPr>
            </w:pPr>
          </w:p>
        </w:tc>
        <w:tc>
          <w:tcPr>
            <w:tcW w:w="0" w:type="auto"/>
            <w:shd w:val="clear" w:color="auto" w:fill="auto"/>
          </w:tcPr>
          <w:p w14:paraId="7E785963" w14:textId="77777777" w:rsidR="00A82082" w:rsidRDefault="00A82082">
            <w:pPr>
              <w:rPr>
                <w:rFonts w:ascii="宋体"/>
                <w:vanish/>
              </w:rPr>
            </w:pPr>
          </w:p>
        </w:tc>
        <w:tc>
          <w:tcPr>
            <w:tcW w:w="0" w:type="auto"/>
            <w:shd w:val="clear" w:color="auto" w:fill="auto"/>
          </w:tcPr>
          <w:p w14:paraId="7E785964" w14:textId="77777777" w:rsidR="00A82082" w:rsidRDefault="00A82082">
            <w:pPr>
              <w:rPr>
                <w:rFonts w:ascii="宋体"/>
                <w:vanish/>
              </w:rPr>
            </w:pPr>
          </w:p>
        </w:tc>
        <w:tc>
          <w:tcPr>
            <w:tcW w:w="0" w:type="auto"/>
            <w:gridSpan w:val="3"/>
            <w:shd w:val="clear" w:color="auto" w:fill="auto"/>
          </w:tcPr>
          <w:p w14:paraId="7E785965"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966"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967"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968"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979" w14:textId="77777777">
        <w:trPr>
          <w:jc w:val="center"/>
        </w:trPr>
        <w:tc>
          <w:tcPr>
            <w:tcW w:w="0" w:type="auto"/>
            <w:gridSpan w:val="3"/>
            <w:shd w:val="clear" w:color="auto" w:fill="CCEEFF"/>
            <w:tcMar>
              <w:top w:w="40" w:type="dxa"/>
              <w:left w:w="20" w:type="dxa"/>
              <w:bottom w:w="40" w:type="dxa"/>
              <w:right w:w="20" w:type="dxa"/>
            </w:tcMar>
            <w:vAlign w:val="center"/>
          </w:tcPr>
          <w:p w14:paraId="7E78596A" w14:textId="77777777" w:rsidR="00A82082" w:rsidRDefault="00E946F9">
            <w:pPr>
              <w:textAlignment w:val="center"/>
            </w:pPr>
            <w:r>
              <w:rPr>
                <w:rFonts w:ascii="Times New Roman" w:eastAsia="宋体" w:hAnsi="Times New Roman"/>
                <w:color w:val="000000"/>
                <w:sz w:val="16"/>
                <w:szCs w:val="16"/>
              </w:rPr>
              <w:t xml:space="preserve">Net cash provided by </w:t>
            </w:r>
            <w:r>
              <w:rPr>
                <w:rFonts w:ascii="Times New Roman" w:eastAsia="宋体" w:hAnsi="Times New Roman"/>
                <w:color w:val="000000"/>
                <w:sz w:val="16"/>
                <w:szCs w:val="16"/>
              </w:rPr>
              <w:t>operating activities</w:t>
            </w:r>
          </w:p>
        </w:tc>
        <w:tc>
          <w:tcPr>
            <w:tcW w:w="0" w:type="auto"/>
            <w:gridSpan w:val="3"/>
            <w:shd w:val="clear" w:color="auto" w:fill="CCEEFF"/>
            <w:tcMar>
              <w:top w:w="0" w:type="dxa"/>
              <w:left w:w="20" w:type="dxa"/>
              <w:bottom w:w="0" w:type="dxa"/>
              <w:right w:w="20" w:type="dxa"/>
            </w:tcMar>
          </w:tcPr>
          <w:p w14:paraId="7E78596B" w14:textId="77777777" w:rsidR="00A82082" w:rsidRDefault="00A82082">
            <w:pPr>
              <w:rPr>
                <w:rFonts w:ascii="宋体"/>
              </w:rPr>
            </w:pPr>
          </w:p>
        </w:tc>
        <w:tc>
          <w:tcPr>
            <w:tcW w:w="0" w:type="auto"/>
            <w:shd w:val="clear" w:color="auto" w:fill="auto"/>
          </w:tcPr>
          <w:p w14:paraId="7E78596C" w14:textId="77777777" w:rsidR="00A82082" w:rsidRDefault="00A82082">
            <w:pPr>
              <w:rPr>
                <w:rFonts w:ascii="宋体"/>
                <w:vanish/>
              </w:rPr>
            </w:pPr>
          </w:p>
        </w:tc>
        <w:tc>
          <w:tcPr>
            <w:tcW w:w="0" w:type="auto"/>
            <w:shd w:val="clear" w:color="auto" w:fill="auto"/>
          </w:tcPr>
          <w:p w14:paraId="7E78596D" w14:textId="77777777" w:rsidR="00A82082" w:rsidRDefault="00A82082">
            <w:pPr>
              <w:rPr>
                <w:rFonts w:ascii="宋体"/>
                <w:vanish/>
              </w:rPr>
            </w:pPr>
          </w:p>
        </w:tc>
        <w:tc>
          <w:tcPr>
            <w:tcW w:w="0" w:type="auto"/>
            <w:shd w:val="clear" w:color="auto" w:fill="auto"/>
          </w:tcPr>
          <w:p w14:paraId="7E78596E" w14:textId="77777777" w:rsidR="00A82082" w:rsidRDefault="00A82082">
            <w:pPr>
              <w:rPr>
                <w:rFonts w:ascii="宋体"/>
                <w:vanish/>
              </w:rPr>
            </w:pPr>
          </w:p>
        </w:tc>
        <w:tc>
          <w:tcPr>
            <w:tcW w:w="0" w:type="auto"/>
            <w:shd w:val="clear" w:color="auto" w:fill="auto"/>
          </w:tcPr>
          <w:p w14:paraId="7E78596F" w14:textId="77777777" w:rsidR="00A82082" w:rsidRDefault="00A82082">
            <w:pPr>
              <w:rPr>
                <w:rFonts w:ascii="宋体"/>
                <w:vanish/>
              </w:rPr>
            </w:pPr>
          </w:p>
        </w:tc>
        <w:tc>
          <w:tcPr>
            <w:tcW w:w="0" w:type="auto"/>
            <w:shd w:val="clear" w:color="auto" w:fill="auto"/>
          </w:tcPr>
          <w:p w14:paraId="7E785970" w14:textId="77777777" w:rsidR="00A82082" w:rsidRDefault="00A82082">
            <w:pPr>
              <w:rPr>
                <w:rFonts w:ascii="宋体"/>
                <w:vanish/>
              </w:rPr>
            </w:pPr>
          </w:p>
        </w:tc>
        <w:tc>
          <w:tcPr>
            <w:tcW w:w="0" w:type="auto"/>
            <w:gridSpan w:val="3"/>
            <w:shd w:val="clear" w:color="auto" w:fill="auto"/>
          </w:tcPr>
          <w:p w14:paraId="7E785971"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97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973" w14:textId="77777777" w:rsidR="00A82082" w:rsidRDefault="00E946F9">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97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75"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976"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977" w14:textId="77777777" w:rsidR="00A82082" w:rsidRDefault="00E946F9">
            <w:pPr>
              <w:jc w:val="right"/>
              <w:textAlignment w:val="center"/>
            </w:pPr>
            <w:r>
              <w:rPr>
                <w:rFonts w:ascii="Times New Roman" w:eastAsia="宋体" w:hAnsi="Times New Roman"/>
                <w:color w:val="000000"/>
                <w:sz w:val="16"/>
                <w:szCs w:val="16"/>
              </w:rPr>
              <w:t>14,539 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978" w14:textId="77777777" w:rsidR="00A82082" w:rsidRDefault="00A82082">
            <w:pPr>
              <w:jc w:val="right"/>
              <w:rPr>
                <w:rFonts w:ascii="宋体"/>
              </w:rPr>
            </w:pPr>
          </w:p>
        </w:tc>
      </w:tr>
      <w:tr w:rsidR="00A82082" w14:paraId="7E785987" w14:textId="77777777">
        <w:trPr>
          <w:jc w:val="center"/>
        </w:trPr>
        <w:tc>
          <w:tcPr>
            <w:tcW w:w="0" w:type="auto"/>
            <w:gridSpan w:val="3"/>
            <w:shd w:val="clear" w:color="auto" w:fill="FFFFFF"/>
            <w:tcMar>
              <w:top w:w="40" w:type="dxa"/>
              <w:left w:w="20" w:type="dxa"/>
              <w:bottom w:w="40" w:type="dxa"/>
              <w:right w:w="20" w:type="dxa"/>
            </w:tcMar>
            <w:vAlign w:val="center"/>
          </w:tcPr>
          <w:p w14:paraId="7E78597A" w14:textId="77777777" w:rsidR="00A82082" w:rsidRDefault="00E946F9">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tcPr>
          <w:p w14:paraId="7E78597B" w14:textId="77777777" w:rsidR="00A82082" w:rsidRDefault="00A82082">
            <w:pPr>
              <w:rPr>
                <w:rFonts w:ascii="宋体"/>
              </w:rPr>
            </w:pPr>
          </w:p>
        </w:tc>
        <w:tc>
          <w:tcPr>
            <w:tcW w:w="0" w:type="auto"/>
            <w:shd w:val="clear" w:color="auto" w:fill="auto"/>
          </w:tcPr>
          <w:p w14:paraId="7E78597C" w14:textId="77777777" w:rsidR="00A82082" w:rsidRDefault="00A82082">
            <w:pPr>
              <w:rPr>
                <w:rFonts w:ascii="宋体"/>
                <w:vanish/>
              </w:rPr>
            </w:pPr>
          </w:p>
        </w:tc>
        <w:tc>
          <w:tcPr>
            <w:tcW w:w="0" w:type="auto"/>
            <w:shd w:val="clear" w:color="auto" w:fill="auto"/>
          </w:tcPr>
          <w:p w14:paraId="7E78597D" w14:textId="77777777" w:rsidR="00A82082" w:rsidRDefault="00A82082">
            <w:pPr>
              <w:rPr>
                <w:rFonts w:ascii="宋体"/>
                <w:vanish/>
              </w:rPr>
            </w:pPr>
          </w:p>
        </w:tc>
        <w:tc>
          <w:tcPr>
            <w:tcW w:w="0" w:type="auto"/>
            <w:shd w:val="clear" w:color="auto" w:fill="auto"/>
          </w:tcPr>
          <w:p w14:paraId="7E78597E" w14:textId="77777777" w:rsidR="00A82082" w:rsidRDefault="00A82082">
            <w:pPr>
              <w:rPr>
                <w:rFonts w:ascii="宋体"/>
                <w:vanish/>
              </w:rPr>
            </w:pPr>
          </w:p>
        </w:tc>
        <w:tc>
          <w:tcPr>
            <w:tcW w:w="0" w:type="auto"/>
            <w:shd w:val="clear" w:color="auto" w:fill="auto"/>
          </w:tcPr>
          <w:p w14:paraId="7E78597F" w14:textId="77777777" w:rsidR="00A82082" w:rsidRDefault="00A82082">
            <w:pPr>
              <w:rPr>
                <w:rFonts w:ascii="宋体"/>
                <w:vanish/>
              </w:rPr>
            </w:pPr>
          </w:p>
        </w:tc>
        <w:tc>
          <w:tcPr>
            <w:tcW w:w="0" w:type="auto"/>
            <w:shd w:val="clear" w:color="auto" w:fill="auto"/>
          </w:tcPr>
          <w:p w14:paraId="7E785980" w14:textId="77777777" w:rsidR="00A82082" w:rsidRDefault="00A82082">
            <w:pPr>
              <w:rPr>
                <w:rFonts w:ascii="宋体"/>
                <w:vanish/>
              </w:rPr>
            </w:pPr>
          </w:p>
        </w:tc>
        <w:tc>
          <w:tcPr>
            <w:tcW w:w="0" w:type="auto"/>
            <w:gridSpan w:val="3"/>
            <w:shd w:val="clear" w:color="auto" w:fill="auto"/>
          </w:tcPr>
          <w:p w14:paraId="7E785981"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982" w14:textId="77777777" w:rsidR="00A82082" w:rsidRDefault="00E946F9">
            <w:pPr>
              <w:jc w:val="right"/>
              <w:textAlignment w:val="center"/>
            </w:pPr>
            <w:r>
              <w:rPr>
                <w:rFonts w:ascii="Times New Roman" w:eastAsia="宋体" w:hAnsi="Times New Roman"/>
                <w:color w:val="000000"/>
                <w:sz w:val="16"/>
                <w:szCs w:val="16"/>
              </w:rPr>
              <w:t>(6,438)</w:t>
            </w:r>
          </w:p>
        </w:tc>
        <w:tc>
          <w:tcPr>
            <w:tcW w:w="0" w:type="auto"/>
            <w:shd w:val="clear" w:color="auto" w:fill="FFFFFF"/>
            <w:tcMar>
              <w:top w:w="40" w:type="dxa"/>
              <w:left w:w="0" w:type="dxa"/>
              <w:bottom w:w="40" w:type="dxa"/>
              <w:right w:w="20" w:type="dxa"/>
            </w:tcMar>
            <w:vAlign w:val="center"/>
          </w:tcPr>
          <w:p w14:paraId="7E78598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98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85" w14:textId="77777777" w:rsidR="00A82082" w:rsidRDefault="00E946F9">
            <w:pPr>
              <w:jc w:val="right"/>
              <w:textAlignment w:val="center"/>
            </w:pPr>
            <w:r>
              <w:rPr>
                <w:rFonts w:ascii="Times New Roman" w:eastAsia="宋体" w:hAnsi="Times New Roman"/>
                <w:color w:val="000000"/>
                <w:sz w:val="16"/>
                <w:szCs w:val="16"/>
              </w:rPr>
              <w:t>(7,765)</w:t>
            </w:r>
          </w:p>
        </w:tc>
        <w:tc>
          <w:tcPr>
            <w:tcW w:w="0" w:type="auto"/>
            <w:shd w:val="clear" w:color="auto" w:fill="FFFFFF"/>
            <w:tcMar>
              <w:top w:w="40" w:type="dxa"/>
              <w:left w:w="0" w:type="dxa"/>
              <w:bottom w:w="40" w:type="dxa"/>
              <w:right w:w="20" w:type="dxa"/>
            </w:tcMar>
            <w:vAlign w:val="center"/>
          </w:tcPr>
          <w:p w14:paraId="7E785986" w14:textId="77777777" w:rsidR="00A82082" w:rsidRDefault="00A82082">
            <w:pPr>
              <w:jc w:val="right"/>
              <w:rPr>
                <w:rFonts w:ascii="宋体"/>
              </w:rPr>
            </w:pPr>
          </w:p>
        </w:tc>
      </w:tr>
      <w:tr w:rsidR="00A82082" w14:paraId="7E785997" w14:textId="77777777">
        <w:trPr>
          <w:jc w:val="center"/>
        </w:trPr>
        <w:tc>
          <w:tcPr>
            <w:tcW w:w="0" w:type="auto"/>
            <w:gridSpan w:val="3"/>
            <w:shd w:val="clear" w:color="auto" w:fill="CCEEFF"/>
            <w:tcMar>
              <w:top w:w="40" w:type="dxa"/>
              <w:left w:w="20" w:type="dxa"/>
              <w:bottom w:w="40" w:type="dxa"/>
              <w:right w:w="20" w:type="dxa"/>
            </w:tcMar>
            <w:vAlign w:val="center"/>
          </w:tcPr>
          <w:p w14:paraId="7E785988" w14:textId="77777777" w:rsidR="00A82082" w:rsidRDefault="00E946F9">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tcPr>
          <w:p w14:paraId="7E785989" w14:textId="77777777" w:rsidR="00A82082" w:rsidRDefault="00A82082">
            <w:pPr>
              <w:rPr>
                <w:rFonts w:ascii="宋体"/>
              </w:rPr>
            </w:pPr>
          </w:p>
        </w:tc>
        <w:tc>
          <w:tcPr>
            <w:tcW w:w="0" w:type="auto"/>
            <w:shd w:val="clear" w:color="auto" w:fill="auto"/>
          </w:tcPr>
          <w:p w14:paraId="7E78598A" w14:textId="77777777" w:rsidR="00A82082" w:rsidRDefault="00A82082">
            <w:pPr>
              <w:rPr>
                <w:rFonts w:ascii="宋体"/>
                <w:vanish/>
              </w:rPr>
            </w:pPr>
          </w:p>
        </w:tc>
        <w:tc>
          <w:tcPr>
            <w:tcW w:w="0" w:type="auto"/>
            <w:shd w:val="clear" w:color="auto" w:fill="auto"/>
          </w:tcPr>
          <w:p w14:paraId="7E78598B" w14:textId="77777777" w:rsidR="00A82082" w:rsidRDefault="00A82082">
            <w:pPr>
              <w:rPr>
                <w:rFonts w:ascii="宋体"/>
                <w:vanish/>
              </w:rPr>
            </w:pPr>
          </w:p>
        </w:tc>
        <w:tc>
          <w:tcPr>
            <w:tcW w:w="0" w:type="auto"/>
            <w:shd w:val="clear" w:color="auto" w:fill="auto"/>
          </w:tcPr>
          <w:p w14:paraId="7E78598C" w14:textId="77777777" w:rsidR="00A82082" w:rsidRDefault="00A82082">
            <w:pPr>
              <w:rPr>
                <w:rFonts w:ascii="宋体"/>
                <w:vanish/>
              </w:rPr>
            </w:pPr>
          </w:p>
        </w:tc>
        <w:tc>
          <w:tcPr>
            <w:tcW w:w="0" w:type="auto"/>
            <w:shd w:val="clear" w:color="auto" w:fill="auto"/>
          </w:tcPr>
          <w:p w14:paraId="7E78598D" w14:textId="77777777" w:rsidR="00A82082" w:rsidRDefault="00A82082">
            <w:pPr>
              <w:rPr>
                <w:rFonts w:ascii="宋体"/>
                <w:vanish/>
              </w:rPr>
            </w:pPr>
          </w:p>
        </w:tc>
        <w:tc>
          <w:tcPr>
            <w:tcW w:w="0" w:type="auto"/>
            <w:shd w:val="clear" w:color="auto" w:fill="auto"/>
          </w:tcPr>
          <w:p w14:paraId="7E78598E" w14:textId="77777777" w:rsidR="00A82082" w:rsidRDefault="00A82082">
            <w:pPr>
              <w:rPr>
                <w:rFonts w:ascii="宋体"/>
                <w:vanish/>
              </w:rPr>
            </w:pPr>
          </w:p>
        </w:tc>
        <w:tc>
          <w:tcPr>
            <w:tcW w:w="0" w:type="auto"/>
            <w:gridSpan w:val="3"/>
            <w:shd w:val="clear" w:color="auto" w:fill="auto"/>
          </w:tcPr>
          <w:p w14:paraId="7E78598F"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99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991" w14:textId="77777777" w:rsidR="00A82082" w:rsidRDefault="00E946F9">
            <w:pPr>
              <w:jc w:val="right"/>
              <w:textAlignment w:val="center"/>
            </w:pPr>
            <w:r>
              <w:rPr>
                <w:rFonts w:ascii="Times New Roman" w:eastAsia="宋体" w:hAnsi="Times New Roman"/>
                <w:color w:val="000000"/>
                <w:sz w:val="16"/>
                <w:szCs w:val="16"/>
              </w:rPr>
              <w:t>16,442 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99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9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99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995" w14:textId="77777777" w:rsidR="00A82082" w:rsidRDefault="00E946F9">
            <w:pPr>
              <w:jc w:val="right"/>
              <w:textAlignment w:val="center"/>
            </w:pPr>
            <w:r>
              <w:rPr>
                <w:rFonts w:ascii="Times New Roman" w:eastAsia="宋体" w:hAnsi="Times New Roman"/>
                <w:color w:val="000000"/>
                <w:sz w:val="16"/>
                <w:szCs w:val="16"/>
              </w:rPr>
              <w:t>6,774 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996" w14:textId="77777777" w:rsidR="00A82082" w:rsidRDefault="00A82082">
            <w:pPr>
              <w:jc w:val="right"/>
              <w:rPr>
                <w:rFonts w:ascii="宋体"/>
              </w:rPr>
            </w:pPr>
          </w:p>
        </w:tc>
      </w:tr>
      <w:tr w:rsidR="00A82082" w14:paraId="7E7859A3" w14:textId="77777777">
        <w:trPr>
          <w:trHeight w:val="220"/>
          <w:jc w:val="center"/>
        </w:trPr>
        <w:tc>
          <w:tcPr>
            <w:tcW w:w="0" w:type="auto"/>
            <w:gridSpan w:val="3"/>
            <w:shd w:val="clear" w:color="auto" w:fill="FFFFFF"/>
            <w:tcMar>
              <w:top w:w="0" w:type="dxa"/>
              <w:left w:w="20" w:type="dxa"/>
              <w:bottom w:w="0" w:type="dxa"/>
              <w:right w:w="20" w:type="dxa"/>
            </w:tcMar>
          </w:tcPr>
          <w:p w14:paraId="7E785998"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999" w14:textId="77777777" w:rsidR="00A82082" w:rsidRDefault="00A82082">
            <w:pPr>
              <w:rPr>
                <w:rFonts w:ascii="宋体"/>
              </w:rPr>
            </w:pPr>
          </w:p>
        </w:tc>
        <w:tc>
          <w:tcPr>
            <w:tcW w:w="0" w:type="auto"/>
            <w:shd w:val="clear" w:color="auto" w:fill="auto"/>
          </w:tcPr>
          <w:p w14:paraId="7E78599A" w14:textId="77777777" w:rsidR="00A82082" w:rsidRDefault="00A82082">
            <w:pPr>
              <w:rPr>
                <w:rFonts w:ascii="宋体"/>
                <w:vanish/>
              </w:rPr>
            </w:pPr>
          </w:p>
        </w:tc>
        <w:tc>
          <w:tcPr>
            <w:tcW w:w="0" w:type="auto"/>
            <w:shd w:val="clear" w:color="auto" w:fill="auto"/>
          </w:tcPr>
          <w:p w14:paraId="7E78599B" w14:textId="77777777" w:rsidR="00A82082" w:rsidRDefault="00A82082">
            <w:pPr>
              <w:rPr>
                <w:rFonts w:ascii="宋体"/>
                <w:vanish/>
              </w:rPr>
            </w:pPr>
          </w:p>
        </w:tc>
        <w:tc>
          <w:tcPr>
            <w:tcW w:w="0" w:type="auto"/>
            <w:shd w:val="clear" w:color="auto" w:fill="auto"/>
          </w:tcPr>
          <w:p w14:paraId="7E78599C" w14:textId="77777777" w:rsidR="00A82082" w:rsidRDefault="00A82082">
            <w:pPr>
              <w:rPr>
                <w:rFonts w:ascii="宋体"/>
                <w:vanish/>
              </w:rPr>
            </w:pPr>
          </w:p>
        </w:tc>
        <w:tc>
          <w:tcPr>
            <w:tcW w:w="0" w:type="auto"/>
            <w:shd w:val="clear" w:color="auto" w:fill="auto"/>
          </w:tcPr>
          <w:p w14:paraId="7E78599D" w14:textId="77777777" w:rsidR="00A82082" w:rsidRDefault="00A82082">
            <w:pPr>
              <w:rPr>
                <w:rFonts w:ascii="宋体"/>
                <w:vanish/>
              </w:rPr>
            </w:pPr>
          </w:p>
        </w:tc>
        <w:tc>
          <w:tcPr>
            <w:tcW w:w="0" w:type="auto"/>
            <w:shd w:val="clear" w:color="auto" w:fill="auto"/>
          </w:tcPr>
          <w:p w14:paraId="7E78599E" w14:textId="77777777" w:rsidR="00A82082" w:rsidRDefault="00A82082">
            <w:pPr>
              <w:rPr>
                <w:rFonts w:ascii="宋体"/>
                <w:vanish/>
              </w:rPr>
            </w:pPr>
          </w:p>
        </w:tc>
        <w:tc>
          <w:tcPr>
            <w:tcW w:w="0" w:type="auto"/>
            <w:gridSpan w:val="3"/>
            <w:shd w:val="clear" w:color="auto" w:fill="auto"/>
          </w:tcPr>
          <w:p w14:paraId="7E78599F" w14:textId="77777777" w:rsidR="00A82082" w:rsidRDefault="00A82082">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59A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9A1" w14:textId="77777777" w:rsidR="00A82082" w:rsidRDefault="00A8208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7859A2" w14:textId="77777777" w:rsidR="00A82082" w:rsidRDefault="00A82082">
            <w:pPr>
              <w:rPr>
                <w:rFonts w:ascii="宋体"/>
              </w:rPr>
            </w:pPr>
          </w:p>
        </w:tc>
      </w:tr>
      <w:tr w:rsidR="00A82082" w14:paraId="7E7859B3" w14:textId="77777777">
        <w:trPr>
          <w:jc w:val="center"/>
        </w:trPr>
        <w:tc>
          <w:tcPr>
            <w:tcW w:w="0" w:type="auto"/>
            <w:gridSpan w:val="3"/>
            <w:shd w:val="clear" w:color="auto" w:fill="CCEEFF"/>
            <w:tcMar>
              <w:top w:w="40" w:type="dxa"/>
              <w:left w:w="20" w:type="dxa"/>
              <w:bottom w:w="40" w:type="dxa"/>
              <w:right w:w="20" w:type="dxa"/>
            </w:tcMar>
            <w:vAlign w:val="center"/>
          </w:tcPr>
          <w:p w14:paraId="7E7859A4" w14:textId="77777777" w:rsidR="00A82082" w:rsidRDefault="00E946F9">
            <w:pPr>
              <w:textAlignment w:val="center"/>
            </w:pPr>
            <w:r>
              <w:rPr>
                <w:rFonts w:ascii="Times New Roman" w:eastAsia="宋体" w:hAnsi="Times New Roman"/>
                <w:color w:val="000000"/>
                <w:sz w:val="16"/>
                <w:szCs w:val="16"/>
              </w:rPr>
              <w:t>Net cash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7E7859A5" w14:textId="77777777" w:rsidR="00A82082" w:rsidRDefault="00A82082">
            <w:pPr>
              <w:rPr>
                <w:rFonts w:ascii="宋体"/>
              </w:rPr>
            </w:pPr>
          </w:p>
        </w:tc>
        <w:tc>
          <w:tcPr>
            <w:tcW w:w="0" w:type="auto"/>
            <w:shd w:val="clear" w:color="auto" w:fill="auto"/>
          </w:tcPr>
          <w:p w14:paraId="7E7859A6" w14:textId="77777777" w:rsidR="00A82082" w:rsidRDefault="00A82082">
            <w:pPr>
              <w:rPr>
                <w:rFonts w:ascii="宋体"/>
                <w:vanish/>
              </w:rPr>
            </w:pPr>
          </w:p>
        </w:tc>
        <w:tc>
          <w:tcPr>
            <w:tcW w:w="0" w:type="auto"/>
            <w:shd w:val="clear" w:color="auto" w:fill="auto"/>
          </w:tcPr>
          <w:p w14:paraId="7E7859A7" w14:textId="77777777" w:rsidR="00A82082" w:rsidRDefault="00A82082">
            <w:pPr>
              <w:rPr>
                <w:rFonts w:ascii="宋体"/>
                <w:vanish/>
              </w:rPr>
            </w:pPr>
          </w:p>
        </w:tc>
        <w:tc>
          <w:tcPr>
            <w:tcW w:w="0" w:type="auto"/>
            <w:shd w:val="clear" w:color="auto" w:fill="auto"/>
          </w:tcPr>
          <w:p w14:paraId="7E7859A8" w14:textId="77777777" w:rsidR="00A82082" w:rsidRDefault="00A82082">
            <w:pPr>
              <w:rPr>
                <w:rFonts w:ascii="宋体"/>
                <w:vanish/>
              </w:rPr>
            </w:pPr>
          </w:p>
        </w:tc>
        <w:tc>
          <w:tcPr>
            <w:tcW w:w="0" w:type="auto"/>
            <w:shd w:val="clear" w:color="auto" w:fill="auto"/>
          </w:tcPr>
          <w:p w14:paraId="7E7859A9" w14:textId="77777777" w:rsidR="00A82082" w:rsidRDefault="00A82082">
            <w:pPr>
              <w:rPr>
                <w:rFonts w:ascii="宋体"/>
                <w:vanish/>
              </w:rPr>
            </w:pPr>
          </w:p>
        </w:tc>
        <w:tc>
          <w:tcPr>
            <w:tcW w:w="0" w:type="auto"/>
            <w:shd w:val="clear" w:color="auto" w:fill="auto"/>
          </w:tcPr>
          <w:p w14:paraId="7E7859AA" w14:textId="77777777" w:rsidR="00A82082" w:rsidRDefault="00A82082">
            <w:pPr>
              <w:rPr>
                <w:rFonts w:ascii="宋体"/>
                <w:vanish/>
              </w:rPr>
            </w:pPr>
          </w:p>
        </w:tc>
        <w:tc>
          <w:tcPr>
            <w:tcW w:w="0" w:type="auto"/>
            <w:gridSpan w:val="3"/>
            <w:shd w:val="clear" w:color="auto" w:fill="auto"/>
          </w:tcPr>
          <w:p w14:paraId="7E7859AB"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9A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9AD" w14:textId="77777777" w:rsidR="00A82082" w:rsidRDefault="00E946F9">
            <w:pPr>
              <w:jc w:val="right"/>
              <w:textAlignment w:val="center"/>
            </w:pPr>
            <w:r>
              <w:rPr>
                <w:rFonts w:ascii="Times New Roman" w:eastAsia="宋体" w:hAnsi="Times New Roman"/>
                <w:color w:val="000000"/>
                <w:sz w:val="16"/>
                <w:szCs w:val="16"/>
              </w:rPr>
              <w:t>(6,507)</w:t>
            </w:r>
          </w:p>
        </w:tc>
        <w:tc>
          <w:tcPr>
            <w:tcW w:w="0" w:type="auto"/>
            <w:shd w:val="clear" w:color="auto" w:fill="CCEEFF"/>
            <w:tcMar>
              <w:top w:w="40" w:type="dxa"/>
              <w:left w:w="0" w:type="dxa"/>
              <w:bottom w:w="40" w:type="dxa"/>
              <w:right w:w="20" w:type="dxa"/>
            </w:tcMar>
            <w:vAlign w:val="center"/>
          </w:tcPr>
          <w:p w14:paraId="7E7859A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9AF"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9B0"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9B1" w14:textId="77777777" w:rsidR="00A82082" w:rsidRDefault="00E946F9">
            <w:pPr>
              <w:jc w:val="right"/>
              <w:textAlignment w:val="center"/>
            </w:pPr>
            <w:r>
              <w:rPr>
                <w:rFonts w:ascii="Times New Roman" w:eastAsia="宋体" w:hAnsi="Times New Roman"/>
                <w:color w:val="000000"/>
                <w:sz w:val="16"/>
                <w:szCs w:val="16"/>
              </w:rPr>
              <w:t>(6,285)</w:t>
            </w:r>
          </w:p>
        </w:tc>
        <w:tc>
          <w:tcPr>
            <w:tcW w:w="0" w:type="auto"/>
            <w:shd w:val="clear" w:color="auto" w:fill="CCEEFF"/>
            <w:tcMar>
              <w:top w:w="40" w:type="dxa"/>
              <w:left w:w="0" w:type="dxa"/>
              <w:bottom w:w="40" w:type="dxa"/>
              <w:right w:w="20" w:type="dxa"/>
            </w:tcMar>
            <w:vAlign w:val="center"/>
          </w:tcPr>
          <w:p w14:paraId="7E7859B2" w14:textId="77777777" w:rsidR="00A82082" w:rsidRDefault="00A82082">
            <w:pPr>
              <w:jc w:val="right"/>
              <w:rPr>
                <w:rFonts w:ascii="宋体"/>
              </w:rPr>
            </w:pPr>
          </w:p>
        </w:tc>
      </w:tr>
      <w:tr w:rsidR="00A82082" w14:paraId="7E7859C1" w14:textId="77777777">
        <w:trPr>
          <w:jc w:val="center"/>
        </w:trPr>
        <w:tc>
          <w:tcPr>
            <w:tcW w:w="0" w:type="auto"/>
            <w:gridSpan w:val="3"/>
            <w:shd w:val="clear" w:color="auto" w:fill="FFFFFF"/>
            <w:tcMar>
              <w:top w:w="40" w:type="dxa"/>
              <w:left w:w="20" w:type="dxa"/>
              <w:bottom w:w="40" w:type="dxa"/>
              <w:right w:w="20" w:type="dxa"/>
            </w:tcMar>
            <w:vAlign w:val="center"/>
          </w:tcPr>
          <w:p w14:paraId="7E7859B4" w14:textId="77777777" w:rsidR="00A82082" w:rsidRDefault="00E946F9">
            <w:pPr>
              <w:textAlignment w:val="center"/>
            </w:pPr>
            <w:r>
              <w:rPr>
                <w:rFonts w:ascii="Times New Roman" w:eastAsia="宋体" w:hAnsi="Times New Roman"/>
                <w:color w:val="000000"/>
                <w:sz w:val="16"/>
                <w:szCs w:val="16"/>
              </w:rPr>
              <w:t>N</w:t>
            </w:r>
            <w:r>
              <w:rPr>
                <w:rFonts w:ascii="Times New Roman" w:eastAsia="宋体" w:hAnsi="Times New Roman"/>
                <w:color w:val="000000"/>
                <w:sz w:val="16"/>
                <w:szCs w:val="16"/>
              </w:rPr>
              <w:t>et cash used in financing activities</w:t>
            </w:r>
          </w:p>
        </w:tc>
        <w:tc>
          <w:tcPr>
            <w:tcW w:w="0" w:type="auto"/>
            <w:gridSpan w:val="3"/>
            <w:shd w:val="clear" w:color="auto" w:fill="FFFFFF"/>
            <w:tcMar>
              <w:top w:w="0" w:type="dxa"/>
              <w:left w:w="20" w:type="dxa"/>
              <w:bottom w:w="0" w:type="dxa"/>
              <w:right w:w="20" w:type="dxa"/>
            </w:tcMar>
          </w:tcPr>
          <w:p w14:paraId="7E7859B5" w14:textId="77777777" w:rsidR="00A82082" w:rsidRDefault="00A82082">
            <w:pPr>
              <w:rPr>
                <w:rFonts w:ascii="宋体"/>
              </w:rPr>
            </w:pPr>
          </w:p>
        </w:tc>
        <w:tc>
          <w:tcPr>
            <w:tcW w:w="0" w:type="auto"/>
            <w:shd w:val="clear" w:color="auto" w:fill="auto"/>
          </w:tcPr>
          <w:p w14:paraId="7E7859B6" w14:textId="77777777" w:rsidR="00A82082" w:rsidRDefault="00A82082">
            <w:pPr>
              <w:rPr>
                <w:rFonts w:ascii="宋体"/>
                <w:vanish/>
              </w:rPr>
            </w:pPr>
          </w:p>
        </w:tc>
        <w:tc>
          <w:tcPr>
            <w:tcW w:w="0" w:type="auto"/>
            <w:shd w:val="clear" w:color="auto" w:fill="auto"/>
          </w:tcPr>
          <w:p w14:paraId="7E7859B7" w14:textId="77777777" w:rsidR="00A82082" w:rsidRDefault="00A82082">
            <w:pPr>
              <w:rPr>
                <w:rFonts w:ascii="宋体"/>
                <w:vanish/>
              </w:rPr>
            </w:pPr>
          </w:p>
        </w:tc>
        <w:tc>
          <w:tcPr>
            <w:tcW w:w="0" w:type="auto"/>
            <w:shd w:val="clear" w:color="auto" w:fill="auto"/>
          </w:tcPr>
          <w:p w14:paraId="7E7859B8" w14:textId="77777777" w:rsidR="00A82082" w:rsidRDefault="00A82082">
            <w:pPr>
              <w:rPr>
                <w:rFonts w:ascii="宋体"/>
                <w:vanish/>
              </w:rPr>
            </w:pPr>
          </w:p>
        </w:tc>
        <w:tc>
          <w:tcPr>
            <w:tcW w:w="0" w:type="auto"/>
            <w:shd w:val="clear" w:color="auto" w:fill="auto"/>
          </w:tcPr>
          <w:p w14:paraId="7E7859B9" w14:textId="77777777" w:rsidR="00A82082" w:rsidRDefault="00A82082">
            <w:pPr>
              <w:rPr>
                <w:rFonts w:ascii="宋体"/>
                <w:vanish/>
              </w:rPr>
            </w:pPr>
          </w:p>
        </w:tc>
        <w:tc>
          <w:tcPr>
            <w:tcW w:w="0" w:type="auto"/>
            <w:shd w:val="clear" w:color="auto" w:fill="auto"/>
          </w:tcPr>
          <w:p w14:paraId="7E7859BA" w14:textId="77777777" w:rsidR="00A82082" w:rsidRDefault="00A82082">
            <w:pPr>
              <w:rPr>
                <w:rFonts w:ascii="宋体"/>
                <w:vanish/>
              </w:rPr>
            </w:pPr>
          </w:p>
        </w:tc>
        <w:tc>
          <w:tcPr>
            <w:tcW w:w="0" w:type="auto"/>
            <w:gridSpan w:val="3"/>
            <w:shd w:val="clear" w:color="auto" w:fill="auto"/>
          </w:tcPr>
          <w:p w14:paraId="7E7859BB"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9BC" w14:textId="77777777" w:rsidR="00A82082" w:rsidRDefault="00E946F9">
            <w:pPr>
              <w:jc w:val="right"/>
              <w:textAlignment w:val="center"/>
            </w:pPr>
            <w:r>
              <w:rPr>
                <w:rFonts w:ascii="Times New Roman" w:eastAsia="宋体" w:hAnsi="Times New Roman"/>
                <w:color w:val="000000"/>
                <w:sz w:val="16"/>
                <w:szCs w:val="16"/>
              </w:rPr>
              <w:t>(11,340)</w:t>
            </w:r>
          </w:p>
        </w:tc>
        <w:tc>
          <w:tcPr>
            <w:tcW w:w="0" w:type="auto"/>
            <w:shd w:val="clear" w:color="auto" w:fill="FFFFFF"/>
            <w:tcMar>
              <w:top w:w="40" w:type="dxa"/>
              <w:left w:w="0" w:type="dxa"/>
              <w:bottom w:w="40" w:type="dxa"/>
              <w:right w:w="20" w:type="dxa"/>
            </w:tcMar>
            <w:vAlign w:val="center"/>
          </w:tcPr>
          <w:p w14:paraId="7E7859B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9B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9BF" w14:textId="77777777" w:rsidR="00A82082" w:rsidRDefault="00E946F9">
            <w:pPr>
              <w:jc w:val="right"/>
              <w:textAlignment w:val="center"/>
            </w:pPr>
            <w:r>
              <w:rPr>
                <w:rFonts w:ascii="Times New Roman" w:eastAsia="宋体" w:hAnsi="Times New Roman"/>
                <w:color w:val="000000"/>
                <w:sz w:val="16"/>
                <w:szCs w:val="16"/>
              </w:rPr>
              <w:t>(7,213)</w:t>
            </w:r>
          </w:p>
        </w:tc>
        <w:tc>
          <w:tcPr>
            <w:tcW w:w="0" w:type="auto"/>
            <w:shd w:val="clear" w:color="auto" w:fill="FFFFFF"/>
            <w:tcMar>
              <w:top w:w="40" w:type="dxa"/>
              <w:left w:w="0" w:type="dxa"/>
              <w:bottom w:w="40" w:type="dxa"/>
              <w:right w:w="20" w:type="dxa"/>
            </w:tcMar>
            <w:vAlign w:val="center"/>
          </w:tcPr>
          <w:p w14:paraId="7E7859C0" w14:textId="77777777" w:rsidR="00A82082" w:rsidRDefault="00A82082">
            <w:pPr>
              <w:jc w:val="right"/>
              <w:rPr>
                <w:rFonts w:ascii="宋体"/>
              </w:rPr>
            </w:pPr>
          </w:p>
        </w:tc>
      </w:tr>
    </w:tbl>
    <w:p w14:paraId="7E7859C2" w14:textId="77777777" w:rsidR="00A82082" w:rsidRDefault="00E946F9">
      <w:pPr>
        <w:spacing w:before="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used in investing activities" includes payments for property and equipment, which is also included in our computation of free cash flow.</w:t>
      </w:r>
    </w:p>
    <w:p w14:paraId="7E7859C3" w14:textId="77777777" w:rsidR="00A82082" w:rsidRDefault="00E946F9">
      <w:pPr>
        <w:jc w:val="center"/>
      </w:pPr>
      <w:r>
        <w:rPr>
          <w:rFonts w:ascii="Times New Roman" w:eastAsia="宋体" w:hAnsi="Times New Roman"/>
          <w:color w:val="000000"/>
          <w:sz w:val="20"/>
          <w:szCs w:val="20"/>
        </w:rPr>
        <w:t>21</w:t>
      </w:r>
    </w:p>
    <w:p w14:paraId="7E7859C4" w14:textId="77777777" w:rsidR="00A82082" w:rsidRDefault="00E946F9">
      <w:r>
        <w:pict w14:anchorId="7E78615D">
          <v:rect id="_x0000_i1045" style="width:415.3pt;height:1.5pt" o:hralign="center" o:hrstd="t" o:hr="t" fillcolor="#a0a0a0" stroked="f"/>
        </w:pict>
      </w:r>
    </w:p>
    <w:p w14:paraId="7E7859C5" w14:textId="77777777" w:rsidR="00A82082" w:rsidRDefault="00E946F9">
      <w:hyperlink r:id="rId88" w:anchor="i5c815528a95c4409b9043de534639b9a_7" w:history="1">
        <w:r>
          <w:rPr>
            <w:rStyle w:val="a5"/>
            <w:rFonts w:ascii="Times New Roman" w:eastAsia="宋体" w:hAnsi="Times New Roman"/>
            <w:sz w:val="20"/>
            <w:szCs w:val="20"/>
          </w:rPr>
          <w:t>Table of C</w:t>
        </w:r>
      </w:hyperlink>
      <w:hyperlink r:id="rId89" w:anchor="i5c815528a95c4409b9043de534639b9a_7" w:history="1">
        <w:r>
          <w:rPr>
            <w:rStyle w:val="a5"/>
            <w:rFonts w:ascii="Times New Roman" w:eastAsia="宋体" w:hAnsi="Times New Roman"/>
            <w:sz w:val="20"/>
            <w:szCs w:val="20"/>
          </w:rPr>
          <w:t>ontents</w:t>
        </w:r>
      </w:hyperlink>
    </w:p>
    <w:p w14:paraId="7E7859C6" w14:textId="77777777" w:rsidR="00A82082" w:rsidRDefault="00E946F9">
      <w:r>
        <w:rPr>
          <w:rFonts w:ascii="Times New Roman" w:eastAsia="宋体" w:hAnsi="Times New Roman"/>
          <w:b/>
          <w:bCs/>
          <w:color w:val="000000"/>
          <w:sz w:val="20"/>
          <w:szCs w:val="20"/>
        </w:rPr>
        <w:t>Results of Operations</w:t>
      </w:r>
    </w:p>
    <w:p w14:paraId="7E7859C7" w14:textId="77777777" w:rsidR="00A82082" w:rsidRDefault="00E946F9">
      <w:pPr>
        <w:spacing w:before="180"/>
      </w:pPr>
      <w:r>
        <w:rPr>
          <w:rFonts w:ascii="Times New Roman" w:eastAsia="宋体" w:hAnsi="Times New Roman"/>
          <w:b/>
          <w:bCs/>
          <w:i/>
          <w:iCs/>
          <w:color w:val="000000"/>
          <w:sz w:val="20"/>
          <w:szCs w:val="20"/>
        </w:rPr>
        <w:t>Consolidated Results of Operations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082"/>
        <w:gridCol w:w="38"/>
        <w:gridCol w:w="36"/>
        <w:gridCol w:w="36"/>
        <w:gridCol w:w="36"/>
        <w:gridCol w:w="100"/>
        <w:gridCol w:w="722"/>
        <w:gridCol w:w="36"/>
        <w:gridCol w:w="36"/>
        <w:gridCol w:w="36"/>
        <w:gridCol w:w="36"/>
        <w:gridCol w:w="36"/>
        <w:gridCol w:w="46"/>
        <w:gridCol w:w="100"/>
        <w:gridCol w:w="710"/>
        <w:gridCol w:w="36"/>
        <w:gridCol w:w="36"/>
        <w:gridCol w:w="36"/>
        <w:gridCol w:w="36"/>
        <w:gridCol w:w="100"/>
        <w:gridCol w:w="712"/>
        <w:gridCol w:w="154"/>
        <w:gridCol w:w="36"/>
        <w:gridCol w:w="36"/>
        <w:gridCol w:w="36"/>
        <w:gridCol w:w="36"/>
        <w:gridCol w:w="36"/>
        <w:gridCol w:w="36"/>
        <w:gridCol w:w="100"/>
        <w:gridCol w:w="724"/>
        <w:gridCol w:w="36"/>
      </w:tblGrid>
      <w:tr w:rsidR="00A82082" w14:paraId="7E7859E6" w14:textId="77777777">
        <w:tc>
          <w:tcPr>
            <w:tcW w:w="50" w:type="pct"/>
            <w:shd w:val="clear" w:color="auto" w:fill="auto"/>
          </w:tcPr>
          <w:p w14:paraId="7E7859C8" w14:textId="77777777" w:rsidR="00A82082" w:rsidRDefault="00A82082">
            <w:pPr>
              <w:rPr>
                <w:rFonts w:ascii="宋体"/>
              </w:rPr>
            </w:pPr>
          </w:p>
        </w:tc>
        <w:tc>
          <w:tcPr>
            <w:tcW w:w="2554" w:type="pct"/>
            <w:shd w:val="clear" w:color="auto" w:fill="auto"/>
          </w:tcPr>
          <w:p w14:paraId="7E7859C9" w14:textId="77777777" w:rsidR="00A82082" w:rsidRDefault="00A82082">
            <w:pPr>
              <w:rPr>
                <w:rFonts w:ascii="宋体"/>
              </w:rPr>
            </w:pPr>
          </w:p>
        </w:tc>
        <w:tc>
          <w:tcPr>
            <w:tcW w:w="5" w:type="pct"/>
            <w:shd w:val="clear" w:color="auto" w:fill="auto"/>
          </w:tcPr>
          <w:p w14:paraId="7E7859CA" w14:textId="77777777" w:rsidR="00A82082" w:rsidRDefault="00A82082">
            <w:pPr>
              <w:rPr>
                <w:rFonts w:ascii="宋体"/>
              </w:rPr>
            </w:pPr>
          </w:p>
        </w:tc>
        <w:tc>
          <w:tcPr>
            <w:tcW w:w="5" w:type="pct"/>
            <w:shd w:val="clear" w:color="auto" w:fill="auto"/>
          </w:tcPr>
          <w:p w14:paraId="7E7859CB" w14:textId="77777777" w:rsidR="00A82082" w:rsidRDefault="00A82082">
            <w:pPr>
              <w:rPr>
                <w:rFonts w:ascii="宋体"/>
              </w:rPr>
            </w:pPr>
          </w:p>
        </w:tc>
        <w:tc>
          <w:tcPr>
            <w:tcW w:w="26" w:type="pct"/>
            <w:shd w:val="clear" w:color="auto" w:fill="auto"/>
          </w:tcPr>
          <w:p w14:paraId="7E7859CC" w14:textId="77777777" w:rsidR="00A82082" w:rsidRDefault="00A82082">
            <w:pPr>
              <w:rPr>
                <w:rFonts w:ascii="宋体"/>
              </w:rPr>
            </w:pPr>
          </w:p>
        </w:tc>
        <w:tc>
          <w:tcPr>
            <w:tcW w:w="5" w:type="pct"/>
            <w:shd w:val="clear" w:color="auto" w:fill="auto"/>
          </w:tcPr>
          <w:p w14:paraId="7E7859CD" w14:textId="77777777" w:rsidR="00A82082" w:rsidRDefault="00A82082">
            <w:pPr>
              <w:rPr>
                <w:rFonts w:ascii="宋体"/>
              </w:rPr>
            </w:pPr>
          </w:p>
        </w:tc>
        <w:tc>
          <w:tcPr>
            <w:tcW w:w="50" w:type="pct"/>
            <w:shd w:val="clear" w:color="auto" w:fill="auto"/>
          </w:tcPr>
          <w:p w14:paraId="7E7859CE" w14:textId="77777777" w:rsidR="00A82082" w:rsidRDefault="00A82082">
            <w:pPr>
              <w:rPr>
                <w:rFonts w:ascii="宋体"/>
              </w:rPr>
            </w:pPr>
          </w:p>
        </w:tc>
        <w:tc>
          <w:tcPr>
            <w:tcW w:w="509" w:type="pct"/>
            <w:shd w:val="clear" w:color="auto" w:fill="auto"/>
          </w:tcPr>
          <w:p w14:paraId="7E7859CF" w14:textId="77777777" w:rsidR="00A82082" w:rsidRDefault="00A82082">
            <w:pPr>
              <w:rPr>
                <w:rFonts w:ascii="宋体"/>
              </w:rPr>
            </w:pPr>
          </w:p>
        </w:tc>
        <w:tc>
          <w:tcPr>
            <w:tcW w:w="5" w:type="pct"/>
            <w:shd w:val="clear" w:color="auto" w:fill="auto"/>
          </w:tcPr>
          <w:p w14:paraId="7E7859D0" w14:textId="77777777" w:rsidR="00A82082" w:rsidRDefault="00A82082">
            <w:pPr>
              <w:rPr>
                <w:rFonts w:ascii="宋体"/>
              </w:rPr>
            </w:pPr>
          </w:p>
        </w:tc>
        <w:tc>
          <w:tcPr>
            <w:tcW w:w="5" w:type="pct"/>
            <w:shd w:val="clear" w:color="auto" w:fill="auto"/>
          </w:tcPr>
          <w:p w14:paraId="7E7859D1" w14:textId="77777777" w:rsidR="00A82082" w:rsidRDefault="00A82082">
            <w:pPr>
              <w:rPr>
                <w:rFonts w:ascii="宋体"/>
              </w:rPr>
            </w:pPr>
          </w:p>
        </w:tc>
        <w:tc>
          <w:tcPr>
            <w:tcW w:w="26" w:type="pct"/>
            <w:shd w:val="clear" w:color="auto" w:fill="auto"/>
          </w:tcPr>
          <w:p w14:paraId="7E7859D2" w14:textId="77777777" w:rsidR="00A82082" w:rsidRDefault="00A82082">
            <w:pPr>
              <w:rPr>
                <w:rFonts w:ascii="宋体"/>
              </w:rPr>
            </w:pPr>
          </w:p>
        </w:tc>
        <w:tc>
          <w:tcPr>
            <w:tcW w:w="5" w:type="pct"/>
            <w:shd w:val="clear" w:color="auto" w:fill="auto"/>
          </w:tcPr>
          <w:p w14:paraId="7E7859D3" w14:textId="77777777" w:rsidR="00A82082" w:rsidRDefault="00A82082">
            <w:pPr>
              <w:rPr>
                <w:rFonts w:ascii="宋体"/>
              </w:rPr>
            </w:pPr>
          </w:p>
        </w:tc>
        <w:tc>
          <w:tcPr>
            <w:tcW w:w="0" w:type="auto"/>
            <w:shd w:val="clear" w:color="auto" w:fill="auto"/>
          </w:tcPr>
          <w:p w14:paraId="7E7859D4" w14:textId="77777777" w:rsidR="00A82082" w:rsidRDefault="00A82082">
            <w:pPr>
              <w:rPr>
                <w:rFonts w:ascii="宋体"/>
                <w:vanish/>
              </w:rPr>
            </w:pPr>
          </w:p>
        </w:tc>
        <w:tc>
          <w:tcPr>
            <w:tcW w:w="0" w:type="auto"/>
            <w:shd w:val="clear" w:color="auto" w:fill="auto"/>
          </w:tcPr>
          <w:p w14:paraId="7E7859D5" w14:textId="77777777" w:rsidR="00A82082" w:rsidRDefault="00A82082">
            <w:pPr>
              <w:rPr>
                <w:rFonts w:ascii="宋体"/>
                <w:vanish/>
              </w:rPr>
            </w:pPr>
          </w:p>
        </w:tc>
        <w:tc>
          <w:tcPr>
            <w:tcW w:w="50" w:type="pct"/>
            <w:shd w:val="clear" w:color="auto" w:fill="auto"/>
          </w:tcPr>
          <w:p w14:paraId="7E7859D6" w14:textId="77777777" w:rsidR="00A82082" w:rsidRDefault="00A82082">
            <w:pPr>
              <w:rPr>
                <w:rFonts w:ascii="宋体"/>
              </w:rPr>
            </w:pPr>
          </w:p>
        </w:tc>
        <w:tc>
          <w:tcPr>
            <w:tcW w:w="502" w:type="pct"/>
            <w:shd w:val="clear" w:color="auto" w:fill="auto"/>
          </w:tcPr>
          <w:p w14:paraId="7E7859D7" w14:textId="77777777" w:rsidR="00A82082" w:rsidRDefault="00A82082">
            <w:pPr>
              <w:rPr>
                <w:rFonts w:ascii="宋体"/>
              </w:rPr>
            </w:pPr>
          </w:p>
        </w:tc>
        <w:tc>
          <w:tcPr>
            <w:tcW w:w="5" w:type="pct"/>
            <w:shd w:val="clear" w:color="auto" w:fill="auto"/>
          </w:tcPr>
          <w:p w14:paraId="7E7859D8" w14:textId="77777777" w:rsidR="00A82082" w:rsidRDefault="00A82082">
            <w:pPr>
              <w:rPr>
                <w:rFonts w:ascii="宋体"/>
              </w:rPr>
            </w:pPr>
          </w:p>
        </w:tc>
        <w:tc>
          <w:tcPr>
            <w:tcW w:w="5" w:type="pct"/>
            <w:shd w:val="clear" w:color="auto" w:fill="auto"/>
          </w:tcPr>
          <w:p w14:paraId="7E7859D9" w14:textId="77777777" w:rsidR="00A82082" w:rsidRDefault="00A82082">
            <w:pPr>
              <w:rPr>
                <w:rFonts w:ascii="宋体"/>
              </w:rPr>
            </w:pPr>
          </w:p>
        </w:tc>
        <w:tc>
          <w:tcPr>
            <w:tcW w:w="26" w:type="pct"/>
            <w:shd w:val="clear" w:color="auto" w:fill="auto"/>
          </w:tcPr>
          <w:p w14:paraId="7E7859DA" w14:textId="77777777" w:rsidR="00A82082" w:rsidRDefault="00A82082">
            <w:pPr>
              <w:rPr>
                <w:rFonts w:ascii="宋体"/>
              </w:rPr>
            </w:pPr>
          </w:p>
        </w:tc>
        <w:tc>
          <w:tcPr>
            <w:tcW w:w="5" w:type="pct"/>
            <w:shd w:val="clear" w:color="auto" w:fill="auto"/>
          </w:tcPr>
          <w:p w14:paraId="7E7859DB" w14:textId="77777777" w:rsidR="00A82082" w:rsidRDefault="00A82082">
            <w:pPr>
              <w:rPr>
                <w:rFonts w:ascii="宋体"/>
              </w:rPr>
            </w:pPr>
          </w:p>
        </w:tc>
        <w:tc>
          <w:tcPr>
            <w:tcW w:w="50" w:type="pct"/>
            <w:shd w:val="clear" w:color="auto" w:fill="auto"/>
          </w:tcPr>
          <w:p w14:paraId="7E7859DC" w14:textId="77777777" w:rsidR="00A82082" w:rsidRDefault="00A82082">
            <w:pPr>
              <w:rPr>
                <w:rFonts w:ascii="宋体"/>
              </w:rPr>
            </w:pPr>
          </w:p>
        </w:tc>
        <w:tc>
          <w:tcPr>
            <w:tcW w:w="502" w:type="pct"/>
            <w:shd w:val="clear" w:color="auto" w:fill="auto"/>
          </w:tcPr>
          <w:p w14:paraId="7E7859DD" w14:textId="77777777" w:rsidR="00A82082" w:rsidRDefault="00A82082">
            <w:pPr>
              <w:rPr>
                <w:rFonts w:ascii="宋体"/>
              </w:rPr>
            </w:pPr>
          </w:p>
        </w:tc>
        <w:tc>
          <w:tcPr>
            <w:tcW w:w="5" w:type="pct"/>
            <w:shd w:val="clear" w:color="auto" w:fill="auto"/>
          </w:tcPr>
          <w:p w14:paraId="7E7859DE" w14:textId="77777777" w:rsidR="00A82082" w:rsidRDefault="00A82082">
            <w:pPr>
              <w:rPr>
                <w:rFonts w:ascii="宋体"/>
              </w:rPr>
            </w:pPr>
          </w:p>
        </w:tc>
        <w:tc>
          <w:tcPr>
            <w:tcW w:w="5" w:type="pct"/>
            <w:shd w:val="clear" w:color="auto" w:fill="auto"/>
          </w:tcPr>
          <w:p w14:paraId="7E7859DF" w14:textId="77777777" w:rsidR="00A82082" w:rsidRDefault="00A82082">
            <w:pPr>
              <w:rPr>
                <w:rFonts w:ascii="宋体"/>
              </w:rPr>
            </w:pPr>
          </w:p>
        </w:tc>
        <w:tc>
          <w:tcPr>
            <w:tcW w:w="26" w:type="pct"/>
            <w:shd w:val="clear" w:color="auto" w:fill="auto"/>
          </w:tcPr>
          <w:p w14:paraId="7E7859E0" w14:textId="77777777" w:rsidR="00A82082" w:rsidRDefault="00A82082">
            <w:pPr>
              <w:rPr>
                <w:rFonts w:ascii="宋体"/>
              </w:rPr>
            </w:pPr>
          </w:p>
        </w:tc>
        <w:tc>
          <w:tcPr>
            <w:tcW w:w="5" w:type="pct"/>
            <w:shd w:val="clear" w:color="auto" w:fill="auto"/>
          </w:tcPr>
          <w:p w14:paraId="7E7859E1" w14:textId="77777777" w:rsidR="00A82082" w:rsidRDefault="00A82082">
            <w:pPr>
              <w:rPr>
                <w:rFonts w:ascii="宋体"/>
              </w:rPr>
            </w:pPr>
          </w:p>
        </w:tc>
        <w:tc>
          <w:tcPr>
            <w:tcW w:w="0" w:type="auto"/>
            <w:gridSpan w:val="3"/>
            <w:shd w:val="clear" w:color="auto" w:fill="auto"/>
          </w:tcPr>
          <w:p w14:paraId="7E7859E2" w14:textId="77777777" w:rsidR="00A82082" w:rsidRDefault="00A82082">
            <w:pPr>
              <w:rPr>
                <w:rFonts w:ascii="宋体"/>
                <w:vanish/>
              </w:rPr>
            </w:pPr>
          </w:p>
        </w:tc>
        <w:tc>
          <w:tcPr>
            <w:tcW w:w="50" w:type="pct"/>
            <w:shd w:val="clear" w:color="auto" w:fill="auto"/>
          </w:tcPr>
          <w:p w14:paraId="7E7859E3" w14:textId="77777777" w:rsidR="00A82082" w:rsidRDefault="00A82082">
            <w:pPr>
              <w:rPr>
                <w:rFonts w:ascii="宋体"/>
              </w:rPr>
            </w:pPr>
          </w:p>
        </w:tc>
        <w:tc>
          <w:tcPr>
            <w:tcW w:w="509" w:type="pct"/>
            <w:shd w:val="clear" w:color="auto" w:fill="auto"/>
          </w:tcPr>
          <w:p w14:paraId="7E7859E4" w14:textId="77777777" w:rsidR="00A82082" w:rsidRDefault="00A82082">
            <w:pPr>
              <w:rPr>
                <w:rFonts w:ascii="宋体"/>
              </w:rPr>
            </w:pPr>
          </w:p>
        </w:tc>
        <w:tc>
          <w:tcPr>
            <w:tcW w:w="5" w:type="pct"/>
            <w:shd w:val="clear" w:color="auto" w:fill="auto"/>
          </w:tcPr>
          <w:p w14:paraId="7E7859E5" w14:textId="77777777" w:rsidR="00A82082" w:rsidRDefault="00A82082">
            <w:pPr>
              <w:rPr>
                <w:rFonts w:ascii="宋体"/>
              </w:rPr>
            </w:pPr>
          </w:p>
        </w:tc>
      </w:tr>
      <w:tr w:rsidR="00A82082" w14:paraId="7E7859F5" w14:textId="77777777">
        <w:tc>
          <w:tcPr>
            <w:tcW w:w="0" w:type="auto"/>
            <w:gridSpan w:val="3"/>
            <w:shd w:val="clear" w:color="auto" w:fill="auto"/>
            <w:tcMar>
              <w:top w:w="0" w:type="dxa"/>
              <w:left w:w="20" w:type="dxa"/>
              <w:bottom w:w="0" w:type="dxa"/>
              <w:right w:w="20" w:type="dxa"/>
            </w:tcMar>
          </w:tcPr>
          <w:p w14:paraId="7E7859E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9E8" w14:textId="77777777" w:rsidR="00A82082" w:rsidRDefault="00A82082">
            <w:pPr>
              <w:rPr>
                <w:rFonts w:ascii="宋体"/>
              </w:rPr>
            </w:pPr>
          </w:p>
        </w:tc>
        <w:tc>
          <w:tcPr>
            <w:tcW w:w="0" w:type="auto"/>
            <w:gridSpan w:val="7"/>
            <w:shd w:val="clear" w:color="auto" w:fill="auto"/>
            <w:tcMar>
              <w:top w:w="40" w:type="dxa"/>
              <w:left w:w="20" w:type="dxa"/>
              <w:bottom w:w="40" w:type="dxa"/>
              <w:right w:w="20" w:type="dxa"/>
            </w:tcMar>
            <w:vAlign w:val="bottom"/>
          </w:tcPr>
          <w:p w14:paraId="7E7859E9" w14:textId="77777777" w:rsidR="00A82082" w:rsidRDefault="00E946F9">
            <w:pPr>
              <w:jc w:val="center"/>
              <w:textAlignment w:val="bottom"/>
            </w:pPr>
            <w:r>
              <w:rPr>
                <w:rFonts w:ascii="Times New Roman" w:eastAsia="宋体" w:hAnsi="Times New Roman"/>
                <w:b/>
                <w:bCs/>
                <w:color w:val="000000"/>
                <w:sz w:val="16"/>
                <w:szCs w:val="16"/>
              </w:rPr>
              <w:t>Three Months Ended October 31,</w:t>
            </w:r>
          </w:p>
        </w:tc>
        <w:tc>
          <w:tcPr>
            <w:tcW w:w="0" w:type="auto"/>
            <w:shd w:val="clear" w:color="auto" w:fill="auto"/>
            <w:tcMar>
              <w:top w:w="0" w:type="dxa"/>
              <w:left w:w="20" w:type="dxa"/>
              <w:bottom w:w="0" w:type="dxa"/>
              <w:right w:w="20" w:type="dxa"/>
            </w:tcMar>
          </w:tcPr>
          <w:p w14:paraId="7E7859EA"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bottom"/>
          </w:tcPr>
          <w:p w14:paraId="7E7859EB"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9EC" w14:textId="77777777" w:rsidR="00A82082" w:rsidRDefault="00A82082">
            <w:pPr>
              <w:rPr>
                <w:rFonts w:ascii="宋体"/>
              </w:rPr>
            </w:pPr>
          </w:p>
        </w:tc>
        <w:tc>
          <w:tcPr>
            <w:tcW w:w="0" w:type="auto"/>
            <w:shd w:val="clear" w:color="auto" w:fill="auto"/>
          </w:tcPr>
          <w:p w14:paraId="7E7859ED" w14:textId="77777777" w:rsidR="00A82082" w:rsidRDefault="00A82082">
            <w:pPr>
              <w:rPr>
                <w:rFonts w:ascii="宋体"/>
              </w:rPr>
            </w:pPr>
          </w:p>
        </w:tc>
        <w:tc>
          <w:tcPr>
            <w:tcW w:w="0" w:type="auto"/>
            <w:shd w:val="clear" w:color="auto" w:fill="auto"/>
          </w:tcPr>
          <w:p w14:paraId="7E7859EE" w14:textId="77777777" w:rsidR="00A82082" w:rsidRDefault="00A82082">
            <w:pPr>
              <w:rPr>
                <w:rFonts w:ascii="宋体"/>
              </w:rPr>
            </w:pPr>
          </w:p>
        </w:tc>
        <w:tc>
          <w:tcPr>
            <w:tcW w:w="0" w:type="auto"/>
            <w:shd w:val="clear" w:color="auto" w:fill="auto"/>
          </w:tcPr>
          <w:p w14:paraId="7E7859EF" w14:textId="77777777" w:rsidR="00A82082" w:rsidRDefault="00A82082">
            <w:pPr>
              <w:rPr>
                <w:rFonts w:ascii="宋体"/>
              </w:rPr>
            </w:pPr>
          </w:p>
        </w:tc>
        <w:tc>
          <w:tcPr>
            <w:tcW w:w="0" w:type="auto"/>
            <w:shd w:val="clear" w:color="auto" w:fill="auto"/>
          </w:tcPr>
          <w:p w14:paraId="7E7859F0" w14:textId="77777777" w:rsidR="00A82082" w:rsidRDefault="00A82082">
            <w:pPr>
              <w:rPr>
                <w:rFonts w:ascii="宋体"/>
              </w:rPr>
            </w:pPr>
          </w:p>
        </w:tc>
        <w:tc>
          <w:tcPr>
            <w:tcW w:w="0" w:type="auto"/>
            <w:shd w:val="clear" w:color="auto" w:fill="auto"/>
          </w:tcPr>
          <w:p w14:paraId="7E7859F1" w14:textId="77777777" w:rsidR="00A82082" w:rsidRDefault="00A82082">
            <w:pPr>
              <w:rPr>
                <w:rFonts w:ascii="宋体"/>
              </w:rPr>
            </w:pPr>
          </w:p>
        </w:tc>
        <w:tc>
          <w:tcPr>
            <w:tcW w:w="0" w:type="auto"/>
            <w:shd w:val="clear" w:color="auto" w:fill="auto"/>
          </w:tcPr>
          <w:p w14:paraId="7E7859F2" w14:textId="77777777" w:rsidR="00A82082" w:rsidRDefault="00A82082">
            <w:pPr>
              <w:rPr>
                <w:rFonts w:ascii="宋体"/>
              </w:rPr>
            </w:pPr>
          </w:p>
        </w:tc>
        <w:tc>
          <w:tcPr>
            <w:tcW w:w="0" w:type="auto"/>
            <w:shd w:val="clear" w:color="auto" w:fill="auto"/>
          </w:tcPr>
          <w:p w14:paraId="7E7859F3" w14:textId="77777777" w:rsidR="00A82082" w:rsidRDefault="00A82082">
            <w:pPr>
              <w:rPr>
                <w:rFonts w:ascii="宋体"/>
              </w:rPr>
            </w:pPr>
          </w:p>
        </w:tc>
        <w:tc>
          <w:tcPr>
            <w:tcW w:w="0" w:type="auto"/>
            <w:shd w:val="clear" w:color="auto" w:fill="auto"/>
          </w:tcPr>
          <w:p w14:paraId="7E7859F4" w14:textId="77777777" w:rsidR="00A82082" w:rsidRDefault="00A82082">
            <w:pPr>
              <w:rPr>
                <w:rFonts w:ascii="宋体"/>
              </w:rPr>
            </w:pPr>
          </w:p>
        </w:tc>
      </w:tr>
      <w:tr w:rsidR="00A82082" w14:paraId="7E785A02" w14:textId="77777777">
        <w:tc>
          <w:tcPr>
            <w:tcW w:w="0" w:type="auto"/>
            <w:gridSpan w:val="3"/>
            <w:shd w:val="clear" w:color="auto" w:fill="auto"/>
            <w:tcMar>
              <w:top w:w="40" w:type="dxa"/>
              <w:left w:w="20" w:type="dxa"/>
              <w:bottom w:w="40" w:type="dxa"/>
              <w:right w:w="20" w:type="dxa"/>
            </w:tcMar>
            <w:vAlign w:val="bottom"/>
          </w:tcPr>
          <w:p w14:paraId="7E7859F6" w14:textId="77777777" w:rsidR="00A82082" w:rsidRDefault="00E946F9">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7E7859F7"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9F8"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9F9" w14:textId="77777777" w:rsidR="00A82082" w:rsidRDefault="00A82082">
            <w:pPr>
              <w:rPr>
                <w:rFonts w:ascii="宋体"/>
              </w:rPr>
            </w:pPr>
          </w:p>
        </w:tc>
        <w:tc>
          <w:tcPr>
            <w:tcW w:w="0" w:type="auto"/>
            <w:shd w:val="clear" w:color="auto" w:fill="auto"/>
          </w:tcPr>
          <w:p w14:paraId="7E7859FA" w14:textId="77777777" w:rsidR="00A82082" w:rsidRDefault="00A82082">
            <w:pPr>
              <w:rPr>
                <w:rFonts w:ascii="宋体"/>
                <w:vanish/>
              </w:rPr>
            </w:pPr>
          </w:p>
        </w:tc>
        <w:tc>
          <w:tcPr>
            <w:tcW w:w="0" w:type="auto"/>
            <w:shd w:val="clear" w:color="auto" w:fill="auto"/>
          </w:tcPr>
          <w:p w14:paraId="7E7859FB"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9FC"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9FD"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9FE" w14:textId="77777777" w:rsidR="00A82082" w:rsidRDefault="00E946F9">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E7859FF" w14:textId="77777777" w:rsidR="00A82082" w:rsidRDefault="00A82082">
            <w:pPr>
              <w:rPr>
                <w:rFonts w:ascii="宋体"/>
              </w:rPr>
            </w:pPr>
          </w:p>
        </w:tc>
        <w:tc>
          <w:tcPr>
            <w:tcW w:w="0" w:type="auto"/>
            <w:gridSpan w:val="3"/>
            <w:shd w:val="clear" w:color="auto" w:fill="auto"/>
          </w:tcPr>
          <w:p w14:paraId="7E785A00"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A01" w14:textId="77777777" w:rsidR="00A82082" w:rsidRDefault="00E946F9">
            <w:pPr>
              <w:jc w:val="center"/>
              <w:textAlignment w:val="bottom"/>
            </w:pPr>
            <w:r>
              <w:rPr>
                <w:rFonts w:ascii="Times New Roman" w:eastAsia="宋体" w:hAnsi="Times New Roman"/>
                <w:b/>
                <w:bCs/>
                <w:color w:val="000000"/>
                <w:sz w:val="16"/>
                <w:szCs w:val="16"/>
              </w:rPr>
              <w:t>2020</w:t>
            </w:r>
          </w:p>
        </w:tc>
      </w:tr>
      <w:tr w:rsidR="00A82082" w14:paraId="7E785A17" w14:textId="77777777">
        <w:tc>
          <w:tcPr>
            <w:tcW w:w="0" w:type="auto"/>
            <w:gridSpan w:val="3"/>
            <w:shd w:val="clear" w:color="auto" w:fill="CCEEFF"/>
            <w:tcMar>
              <w:top w:w="40" w:type="dxa"/>
              <w:left w:w="20" w:type="dxa"/>
              <w:bottom w:w="40" w:type="dxa"/>
              <w:right w:w="20" w:type="dxa"/>
            </w:tcMar>
            <w:vAlign w:val="center"/>
          </w:tcPr>
          <w:p w14:paraId="7E785A03" w14:textId="77777777" w:rsidR="00A82082" w:rsidRDefault="00E946F9">
            <w:pPr>
              <w:textAlignment w:val="center"/>
            </w:pPr>
            <w:r>
              <w:rPr>
                <w:rFonts w:ascii="Times New Roman" w:eastAsia="宋体" w:hAnsi="Times New Roman"/>
                <w:color w:val="000000"/>
                <w:sz w:val="16"/>
                <w:szCs w:val="16"/>
              </w:rPr>
              <w:t>To</w:t>
            </w:r>
            <w:r>
              <w:rPr>
                <w:rFonts w:ascii="Times New Roman" w:eastAsia="宋体" w:hAnsi="Times New Roman"/>
                <w:color w:val="000000"/>
                <w:sz w:val="16"/>
                <w:szCs w:val="16"/>
              </w:rPr>
              <w:t>tal revenues</w:t>
            </w:r>
          </w:p>
        </w:tc>
        <w:tc>
          <w:tcPr>
            <w:tcW w:w="0" w:type="auto"/>
            <w:gridSpan w:val="3"/>
            <w:shd w:val="clear" w:color="auto" w:fill="CCEEFF"/>
            <w:tcMar>
              <w:top w:w="0" w:type="dxa"/>
              <w:left w:w="20" w:type="dxa"/>
              <w:bottom w:w="0" w:type="dxa"/>
              <w:right w:w="20" w:type="dxa"/>
            </w:tcMar>
          </w:tcPr>
          <w:p w14:paraId="7E785A0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A0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A06" w14:textId="77777777" w:rsidR="00A82082" w:rsidRDefault="00E946F9">
            <w:pPr>
              <w:jc w:val="right"/>
              <w:textAlignment w:val="center"/>
            </w:pPr>
            <w:r>
              <w:rPr>
                <w:rFonts w:ascii="Times New Roman" w:eastAsia="宋体" w:hAnsi="Times New Roman"/>
                <w:color w:val="000000"/>
                <w:sz w:val="16"/>
                <w:szCs w:val="16"/>
              </w:rPr>
              <w:t>134,708 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A0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08" w14:textId="77777777" w:rsidR="00A82082" w:rsidRDefault="00A82082">
            <w:pPr>
              <w:rPr>
                <w:rFonts w:ascii="宋体"/>
              </w:rPr>
            </w:pPr>
          </w:p>
        </w:tc>
        <w:tc>
          <w:tcPr>
            <w:tcW w:w="0" w:type="auto"/>
            <w:shd w:val="clear" w:color="auto" w:fill="auto"/>
          </w:tcPr>
          <w:p w14:paraId="7E785A09" w14:textId="77777777" w:rsidR="00A82082" w:rsidRDefault="00A82082">
            <w:pPr>
              <w:rPr>
                <w:rFonts w:ascii="宋体"/>
                <w:vanish/>
              </w:rPr>
            </w:pPr>
          </w:p>
        </w:tc>
        <w:tc>
          <w:tcPr>
            <w:tcW w:w="0" w:type="auto"/>
            <w:shd w:val="clear" w:color="auto" w:fill="auto"/>
          </w:tcPr>
          <w:p w14:paraId="7E785A0A"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A0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A0C" w14:textId="77777777" w:rsidR="00A82082" w:rsidRDefault="00E946F9">
            <w:pPr>
              <w:jc w:val="right"/>
              <w:textAlignment w:val="center"/>
            </w:pPr>
            <w:r>
              <w:rPr>
                <w:rFonts w:ascii="Times New Roman" w:eastAsia="宋体" w:hAnsi="Times New Roman"/>
                <w:color w:val="000000"/>
                <w:sz w:val="16"/>
                <w:szCs w:val="16"/>
              </w:rPr>
              <w:t>127,991 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A0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0E"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A0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A10" w14:textId="77777777" w:rsidR="00A82082" w:rsidRDefault="00E946F9">
            <w:pPr>
              <w:jc w:val="right"/>
              <w:textAlignment w:val="center"/>
            </w:pPr>
            <w:r>
              <w:rPr>
                <w:rFonts w:ascii="Times New Roman" w:eastAsia="宋体" w:hAnsi="Times New Roman"/>
                <w:color w:val="000000"/>
                <w:sz w:val="16"/>
                <w:szCs w:val="16"/>
              </w:rPr>
              <w:t>407,072 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A1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12" w14:textId="77777777" w:rsidR="00A82082" w:rsidRDefault="00A82082">
            <w:pPr>
              <w:rPr>
                <w:rFonts w:ascii="宋体"/>
              </w:rPr>
            </w:pPr>
          </w:p>
        </w:tc>
        <w:tc>
          <w:tcPr>
            <w:tcW w:w="0" w:type="auto"/>
            <w:gridSpan w:val="3"/>
            <w:shd w:val="clear" w:color="auto" w:fill="auto"/>
          </w:tcPr>
          <w:p w14:paraId="7E785A13"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A1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A15" w14:textId="77777777" w:rsidR="00A82082" w:rsidRDefault="00E946F9">
            <w:pPr>
              <w:jc w:val="right"/>
              <w:textAlignment w:val="center"/>
            </w:pPr>
            <w:r>
              <w:rPr>
                <w:rFonts w:ascii="Times New Roman" w:eastAsia="宋体" w:hAnsi="Times New Roman"/>
                <w:color w:val="000000"/>
                <w:sz w:val="16"/>
                <w:szCs w:val="16"/>
              </w:rPr>
              <w:t>382,293 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A16" w14:textId="77777777" w:rsidR="00A82082" w:rsidRDefault="00A82082">
            <w:pPr>
              <w:jc w:val="right"/>
              <w:rPr>
                <w:rFonts w:ascii="宋体"/>
              </w:rPr>
            </w:pPr>
          </w:p>
        </w:tc>
      </w:tr>
      <w:tr w:rsidR="00A82082" w14:paraId="7E785A25" w14:textId="77777777">
        <w:tc>
          <w:tcPr>
            <w:tcW w:w="0" w:type="auto"/>
            <w:gridSpan w:val="3"/>
            <w:shd w:val="clear" w:color="auto" w:fill="FFFFFF"/>
            <w:tcMar>
              <w:top w:w="40" w:type="dxa"/>
              <w:left w:w="20" w:type="dxa"/>
              <w:bottom w:w="40" w:type="dxa"/>
              <w:right w:w="20" w:type="dxa"/>
            </w:tcMar>
            <w:vAlign w:val="center"/>
          </w:tcPr>
          <w:p w14:paraId="7E785A18"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A19" w14:textId="77777777" w:rsidR="00A82082" w:rsidRDefault="00A82082">
            <w:pPr>
              <w:rPr>
                <w:rFonts w:ascii="宋体"/>
              </w:rPr>
            </w:pPr>
          </w:p>
        </w:tc>
        <w:tc>
          <w:tcPr>
            <w:tcW w:w="0" w:type="auto"/>
            <w:gridSpan w:val="3"/>
            <w:shd w:val="clear" w:color="auto" w:fill="FFFFFF"/>
            <w:tcMar>
              <w:top w:w="40" w:type="dxa"/>
              <w:left w:w="20" w:type="dxa"/>
              <w:bottom w:w="40" w:type="dxa"/>
              <w:right w:w="140" w:type="dxa"/>
            </w:tcMar>
            <w:vAlign w:val="center"/>
          </w:tcPr>
          <w:p w14:paraId="7E785A1A" w14:textId="77777777" w:rsidR="00A82082" w:rsidRDefault="00E946F9">
            <w:pPr>
              <w:jc w:val="right"/>
              <w:textAlignment w:val="center"/>
            </w:pPr>
            <w:r>
              <w:rPr>
                <w:rFonts w:ascii="Times New Roman" w:eastAsia="宋体" w:hAnsi="Times New Roman"/>
                <w:color w:val="000000"/>
                <w:sz w:val="16"/>
                <w:szCs w:val="16"/>
              </w:rPr>
              <w:t>5.2%</w:t>
            </w:r>
          </w:p>
        </w:tc>
        <w:tc>
          <w:tcPr>
            <w:tcW w:w="0" w:type="auto"/>
            <w:gridSpan w:val="3"/>
            <w:shd w:val="clear" w:color="auto" w:fill="FFFFFF"/>
            <w:tcMar>
              <w:top w:w="0" w:type="dxa"/>
              <w:left w:w="20" w:type="dxa"/>
              <w:bottom w:w="0" w:type="dxa"/>
              <w:right w:w="20" w:type="dxa"/>
            </w:tcMar>
          </w:tcPr>
          <w:p w14:paraId="7E785A1B" w14:textId="77777777" w:rsidR="00A82082" w:rsidRDefault="00A82082">
            <w:pPr>
              <w:rPr>
                <w:rFonts w:ascii="宋体"/>
              </w:rPr>
            </w:pPr>
          </w:p>
        </w:tc>
        <w:tc>
          <w:tcPr>
            <w:tcW w:w="0" w:type="auto"/>
            <w:shd w:val="clear" w:color="auto" w:fill="auto"/>
          </w:tcPr>
          <w:p w14:paraId="7E785A1C" w14:textId="77777777" w:rsidR="00A82082" w:rsidRDefault="00A82082">
            <w:pPr>
              <w:rPr>
                <w:rFonts w:ascii="宋体"/>
                <w:vanish/>
              </w:rPr>
            </w:pPr>
          </w:p>
        </w:tc>
        <w:tc>
          <w:tcPr>
            <w:tcW w:w="0" w:type="auto"/>
            <w:shd w:val="clear" w:color="auto" w:fill="auto"/>
          </w:tcPr>
          <w:p w14:paraId="7E785A1D"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1E" w14:textId="77777777" w:rsidR="00A82082" w:rsidRDefault="00E946F9">
            <w:pPr>
              <w:jc w:val="right"/>
              <w:textAlignment w:val="center"/>
            </w:pPr>
            <w:r>
              <w:rPr>
                <w:rFonts w:ascii="Times New Roman" w:eastAsia="宋体" w:hAnsi="Times New Roman"/>
                <w:color w:val="000000"/>
                <w:sz w:val="16"/>
                <w:szCs w:val="16"/>
              </w:rPr>
              <w:t>2.5%</w:t>
            </w:r>
          </w:p>
        </w:tc>
        <w:tc>
          <w:tcPr>
            <w:tcW w:w="0" w:type="auto"/>
            <w:gridSpan w:val="3"/>
            <w:shd w:val="clear" w:color="auto" w:fill="FFFFFF"/>
            <w:tcMar>
              <w:top w:w="0" w:type="dxa"/>
              <w:left w:w="20" w:type="dxa"/>
              <w:bottom w:w="0" w:type="dxa"/>
              <w:right w:w="20" w:type="dxa"/>
            </w:tcMar>
          </w:tcPr>
          <w:p w14:paraId="7E785A1F"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20" w14:textId="77777777" w:rsidR="00A82082" w:rsidRDefault="00E946F9">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7E785A21"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A22" w14:textId="77777777" w:rsidR="00A82082" w:rsidRDefault="00A82082">
            <w:pPr>
              <w:rPr>
                <w:rFonts w:ascii="宋体"/>
              </w:rPr>
            </w:pPr>
          </w:p>
        </w:tc>
        <w:tc>
          <w:tcPr>
            <w:tcW w:w="0" w:type="auto"/>
            <w:gridSpan w:val="3"/>
            <w:shd w:val="clear" w:color="auto" w:fill="auto"/>
          </w:tcPr>
          <w:p w14:paraId="7E785A23"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24" w14:textId="77777777" w:rsidR="00A82082" w:rsidRDefault="00E946F9">
            <w:pPr>
              <w:jc w:val="right"/>
              <w:textAlignment w:val="center"/>
            </w:pPr>
            <w:r>
              <w:rPr>
                <w:rFonts w:ascii="Times New Roman" w:eastAsia="宋体" w:hAnsi="Times New Roman"/>
                <w:color w:val="000000"/>
                <w:sz w:val="16"/>
                <w:szCs w:val="16"/>
              </w:rPr>
              <w:t>1.8%</w:t>
            </w:r>
          </w:p>
        </w:tc>
      </w:tr>
      <w:tr w:rsidR="00A82082" w14:paraId="7E785A3A" w14:textId="77777777">
        <w:tc>
          <w:tcPr>
            <w:tcW w:w="0" w:type="auto"/>
            <w:gridSpan w:val="3"/>
            <w:shd w:val="clear" w:color="auto" w:fill="CCEEFF"/>
            <w:tcMar>
              <w:top w:w="40" w:type="dxa"/>
              <w:left w:w="20" w:type="dxa"/>
              <w:bottom w:w="40" w:type="dxa"/>
              <w:right w:w="20" w:type="dxa"/>
            </w:tcMar>
            <w:vAlign w:val="center"/>
          </w:tcPr>
          <w:p w14:paraId="7E785A26"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5A27"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A2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29" w14:textId="77777777" w:rsidR="00A82082" w:rsidRDefault="00E946F9">
            <w:pPr>
              <w:jc w:val="right"/>
              <w:textAlignment w:val="center"/>
            </w:pPr>
            <w:r>
              <w:rPr>
                <w:rFonts w:ascii="Times New Roman" w:eastAsia="宋体" w:hAnsi="Times New Roman"/>
                <w:color w:val="000000"/>
                <w:sz w:val="16"/>
                <w:szCs w:val="16"/>
              </w:rPr>
              <w:t>133,752 </w:t>
            </w:r>
          </w:p>
        </w:tc>
        <w:tc>
          <w:tcPr>
            <w:tcW w:w="0" w:type="auto"/>
            <w:shd w:val="clear" w:color="auto" w:fill="CCEEFF"/>
            <w:tcMar>
              <w:top w:w="40" w:type="dxa"/>
              <w:left w:w="0" w:type="dxa"/>
              <w:bottom w:w="40" w:type="dxa"/>
              <w:right w:w="20" w:type="dxa"/>
            </w:tcMar>
            <w:vAlign w:val="center"/>
          </w:tcPr>
          <w:p w14:paraId="7E785A2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2B" w14:textId="77777777" w:rsidR="00A82082" w:rsidRDefault="00A82082">
            <w:pPr>
              <w:rPr>
                <w:rFonts w:ascii="宋体"/>
              </w:rPr>
            </w:pPr>
          </w:p>
        </w:tc>
        <w:tc>
          <w:tcPr>
            <w:tcW w:w="0" w:type="auto"/>
            <w:shd w:val="clear" w:color="auto" w:fill="auto"/>
          </w:tcPr>
          <w:p w14:paraId="7E785A2C" w14:textId="77777777" w:rsidR="00A82082" w:rsidRDefault="00A82082">
            <w:pPr>
              <w:rPr>
                <w:rFonts w:ascii="宋体"/>
                <w:vanish/>
              </w:rPr>
            </w:pPr>
          </w:p>
        </w:tc>
        <w:tc>
          <w:tcPr>
            <w:tcW w:w="0" w:type="auto"/>
            <w:shd w:val="clear" w:color="auto" w:fill="auto"/>
          </w:tcPr>
          <w:p w14:paraId="7E785A2D"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A2E"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2F" w14:textId="77777777" w:rsidR="00A82082" w:rsidRDefault="00E946F9">
            <w:pPr>
              <w:jc w:val="right"/>
              <w:textAlignment w:val="center"/>
            </w:pPr>
            <w:r>
              <w:rPr>
                <w:rFonts w:ascii="Times New Roman" w:eastAsia="宋体" w:hAnsi="Times New Roman"/>
                <w:color w:val="000000"/>
                <w:sz w:val="16"/>
                <w:szCs w:val="16"/>
              </w:rPr>
              <w:t>126,981 </w:t>
            </w:r>
          </w:p>
        </w:tc>
        <w:tc>
          <w:tcPr>
            <w:tcW w:w="0" w:type="auto"/>
            <w:shd w:val="clear" w:color="auto" w:fill="CCEEFF"/>
            <w:tcMar>
              <w:top w:w="40" w:type="dxa"/>
              <w:left w:w="0" w:type="dxa"/>
              <w:bottom w:w="40" w:type="dxa"/>
              <w:right w:w="20" w:type="dxa"/>
            </w:tcMar>
            <w:vAlign w:val="center"/>
          </w:tcPr>
          <w:p w14:paraId="7E785A3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31"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A32"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33" w14:textId="77777777" w:rsidR="00A82082" w:rsidRDefault="00E946F9">
            <w:pPr>
              <w:jc w:val="right"/>
              <w:textAlignment w:val="center"/>
            </w:pPr>
            <w:r>
              <w:rPr>
                <w:rFonts w:ascii="Times New Roman" w:eastAsia="宋体" w:hAnsi="Times New Roman"/>
                <w:color w:val="000000"/>
                <w:sz w:val="16"/>
                <w:szCs w:val="16"/>
              </w:rPr>
              <w:t>404,248 </w:t>
            </w:r>
          </w:p>
        </w:tc>
        <w:tc>
          <w:tcPr>
            <w:tcW w:w="0" w:type="auto"/>
            <w:shd w:val="clear" w:color="auto" w:fill="CCEEFF"/>
            <w:tcMar>
              <w:top w:w="40" w:type="dxa"/>
              <w:left w:w="0" w:type="dxa"/>
              <w:bottom w:w="40" w:type="dxa"/>
              <w:right w:w="20" w:type="dxa"/>
            </w:tcMar>
            <w:vAlign w:val="center"/>
          </w:tcPr>
          <w:p w14:paraId="7E785A3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35" w14:textId="77777777" w:rsidR="00A82082" w:rsidRDefault="00A82082">
            <w:pPr>
              <w:rPr>
                <w:rFonts w:ascii="宋体"/>
              </w:rPr>
            </w:pPr>
          </w:p>
        </w:tc>
        <w:tc>
          <w:tcPr>
            <w:tcW w:w="0" w:type="auto"/>
            <w:gridSpan w:val="3"/>
            <w:shd w:val="clear" w:color="auto" w:fill="auto"/>
          </w:tcPr>
          <w:p w14:paraId="7E785A36"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A3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38" w14:textId="77777777" w:rsidR="00A82082" w:rsidRDefault="00E946F9">
            <w:pPr>
              <w:jc w:val="right"/>
              <w:textAlignment w:val="center"/>
            </w:pPr>
            <w:r>
              <w:rPr>
                <w:rFonts w:ascii="Times New Roman" w:eastAsia="宋体" w:hAnsi="Times New Roman"/>
                <w:color w:val="000000"/>
                <w:sz w:val="16"/>
                <w:szCs w:val="16"/>
              </w:rPr>
              <w:t>379,318 </w:t>
            </w:r>
          </w:p>
        </w:tc>
        <w:tc>
          <w:tcPr>
            <w:tcW w:w="0" w:type="auto"/>
            <w:shd w:val="clear" w:color="auto" w:fill="CCEEFF"/>
            <w:tcMar>
              <w:top w:w="40" w:type="dxa"/>
              <w:left w:w="0" w:type="dxa"/>
              <w:bottom w:w="40" w:type="dxa"/>
              <w:right w:w="20" w:type="dxa"/>
            </w:tcMar>
            <w:vAlign w:val="center"/>
          </w:tcPr>
          <w:p w14:paraId="7E785A39" w14:textId="77777777" w:rsidR="00A82082" w:rsidRDefault="00A82082">
            <w:pPr>
              <w:jc w:val="right"/>
              <w:rPr>
                <w:rFonts w:ascii="宋体"/>
              </w:rPr>
            </w:pPr>
          </w:p>
        </w:tc>
      </w:tr>
      <w:tr w:rsidR="00A82082" w14:paraId="7E785A48" w14:textId="77777777">
        <w:tc>
          <w:tcPr>
            <w:tcW w:w="0" w:type="auto"/>
            <w:gridSpan w:val="3"/>
            <w:shd w:val="clear" w:color="auto" w:fill="FFFFFF"/>
            <w:tcMar>
              <w:top w:w="40" w:type="dxa"/>
              <w:left w:w="20" w:type="dxa"/>
              <w:bottom w:w="40" w:type="dxa"/>
              <w:right w:w="20" w:type="dxa"/>
            </w:tcMar>
            <w:vAlign w:val="center"/>
          </w:tcPr>
          <w:p w14:paraId="7E785A3B"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A3C" w14:textId="77777777" w:rsidR="00A82082" w:rsidRDefault="00A82082">
            <w:pPr>
              <w:rPr>
                <w:rFonts w:ascii="宋体"/>
              </w:rPr>
            </w:pPr>
          </w:p>
        </w:tc>
        <w:tc>
          <w:tcPr>
            <w:tcW w:w="0" w:type="auto"/>
            <w:gridSpan w:val="3"/>
            <w:shd w:val="clear" w:color="auto" w:fill="FFFFFF"/>
            <w:tcMar>
              <w:top w:w="40" w:type="dxa"/>
              <w:left w:w="20" w:type="dxa"/>
              <w:bottom w:w="40" w:type="dxa"/>
              <w:right w:w="140" w:type="dxa"/>
            </w:tcMar>
            <w:vAlign w:val="center"/>
          </w:tcPr>
          <w:p w14:paraId="7E785A3D" w14:textId="77777777" w:rsidR="00A82082" w:rsidRDefault="00E946F9">
            <w:pPr>
              <w:jc w:val="right"/>
              <w:textAlignment w:val="center"/>
            </w:pPr>
            <w:r>
              <w:rPr>
                <w:rFonts w:ascii="Times New Roman" w:eastAsia="宋体" w:hAnsi="Times New Roman"/>
                <w:color w:val="000000"/>
                <w:sz w:val="16"/>
                <w:szCs w:val="16"/>
              </w:rPr>
              <w:t>5.3%</w:t>
            </w:r>
          </w:p>
        </w:tc>
        <w:tc>
          <w:tcPr>
            <w:tcW w:w="0" w:type="auto"/>
            <w:gridSpan w:val="3"/>
            <w:shd w:val="clear" w:color="auto" w:fill="FFFFFF"/>
            <w:tcMar>
              <w:top w:w="0" w:type="dxa"/>
              <w:left w:w="20" w:type="dxa"/>
              <w:bottom w:w="0" w:type="dxa"/>
              <w:right w:w="20" w:type="dxa"/>
            </w:tcMar>
          </w:tcPr>
          <w:p w14:paraId="7E785A3E" w14:textId="77777777" w:rsidR="00A82082" w:rsidRDefault="00A82082">
            <w:pPr>
              <w:rPr>
                <w:rFonts w:ascii="宋体"/>
              </w:rPr>
            </w:pPr>
          </w:p>
        </w:tc>
        <w:tc>
          <w:tcPr>
            <w:tcW w:w="0" w:type="auto"/>
            <w:shd w:val="clear" w:color="auto" w:fill="auto"/>
          </w:tcPr>
          <w:p w14:paraId="7E785A3F" w14:textId="77777777" w:rsidR="00A82082" w:rsidRDefault="00A82082">
            <w:pPr>
              <w:rPr>
                <w:rFonts w:ascii="宋体"/>
                <w:vanish/>
              </w:rPr>
            </w:pPr>
          </w:p>
        </w:tc>
        <w:tc>
          <w:tcPr>
            <w:tcW w:w="0" w:type="auto"/>
            <w:shd w:val="clear" w:color="auto" w:fill="auto"/>
          </w:tcPr>
          <w:p w14:paraId="7E785A40"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41" w14:textId="77777777" w:rsidR="00A82082" w:rsidRDefault="00E946F9">
            <w:pPr>
              <w:jc w:val="right"/>
              <w:textAlignment w:val="center"/>
            </w:pPr>
            <w:r>
              <w:rPr>
                <w:rFonts w:ascii="Times New Roman" w:eastAsia="宋体" w:hAnsi="Times New Roman"/>
                <w:color w:val="000000"/>
                <w:sz w:val="16"/>
                <w:szCs w:val="16"/>
              </w:rPr>
              <w:t>2.5%</w:t>
            </w:r>
          </w:p>
        </w:tc>
        <w:tc>
          <w:tcPr>
            <w:tcW w:w="0" w:type="auto"/>
            <w:gridSpan w:val="3"/>
            <w:shd w:val="clear" w:color="auto" w:fill="FFFFFF"/>
            <w:tcMar>
              <w:top w:w="0" w:type="dxa"/>
              <w:left w:w="20" w:type="dxa"/>
              <w:bottom w:w="0" w:type="dxa"/>
              <w:right w:w="20" w:type="dxa"/>
            </w:tcMar>
          </w:tcPr>
          <w:p w14:paraId="7E785A4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43" w14:textId="77777777" w:rsidR="00A82082" w:rsidRDefault="00E946F9">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7E785A4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A45" w14:textId="77777777" w:rsidR="00A82082" w:rsidRDefault="00A82082">
            <w:pPr>
              <w:rPr>
                <w:rFonts w:ascii="宋体"/>
              </w:rPr>
            </w:pPr>
          </w:p>
        </w:tc>
        <w:tc>
          <w:tcPr>
            <w:tcW w:w="0" w:type="auto"/>
            <w:gridSpan w:val="3"/>
            <w:shd w:val="clear" w:color="auto" w:fill="auto"/>
          </w:tcPr>
          <w:p w14:paraId="7E785A46"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47" w14:textId="77777777" w:rsidR="00A82082" w:rsidRDefault="00E946F9">
            <w:pPr>
              <w:jc w:val="right"/>
              <w:textAlignment w:val="center"/>
            </w:pPr>
            <w:r>
              <w:rPr>
                <w:rFonts w:ascii="Times New Roman" w:eastAsia="宋体" w:hAnsi="Times New Roman"/>
                <w:color w:val="000000"/>
                <w:sz w:val="16"/>
                <w:szCs w:val="16"/>
              </w:rPr>
              <w:t>1.8%</w:t>
            </w:r>
          </w:p>
        </w:tc>
      </w:tr>
      <w:tr w:rsidR="00A82082" w14:paraId="7E785A56" w14:textId="77777777">
        <w:tc>
          <w:tcPr>
            <w:tcW w:w="0" w:type="auto"/>
            <w:gridSpan w:val="3"/>
            <w:shd w:val="clear" w:color="auto" w:fill="CCEEFF"/>
            <w:tcMar>
              <w:top w:w="40" w:type="dxa"/>
              <w:left w:w="20" w:type="dxa"/>
              <w:bottom w:w="40" w:type="dxa"/>
              <w:right w:w="20" w:type="dxa"/>
            </w:tcMar>
            <w:vAlign w:val="center"/>
          </w:tcPr>
          <w:p w14:paraId="7E785A49" w14:textId="77777777" w:rsidR="00A82082" w:rsidRDefault="00E946F9">
            <w:pPr>
              <w:textAlignment w:val="center"/>
            </w:pPr>
            <w:r>
              <w:rPr>
                <w:rFonts w:ascii="Times New Roman" w:eastAsia="宋体" w:hAnsi="Times New Roman"/>
                <w:color w:val="000000"/>
                <w:sz w:val="16"/>
                <w:szCs w:val="16"/>
              </w:rPr>
              <w:t>Total U.S. calendar comparable sal</w:t>
            </w:r>
            <w:r>
              <w:rPr>
                <w:rFonts w:ascii="Times New Roman" w:eastAsia="宋体" w:hAnsi="Times New Roman"/>
                <w:color w:val="000000"/>
                <w:sz w:val="16"/>
                <w:szCs w:val="16"/>
              </w:rPr>
              <w:t>es increase</w:t>
            </w:r>
          </w:p>
        </w:tc>
        <w:tc>
          <w:tcPr>
            <w:tcW w:w="0" w:type="auto"/>
            <w:gridSpan w:val="3"/>
            <w:shd w:val="clear" w:color="auto" w:fill="CCEEFF"/>
            <w:tcMar>
              <w:top w:w="0" w:type="dxa"/>
              <w:left w:w="20" w:type="dxa"/>
              <w:bottom w:w="0" w:type="dxa"/>
              <w:right w:w="20" w:type="dxa"/>
            </w:tcMar>
          </w:tcPr>
          <w:p w14:paraId="7E785A4A" w14:textId="77777777" w:rsidR="00A82082" w:rsidRDefault="00A82082">
            <w:pPr>
              <w:rPr>
                <w:rFonts w:ascii="宋体"/>
              </w:rPr>
            </w:pPr>
          </w:p>
        </w:tc>
        <w:tc>
          <w:tcPr>
            <w:tcW w:w="0" w:type="auto"/>
            <w:gridSpan w:val="3"/>
            <w:shd w:val="clear" w:color="auto" w:fill="CCEEFF"/>
            <w:tcMar>
              <w:top w:w="40" w:type="dxa"/>
              <w:left w:w="20" w:type="dxa"/>
              <w:bottom w:w="40" w:type="dxa"/>
              <w:right w:w="140" w:type="dxa"/>
            </w:tcMar>
            <w:vAlign w:val="center"/>
          </w:tcPr>
          <w:p w14:paraId="7E785A4B" w14:textId="77777777" w:rsidR="00A82082" w:rsidRDefault="00E946F9">
            <w:pPr>
              <w:jc w:val="right"/>
              <w:textAlignment w:val="center"/>
            </w:pPr>
            <w:r>
              <w:rPr>
                <w:rFonts w:ascii="Times New Roman" w:eastAsia="宋体" w:hAnsi="Times New Roman"/>
                <w:color w:val="000000"/>
                <w:sz w:val="16"/>
                <w:szCs w:val="16"/>
              </w:rPr>
              <w:t>6.8%</w:t>
            </w:r>
          </w:p>
        </w:tc>
        <w:tc>
          <w:tcPr>
            <w:tcW w:w="0" w:type="auto"/>
            <w:gridSpan w:val="3"/>
            <w:shd w:val="clear" w:color="auto" w:fill="CCEEFF"/>
            <w:tcMar>
              <w:top w:w="0" w:type="dxa"/>
              <w:left w:w="20" w:type="dxa"/>
              <w:bottom w:w="0" w:type="dxa"/>
              <w:right w:w="20" w:type="dxa"/>
            </w:tcMar>
          </w:tcPr>
          <w:p w14:paraId="7E785A4C" w14:textId="77777777" w:rsidR="00A82082" w:rsidRDefault="00A82082">
            <w:pPr>
              <w:rPr>
                <w:rFonts w:ascii="宋体"/>
              </w:rPr>
            </w:pPr>
          </w:p>
        </w:tc>
        <w:tc>
          <w:tcPr>
            <w:tcW w:w="0" w:type="auto"/>
            <w:shd w:val="clear" w:color="auto" w:fill="auto"/>
          </w:tcPr>
          <w:p w14:paraId="7E785A4D" w14:textId="77777777" w:rsidR="00A82082" w:rsidRDefault="00A82082">
            <w:pPr>
              <w:rPr>
                <w:rFonts w:ascii="宋体"/>
                <w:vanish/>
              </w:rPr>
            </w:pPr>
          </w:p>
        </w:tc>
        <w:tc>
          <w:tcPr>
            <w:tcW w:w="0" w:type="auto"/>
            <w:shd w:val="clear" w:color="auto" w:fill="auto"/>
          </w:tcPr>
          <w:p w14:paraId="7E785A4E" w14:textId="77777777" w:rsidR="00A82082" w:rsidRDefault="00A82082">
            <w:pPr>
              <w:rPr>
                <w:rFonts w:ascii="宋体"/>
                <w:vanish/>
              </w:rPr>
            </w:pPr>
          </w:p>
        </w:tc>
        <w:tc>
          <w:tcPr>
            <w:tcW w:w="0" w:type="auto"/>
            <w:gridSpan w:val="3"/>
            <w:shd w:val="clear" w:color="auto" w:fill="CCEEFF"/>
            <w:tcMar>
              <w:top w:w="40" w:type="dxa"/>
              <w:left w:w="20" w:type="dxa"/>
              <w:bottom w:w="40" w:type="dxa"/>
              <w:right w:w="140" w:type="dxa"/>
            </w:tcMar>
            <w:vAlign w:val="center"/>
          </w:tcPr>
          <w:p w14:paraId="7E785A4F" w14:textId="77777777" w:rsidR="00A82082" w:rsidRDefault="00E946F9">
            <w:pPr>
              <w:jc w:val="right"/>
              <w:textAlignment w:val="center"/>
            </w:pPr>
            <w:r>
              <w:rPr>
                <w:rFonts w:ascii="Times New Roman" w:eastAsia="宋体" w:hAnsi="Times New Roman"/>
                <w:color w:val="000000"/>
                <w:sz w:val="16"/>
                <w:szCs w:val="16"/>
              </w:rPr>
              <w:t>2.9%</w:t>
            </w:r>
          </w:p>
        </w:tc>
        <w:tc>
          <w:tcPr>
            <w:tcW w:w="0" w:type="auto"/>
            <w:gridSpan w:val="3"/>
            <w:shd w:val="clear" w:color="auto" w:fill="CCEEFF"/>
            <w:tcMar>
              <w:top w:w="0" w:type="dxa"/>
              <w:left w:w="20" w:type="dxa"/>
              <w:bottom w:w="0" w:type="dxa"/>
              <w:right w:w="20" w:type="dxa"/>
            </w:tcMar>
          </w:tcPr>
          <w:p w14:paraId="7E785A50"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A51" w14:textId="77777777" w:rsidR="00A82082" w:rsidRDefault="00E946F9">
            <w:pPr>
              <w:jc w:val="right"/>
              <w:textAlignment w:val="center"/>
            </w:pPr>
            <w:r>
              <w:rPr>
                <w:rFonts w:ascii="Times New Roman" w:eastAsia="宋体" w:hAnsi="Times New Roman"/>
                <w:color w:val="000000"/>
                <w:sz w:val="16"/>
                <w:szCs w:val="16"/>
              </w:rPr>
              <w:t>8.9 </w:t>
            </w:r>
          </w:p>
        </w:tc>
        <w:tc>
          <w:tcPr>
            <w:tcW w:w="0" w:type="auto"/>
            <w:shd w:val="clear" w:color="auto" w:fill="CCEEFF"/>
            <w:tcMar>
              <w:top w:w="40" w:type="dxa"/>
              <w:left w:w="0" w:type="dxa"/>
              <w:bottom w:w="40" w:type="dxa"/>
              <w:right w:w="20" w:type="dxa"/>
            </w:tcMar>
            <w:vAlign w:val="center"/>
          </w:tcPr>
          <w:p w14:paraId="7E785A52"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A53" w14:textId="77777777" w:rsidR="00A82082" w:rsidRDefault="00A82082">
            <w:pPr>
              <w:rPr>
                <w:rFonts w:ascii="宋体"/>
              </w:rPr>
            </w:pPr>
          </w:p>
        </w:tc>
        <w:tc>
          <w:tcPr>
            <w:tcW w:w="0" w:type="auto"/>
            <w:gridSpan w:val="3"/>
            <w:shd w:val="clear" w:color="auto" w:fill="auto"/>
          </w:tcPr>
          <w:p w14:paraId="7E785A54" w14:textId="77777777" w:rsidR="00A82082" w:rsidRDefault="00A82082">
            <w:pPr>
              <w:rPr>
                <w:rFonts w:ascii="宋体"/>
                <w:vanish/>
              </w:rPr>
            </w:pPr>
          </w:p>
        </w:tc>
        <w:tc>
          <w:tcPr>
            <w:tcW w:w="0" w:type="auto"/>
            <w:gridSpan w:val="3"/>
            <w:shd w:val="clear" w:color="auto" w:fill="CCEEFF"/>
            <w:tcMar>
              <w:top w:w="40" w:type="dxa"/>
              <w:left w:w="20" w:type="dxa"/>
              <w:bottom w:w="40" w:type="dxa"/>
              <w:right w:w="140" w:type="dxa"/>
            </w:tcMar>
            <w:vAlign w:val="center"/>
          </w:tcPr>
          <w:p w14:paraId="7E785A55" w14:textId="77777777" w:rsidR="00A82082" w:rsidRDefault="00E946F9">
            <w:pPr>
              <w:jc w:val="right"/>
              <w:textAlignment w:val="center"/>
            </w:pPr>
            <w:r>
              <w:rPr>
                <w:rFonts w:ascii="Times New Roman" w:eastAsia="宋体" w:hAnsi="Times New Roman"/>
                <w:color w:val="000000"/>
                <w:sz w:val="16"/>
                <w:szCs w:val="16"/>
              </w:rPr>
              <w:t>2.8%</w:t>
            </w:r>
          </w:p>
        </w:tc>
      </w:tr>
      <w:tr w:rsidR="00A82082" w14:paraId="7E785A64" w14:textId="77777777">
        <w:tc>
          <w:tcPr>
            <w:tcW w:w="0" w:type="auto"/>
            <w:gridSpan w:val="3"/>
            <w:shd w:val="clear" w:color="auto" w:fill="FFFFFF"/>
            <w:tcMar>
              <w:top w:w="40" w:type="dxa"/>
              <w:left w:w="20" w:type="dxa"/>
              <w:bottom w:w="40" w:type="dxa"/>
              <w:right w:w="20" w:type="dxa"/>
            </w:tcMar>
            <w:vAlign w:val="center"/>
          </w:tcPr>
          <w:p w14:paraId="7E785A57" w14:textId="77777777" w:rsidR="00A82082" w:rsidRDefault="00E946F9">
            <w:pPr>
              <w:textAlignment w:val="center"/>
            </w:pPr>
            <w:r>
              <w:rPr>
                <w:rFonts w:ascii="Times New Roman" w:eastAsia="宋体" w:hAnsi="Times New Roman"/>
                <w:color w:val="000000"/>
                <w:sz w:val="16"/>
                <w:szCs w:val="16"/>
              </w:rPr>
              <w:t>Gross profit margin as a percentage of net sales</w:t>
            </w:r>
          </w:p>
        </w:tc>
        <w:tc>
          <w:tcPr>
            <w:tcW w:w="0" w:type="auto"/>
            <w:gridSpan w:val="3"/>
            <w:shd w:val="clear" w:color="auto" w:fill="FFFFFF"/>
            <w:tcMar>
              <w:top w:w="0" w:type="dxa"/>
              <w:left w:w="20" w:type="dxa"/>
              <w:bottom w:w="0" w:type="dxa"/>
              <w:right w:w="20" w:type="dxa"/>
            </w:tcMar>
          </w:tcPr>
          <w:p w14:paraId="7E785A58" w14:textId="77777777" w:rsidR="00A82082" w:rsidRDefault="00A82082">
            <w:pPr>
              <w:rPr>
                <w:rFonts w:ascii="宋体"/>
              </w:rPr>
            </w:pPr>
          </w:p>
        </w:tc>
        <w:tc>
          <w:tcPr>
            <w:tcW w:w="0" w:type="auto"/>
            <w:gridSpan w:val="3"/>
            <w:shd w:val="clear" w:color="auto" w:fill="FFFFFF"/>
            <w:tcMar>
              <w:top w:w="40" w:type="dxa"/>
              <w:left w:w="20" w:type="dxa"/>
              <w:bottom w:w="40" w:type="dxa"/>
              <w:right w:w="140" w:type="dxa"/>
            </w:tcMar>
            <w:vAlign w:val="center"/>
          </w:tcPr>
          <w:p w14:paraId="7E785A59" w14:textId="77777777" w:rsidR="00A82082" w:rsidRDefault="00E946F9">
            <w:pPr>
              <w:jc w:val="right"/>
              <w:textAlignment w:val="center"/>
            </w:pPr>
            <w:r>
              <w:rPr>
                <w:rFonts w:ascii="Times New Roman" w:eastAsia="宋体" w:hAnsi="Times New Roman"/>
                <w:color w:val="000000"/>
                <w:sz w:val="16"/>
                <w:szCs w:val="16"/>
              </w:rPr>
              <w:t>25.0%</w:t>
            </w:r>
          </w:p>
        </w:tc>
        <w:tc>
          <w:tcPr>
            <w:tcW w:w="0" w:type="auto"/>
            <w:gridSpan w:val="3"/>
            <w:shd w:val="clear" w:color="auto" w:fill="FFFFFF"/>
            <w:tcMar>
              <w:top w:w="0" w:type="dxa"/>
              <w:left w:w="20" w:type="dxa"/>
              <w:bottom w:w="0" w:type="dxa"/>
              <w:right w:w="20" w:type="dxa"/>
            </w:tcMar>
          </w:tcPr>
          <w:p w14:paraId="7E785A5A" w14:textId="77777777" w:rsidR="00A82082" w:rsidRDefault="00A82082">
            <w:pPr>
              <w:rPr>
                <w:rFonts w:ascii="宋体"/>
              </w:rPr>
            </w:pPr>
          </w:p>
        </w:tc>
        <w:tc>
          <w:tcPr>
            <w:tcW w:w="0" w:type="auto"/>
            <w:shd w:val="clear" w:color="auto" w:fill="auto"/>
          </w:tcPr>
          <w:p w14:paraId="7E785A5B" w14:textId="77777777" w:rsidR="00A82082" w:rsidRDefault="00A82082">
            <w:pPr>
              <w:rPr>
                <w:rFonts w:ascii="宋体"/>
                <w:vanish/>
              </w:rPr>
            </w:pPr>
          </w:p>
        </w:tc>
        <w:tc>
          <w:tcPr>
            <w:tcW w:w="0" w:type="auto"/>
            <w:shd w:val="clear" w:color="auto" w:fill="auto"/>
          </w:tcPr>
          <w:p w14:paraId="7E785A5C"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5D" w14:textId="77777777" w:rsidR="00A82082" w:rsidRDefault="00E946F9">
            <w:pPr>
              <w:jc w:val="right"/>
              <w:textAlignment w:val="center"/>
            </w:pPr>
            <w:r>
              <w:rPr>
                <w:rFonts w:ascii="Times New Roman" w:eastAsia="宋体" w:hAnsi="Times New Roman"/>
                <w:color w:val="000000"/>
                <w:sz w:val="16"/>
                <w:szCs w:val="16"/>
              </w:rPr>
              <w:t>24.5%</w:t>
            </w:r>
          </w:p>
        </w:tc>
        <w:tc>
          <w:tcPr>
            <w:tcW w:w="0" w:type="auto"/>
            <w:gridSpan w:val="3"/>
            <w:shd w:val="clear" w:color="auto" w:fill="FFFFFF"/>
            <w:tcMar>
              <w:top w:w="0" w:type="dxa"/>
              <w:left w:w="20" w:type="dxa"/>
              <w:bottom w:w="0" w:type="dxa"/>
              <w:right w:w="20" w:type="dxa"/>
            </w:tcMar>
          </w:tcPr>
          <w:p w14:paraId="7E785A5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5F" w14:textId="77777777" w:rsidR="00A82082" w:rsidRDefault="00E946F9">
            <w:pPr>
              <w:jc w:val="right"/>
              <w:textAlignment w:val="center"/>
            </w:pPr>
            <w:r>
              <w:rPr>
                <w:rFonts w:ascii="Times New Roman" w:eastAsia="宋体" w:hAnsi="Times New Roman"/>
                <w:color w:val="000000"/>
                <w:sz w:val="16"/>
                <w:szCs w:val="16"/>
              </w:rPr>
              <w:t>24.5 </w:t>
            </w:r>
          </w:p>
        </w:tc>
        <w:tc>
          <w:tcPr>
            <w:tcW w:w="0" w:type="auto"/>
            <w:shd w:val="clear" w:color="auto" w:fill="FFFFFF"/>
            <w:tcMar>
              <w:top w:w="40" w:type="dxa"/>
              <w:left w:w="0" w:type="dxa"/>
              <w:bottom w:w="40" w:type="dxa"/>
              <w:right w:w="20" w:type="dxa"/>
            </w:tcMar>
            <w:vAlign w:val="center"/>
          </w:tcPr>
          <w:p w14:paraId="7E785A6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A61" w14:textId="77777777" w:rsidR="00A82082" w:rsidRDefault="00A82082">
            <w:pPr>
              <w:rPr>
                <w:rFonts w:ascii="宋体"/>
              </w:rPr>
            </w:pPr>
          </w:p>
        </w:tc>
        <w:tc>
          <w:tcPr>
            <w:tcW w:w="0" w:type="auto"/>
            <w:gridSpan w:val="3"/>
            <w:shd w:val="clear" w:color="auto" w:fill="auto"/>
          </w:tcPr>
          <w:p w14:paraId="7E785A62"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63" w14:textId="77777777" w:rsidR="00A82082" w:rsidRDefault="00E946F9">
            <w:pPr>
              <w:jc w:val="right"/>
              <w:textAlignment w:val="center"/>
            </w:pPr>
            <w:r>
              <w:rPr>
                <w:rFonts w:ascii="Times New Roman" w:eastAsia="宋体" w:hAnsi="Times New Roman"/>
                <w:color w:val="000000"/>
                <w:sz w:val="16"/>
                <w:szCs w:val="16"/>
              </w:rPr>
              <w:t>24.4%</w:t>
            </w:r>
          </w:p>
        </w:tc>
      </w:tr>
      <w:tr w:rsidR="00A82082" w14:paraId="7E785A79" w14:textId="77777777">
        <w:tc>
          <w:tcPr>
            <w:tcW w:w="0" w:type="auto"/>
            <w:gridSpan w:val="3"/>
            <w:shd w:val="clear" w:color="auto" w:fill="CCEEFF"/>
            <w:tcMar>
              <w:top w:w="40" w:type="dxa"/>
              <w:left w:w="20" w:type="dxa"/>
              <w:bottom w:w="40" w:type="dxa"/>
              <w:right w:w="20" w:type="dxa"/>
            </w:tcMar>
            <w:vAlign w:val="center"/>
          </w:tcPr>
          <w:p w14:paraId="7E785A65"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7E785A66"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A6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68" w14:textId="77777777" w:rsidR="00A82082" w:rsidRDefault="00E946F9">
            <w:pPr>
              <w:jc w:val="right"/>
              <w:textAlignment w:val="center"/>
            </w:pPr>
            <w:r>
              <w:rPr>
                <w:rFonts w:ascii="Times New Roman" w:eastAsia="宋体" w:hAnsi="Times New Roman"/>
                <w:color w:val="000000"/>
                <w:sz w:val="16"/>
                <w:szCs w:val="16"/>
              </w:rPr>
              <w:t>5,778 </w:t>
            </w:r>
          </w:p>
        </w:tc>
        <w:tc>
          <w:tcPr>
            <w:tcW w:w="0" w:type="auto"/>
            <w:shd w:val="clear" w:color="auto" w:fill="CCEEFF"/>
            <w:tcMar>
              <w:top w:w="40" w:type="dxa"/>
              <w:left w:w="0" w:type="dxa"/>
              <w:bottom w:w="40" w:type="dxa"/>
              <w:right w:w="20" w:type="dxa"/>
            </w:tcMar>
            <w:vAlign w:val="center"/>
          </w:tcPr>
          <w:p w14:paraId="7E785A6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6A" w14:textId="77777777" w:rsidR="00A82082" w:rsidRDefault="00A82082">
            <w:pPr>
              <w:rPr>
                <w:rFonts w:ascii="宋体"/>
              </w:rPr>
            </w:pPr>
          </w:p>
        </w:tc>
        <w:tc>
          <w:tcPr>
            <w:tcW w:w="0" w:type="auto"/>
            <w:shd w:val="clear" w:color="auto" w:fill="auto"/>
          </w:tcPr>
          <w:p w14:paraId="7E785A6B" w14:textId="77777777" w:rsidR="00A82082" w:rsidRDefault="00A82082">
            <w:pPr>
              <w:rPr>
                <w:rFonts w:ascii="宋体"/>
                <w:vanish/>
              </w:rPr>
            </w:pPr>
          </w:p>
        </w:tc>
        <w:tc>
          <w:tcPr>
            <w:tcW w:w="0" w:type="auto"/>
            <w:shd w:val="clear" w:color="auto" w:fill="auto"/>
          </w:tcPr>
          <w:p w14:paraId="7E785A6C"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A6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6E" w14:textId="77777777" w:rsidR="00A82082" w:rsidRDefault="00E946F9">
            <w:pPr>
              <w:jc w:val="right"/>
              <w:textAlignment w:val="center"/>
            </w:pPr>
            <w:r>
              <w:rPr>
                <w:rFonts w:ascii="Times New Roman" w:eastAsia="宋体" w:hAnsi="Times New Roman"/>
                <w:color w:val="000000"/>
                <w:sz w:val="16"/>
                <w:szCs w:val="16"/>
              </w:rPr>
              <w:t>4,718 </w:t>
            </w:r>
          </w:p>
        </w:tc>
        <w:tc>
          <w:tcPr>
            <w:tcW w:w="0" w:type="auto"/>
            <w:shd w:val="clear" w:color="auto" w:fill="CCEEFF"/>
            <w:tcMar>
              <w:top w:w="40" w:type="dxa"/>
              <w:left w:w="0" w:type="dxa"/>
              <w:bottom w:w="40" w:type="dxa"/>
              <w:right w:w="20" w:type="dxa"/>
            </w:tcMar>
            <w:vAlign w:val="center"/>
          </w:tcPr>
          <w:p w14:paraId="7E785A6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70"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A7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72" w14:textId="77777777" w:rsidR="00A82082" w:rsidRDefault="00E946F9">
            <w:pPr>
              <w:jc w:val="right"/>
              <w:textAlignment w:val="center"/>
            </w:pPr>
            <w:r>
              <w:rPr>
                <w:rFonts w:ascii="Times New Roman" w:eastAsia="宋体" w:hAnsi="Times New Roman"/>
                <w:color w:val="000000"/>
                <w:sz w:val="16"/>
                <w:szCs w:val="16"/>
              </w:rPr>
              <w:t>17,061 </w:t>
            </w:r>
          </w:p>
        </w:tc>
        <w:tc>
          <w:tcPr>
            <w:tcW w:w="0" w:type="auto"/>
            <w:shd w:val="clear" w:color="auto" w:fill="CCEEFF"/>
            <w:tcMar>
              <w:top w:w="40" w:type="dxa"/>
              <w:left w:w="0" w:type="dxa"/>
              <w:bottom w:w="40" w:type="dxa"/>
              <w:right w:w="20" w:type="dxa"/>
            </w:tcMar>
            <w:vAlign w:val="center"/>
          </w:tcPr>
          <w:p w14:paraId="7E785A73"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74" w14:textId="77777777" w:rsidR="00A82082" w:rsidRDefault="00A82082">
            <w:pPr>
              <w:rPr>
                <w:rFonts w:ascii="宋体"/>
              </w:rPr>
            </w:pPr>
          </w:p>
        </w:tc>
        <w:tc>
          <w:tcPr>
            <w:tcW w:w="0" w:type="auto"/>
            <w:gridSpan w:val="3"/>
            <w:shd w:val="clear" w:color="auto" w:fill="auto"/>
          </w:tcPr>
          <w:p w14:paraId="7E785A75"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A76"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77" w14:textId="77777777" w:rsidR="00A82082" w:rsidRDefault="00E946F9">
            <w:pPr>
              <w:jc w:val="right"/>
              <w:textAlignment w:val="center"/>
            </w:pPr>
            <w:r>
              <w:rPr>
                <w:rFonts w:ascii="Times New Roman" w:eastAsia="宋体" w:hAnsi="Times New Roman"/>
                <w:color w:val="000000"/>
                <w:sz w:val="16"/>
                <w:szCs w:val="16"/>
              </w:rPr>
              <w:t>15,246 </w:t>
            </w:r>
          </w:p>
        </w:tc>
        <w:tc>
          <w:tcPr>
            <w:tcW w:w="0" w:type="auto"/>
            <w:shd w:val="clear" w:color="auto" w:fill="CCEEFF"/>
            <w:tcMar>
              <w:top w:w="40" w:type="dxa"/>
              <w:left w:w="0" w:type="dxa"/>
              <w:bottom w:w="40" w:type="dxa"/>
              <w:right w:w="20" w:type="dxa"/>
            </w:tcMar>
            <w:vAlign w:val="center"/>
          </w:tcPr>
          <w:p w14:paraId="7E785A78" w14:textId="77777777" w:rsidR="00A82082" w:rsidRDefault="00A82082">
            <w:pPr>
              <w:jc w:val="right"/>
              <w:rPr>
                <w:rFonts w:ascii="宋体"/>
              </w:rPr>
            </w:pPr>
          </w:p>
        </w:tc>
      </w:tr>
      <w:tr w:rsidR="00A82082" w14:paraId="7E785A87" w14:textId="77777777">
        <w:tc>
          <w:tcPr>
            <w:tcW w:w="0" w:type="auto"/>
            <w:gridSpan w:val="3"/>
            <w:shd w:val="clear" w:color="auto" w:fill="FFFFFF"/>
            <w:tcMar>
              <w:top w:w="40" w:type="dxa"/>
              <w:left w:w="20" w:type="dxa"/>
              <w:bottom w:w="40" w:type="dxa"/>
              <w:right w:w="20" w:type="dxa"/>
            </w:tcMar>
            <w:vAlign w:val="center"/>
          </w:tcPr>
          <w:p w14:paraId="7E785A7A" w14:textId="77777777" w:rsidR="00A82082" w:rsidRDefault="00E946F9">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7E785A7B" w14:textId="77777777" w:rsidR="00A82082" w:rsidRDefault="00A82082">
            <w:pPr>
              <w:rPr>
                <w:rFonts w:ascii="宋体"/>
              </w:rPr>
            </w:pPr>
          </w:p>
        </w:tc>
        <w:tc>
          <w:tcPr>
            <w:tcW w:w="0" w:type="auto"/>
            <w:gridSpan w:val="3"/>
            <w:shd w:val="clear" w:color="auto" w:fill="FFFFFF"/>
            <w:tcMar>
              <w:top w:w="40" w:type="dxa"/>
              <w:left w:w="20" w:type="dxa"/>
              <w:bottom w:w="40" w:type="dxa"/>
              <w:right w:w="140" w:type="dxa"/>
            </w:tcMar>
            <w:vAlign w:val="center"/>
          </w:tcPr>
          <w:p w14:paraId="7E785A7C" w14:textId="77777777" w:rsidR="00A82082" w:rsidRDefault="00E946F9">
            <w:pPr>
              <w:jc w:val="right"/>
              <w:textAlignment w:val="center"/>
            </w:pPr>
            <w:r>
              <w:rPr>
                <w:rFonts w:ascii="Times New Roman" w:eastAsia="宋体" w:hAnsi="Times New Roman"/>
                <w:color w:val="000000"/>
                <w:sz w:val="16"/>
                <w:szCs w:val="16"/>
              </w:rPr>
              <w:t>4.3%</w:t>
            </w:r>
          </w:p>
        </w:tc>
        <w:tc>
          <w:tcPr>
            <w:tcW w:w="0" w:type="auto"/>
            <w:gridSpan w:val="3"/>
            <w:shd w:val="clear" w:color="auto" w:fill="FFFFFF"/>
            <w:tcMar>
              <w:top w:w="0" w:type="dxa"/>
              <w:left w:w="20" w:type="dxa"/>
              <w:bottom w:w="0" w:type="dxa"/>
              <w:right w:w="20" w:type="dxa"/>
            </w:tcMar>
          </w:tcPr>
          <w:p w14:paraId="7E785A7D" w14:textId="77777777" w:rsidR="00A82082" w:rsidRDefault="00A82082">
            <w:pPr>
              <w:rPr>
                <w:rFonts w:ascii="宋体"/>
              </w:rPr>
            </w:pPr>
          </w:p>
        </w:tc>
        <w:tc>
          <w:tcPr>
            <w:tcW w:w="0" w:type="auto"/>
            <w:shd w:val="clear" w:color="auto" w:fill="auto"/>
          </w:tcPr>
          <w:p w14:paraId="7E785A7E" w14:textId="77777777" w:rsidR="00A82082" w:rsidRDefault="00A82082">
            <w:pPr>
              <w:rPr>
                <w:rFonts w:ascii="宋体"/>
                <w:vanish/>
              </w:rPr>
            </w:pPr>
          </w:p>
        </w:tc>
        <w:tc>
          <w:tcPr>
            <w:tcW w:w="0" w:type="auto"/>
            <w:shd w:val="clear" w:color="auto" w:fill="auto"/>
          </w:tcPr>
          <w:p w14:paraId="7E785A7F"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80" w14:textId="77777777" w:rsidR="00A82082" w:rsidRDefault="00E946F9">
            <w:pPr>
              <w:jc w:val="right"/>
              <w:textAlignment w:val="center"/>
            </w:pPr>
            <w:r>
              <w:rPr>
                <w:rFonts w:ascii="Times New Roman" w:eastAsia="宋体" w:hAnsi="Times New Roman"/>
                <w:color w:val="000000"/>
                <w:sz w:val="16"/>
                <w:szCs w:val="16"/>
              </w:rPr>
              <w:t>3.7%</w:t>
            </w:r>
          </w:p>
        </w:tc>
        <w:tc>
          <w:tcPr>
            <w:tcW w:w="0" w:type="auto"/>
            <w:gridSpan w:val="3"/>
            <w:shd w:val="clear" w:color="auto" w:fill="FFFFFF"/>
            <w:tcMar>
              <w:top w:w="0" w:type="dxa"/>
              <w:left w:w="20" w:type="dxa"/>
              <w:bottom w:w="0" w:type="dxa"/>
              <w:right w:w="20" w:type="dxa"/>
            </w:tcMar>
          </w:tcPr>
          <w:p w14:paraId="7E785A8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82" w14:textId="77777777" w:rsidR="00A82082" w:rsidRDefault="00E946F9">
            <w:pPr>
              <w:jc w:val="right"/>
              <w:textAlignment w:val="center"/>
            </w:pPr>
            <w:r>
              <w:rPr>
                <w:rFonts w:ascii="Times New Roman" w:eastAsia="宋体" w:hAnsi="Times New Roman"/>
                <w:color w:val="000000"/>
                <w:sz w:val="16"/>
                <w:szCs w:val="16"/>
              </w:rPr>
              <w:t>4.2 </w:t>
            </w:r>
          </w:p>
        </w:tc>
        <w:tc>
          <w:tcPr>
            <w:tcW w:w="0" w:type="auto"/>
            <w:shd w:val="clear" w:color="auto" w:fill="FFFFFF"/>
            <w:tcMar>
              <w:top w:w="40" w:type="dxa"/>
              <w:left w:w="0" w:type="dxa"/>
              <w:bottom w:w="40" w:type="dxa"/>
              <w:right w:w="20" w:type="dxa"/>
            </w:tcMar>
            <w:vAlign w:val="center"/>
          </w:tcPr>
          <w:p w14:paraId="7E785A83"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A84" w14:textId="77777777" w:rsidR="00A82082" w:rsidRDefault="00A82082">
            <w:pPr>
              <w:rPr>
                <w:rFonts w:ascii="宋体"/>
              </w:rPr>
            </w:pPr>
          </w:p>
        </w:tc>
        <w:tc>
          <w:tcPr>
            <w:tcW w:w="0" w:type="auto"/>
            <w:gridSpan w:val="3"/>
            <w:shd w:val="clear" w:color="auto" w:fill="auto"/>
          </w:tcPr>
          <w:p w14:paraId="7E785A85" w14:textId="77777777" w:rsidR="00A82082" w:rsidRDefault="00A82082">
            <w:pPr>
              <w:rPr>
                <w:rFonts w:ascii="宋体"/>
                <w:vanish/>
              </w:rPr>
            </w:pPr>
          </w:p>
        </w:tc>
        <w:tc>
          <w:tcPr>
            <w:tcW w:w="0" w:type="auto"/>
            <w:gridSpan w:val="3"/>
            <w:shd w:val="clear" w:color="auto" w:fill="FFFFFF"/>
            <w:tcMar>
              <w:top w:w="40" w:type="dxa"/>
              <w:left w:w="20" w:type="dxa"/>
              <w:bottom w:w="40" w:type="dxa"/>
              <w:right w:w="140" w:type="dxa"/>
            </w:tcMar>
            <w:vAlign w:val="center"/>
          </w:tcPr>
          <w:p w14:paraId="7E785A86" w14:textId="77777777" w:rsidR="00A82082" w:rsidRDefault="00E946F9">
            <w:pPr>
              <w:jc w:val="right"/>
              <w:textAlignment w:val="center"/>
            </w:pPr>
            <w:r>
              <w:rPr>
                <w:rFonts w:ascii="Times New Roman" w:eastAsia="宋体" w:hAnsi="Times New Roman"/>
                <w:color w:val="000000"/>
                <w:sz w:val="16"/>
                <w:szCs w:val="16"/>
              </w:rPr>
              <w:t>4.0%</w:t>
            </w:r>
          </w:p>
        </w:tc>
      </w:tr>
      <w:tr w:rsidR="00A82082" w14:paraId="7E785A9C" w14:textId="77777777">
        <w:tc>
          <w:tcPr>
            <w:tcW w:w="0" w:type="auto"/>
            <w:gridSpan w:val="3"/>
            <w:shd w:val="clear" w:color="auto" w:fill="CCEEFF"/>
            <w:tcMar>
              <w:top w:w="40" w:type="dxa"/>
              <w:left w:w="20" w:type="dxa"/>
              <w:bottom w:w="40" w:type="dxa"/>
              <w:right w:w="20" w:type="dxa"/>
            </w:tcMar>
            <w:vAlign w:val="center"/>
          </w:tcPr>
          <w:p w14:paraId="7E785A88" w14:textId="77777777" w:rsidR="00A82082" w:rsidRDefault="00E946F9">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7E785A89" w14:textId="77777777" w:rsidR="00A82082" w:rsidRDefault="00A82082">
            <w:pPr>
              <w:rPr>
                <w:rFonts w:ascii="宋体"/>
              </w:rPr>
            </w:pPr>
          </w:p>
        </w:tc>
        <w:tc>
          <w:tcPr>
            <w:tcW w:w="0" w:type="auto"/>
            <w:shd w:val="clear" w:color="auto" w:fill="CCEEFF"/>
            <w:tcMar>
              <w:top w:w="40" w:type="dxa"/>
              <w:left w:w="20" w:type="dxa"/>
              <w:bottom w:w="40" w:type="dxa"/>
              <w:right w:w="0" w:type="dxa"/>
            </w:tcMar>
          </w:tcPr>
          <w:p w14:paraId="7E785A8A" w14:textId="77777777" w:rsidR="00A82082" w:rsidRDefault="00E946F9">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7E785A8B" w14:textId="77777777" w:rsidR="00A82082" w:rsidRDefault="00E946F9">
            <w:pPr>
              <w:jc w:val="right"/>
              <w:textAlignment w:val="top"/>
            </w:pPr>
            <w:r>
              <w:rPr>
                <w:rFonts w:ascii="Times New Roman" w:eastAsia="宋体" w:hAnsi="Times New Roman"/>
                <w:color w:val="000000"/>
                <w:sz w:val="16"/>
                <w:szCs w:val="16"/>
              </w:rPr>
              <w:t>(1,853)</w:t>
            </w:r>
          </w:p>
        </w:tc>
        <w:tc>
          <w:tcPr>
            <w:tcW w:w="0" w:type="auto"/>
            <w:shd w:val="clear" w:color="auto" w:fill="CCEEFF"/>
            <w:tcMar>
              <w:top w:w="40" w:type="dxa"/>
              <w:left w:w="0" w:type="dxa"/>
              <w:bottom w:w="40" w:type="dxa"/>
              <w:right w:w="20" w:type="dxa"/>
            </w:tcMar>
          </w:tcPr>
          <w:p w14:paraId="7E785A8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8D" w14:textId="77777777" w:rsidR="00A82082" w:rsidRDefault="00A82082">
            <w:pPr>
              <w:rPr>
                <w:rFonts w:ascii="宋体"/>
              </w:rPr>
            </w:pPr>
          </w:p>
        </w:tc>
        <w:tc>
          <w:tcPr>
            <w:tcW w:w="0" w:type="auto"/>
            <w:shd w:val="clear" w:color="auto" w:fill="auto"/>
          </w:tcPr>
          <w:p w14:paraId="7E785A8E" w14:textId="77777777" w:rsidR="00A82082" w:rsidRDefault="00A82082">
            <w:pPr>
              <w:rPr>
                <w:rFonts w:ascii="宋体"/>
                <w:vanish/>
              </w:rPr>
            </w:pPr>
          </w:p>
        </w:tc>
        <w:tc>
          <w:tcPr>
            <w:tcW w:w="0" w:type="auto"/>
            <w:shd w:val="clear" w:color="auto" w:fill="auto"/>
          </w:tcPr>
          <w:p w14:paraId="7E785A8F" w14:textId="77777777" w:rsidR="00A82082" w:rsidRDefault="00A82082">
            <w:pPr>
              <w:rPr>
                <w:rFonts w:ascii="宋体"/>
                <w:vanish/>
              </w:rPr>
            </w:pPr>
          </w:p>
        </w:tc>
        <w:tc>
          <w:tcPr>
            <w:tcW w:w="0" w:type="auto"/>
            <w:shd w:val="clear" w:color="auto" w:fill="CCEEFF"/>
            <w:tcMar>
              <w:top w:w="40" w:type="dxa"/>
              <w:left w:w="20" w:type="dxa"/>
              <w:bottom w:w="40" w:type="dxa"/>
              <w:right w:w="0" w:type="dxa"/>
            </w:tcMar>
          </w:tcPr>
          <w:p w14:paraId="7E785A90" w14:textId="77777777" w:rsidR="00A82082" w:rsidRDefault="00E946F9">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7E785A91" w14:textId="77777777" w:rsidR="00A82082" w:rsidRDefault="00E946F9">
            <w:pPr>
              <w:jc w:val="right"/>
              <w:textAlignment w:val="top"/>
            </w:pPr>
            <w:r>
              <w:rPr>
                <w:rFonts w:ascii="Times New Roman" w:eastAsia="宋体" w:hAnsi="Times New Roman"/>
                <w:color w:val="000000"/>
                <w:sz w:val="16"/>
                <w:szCs w:val="16"/>
              </w:rPr>
              <w:t>(244)</w:t>
            </w:r>
          </w:p>
        </w:tc>
        <w:tc>
          <w:tcPr>
            <w:tcW w:w="0" w:type="auto"/>
            <w:shd w:val="clear" w:color="auto" w:fill="CCEEFF"/>
            <w:tcMar>
              <w:top w:w="40" w:type="dxa"/>
              <w:left w:w="0" w:type="dxa"/>
              <w:bottom w:w="40" w:type="dxa"/>
              <w:right w:w="20" w:type="dxa"/>
            </w:tcMar>
          </w:tcPr>
          <w:p w14:paraId="7E785A9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9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A9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95" w14:textId="77777777" w:rsidR="00A82082" w:rsidRDefault="00E946F9">
            <w:pPr>
              <w:jc w:val="right"/>
              <w:textAlignment w:val="center"/>
            </w:pPr>
            <w:r>
              <w:rPr>
                <w:rFonts w:ascii="Times New Roman" w:eastAsia="宋体" w:hAnsi="Times New Roman"/>
                <w:color w:val="000000"/>
                <w:sz w:val="16"/>
                <w:szCs w:val="16"/>
              </w:rPr>
              <w:t>(5,796)</w:t>
            </w:r>
          </w:p>
        </w:tc>
        <w:tc>
          <w:tcPr>
            <w:tcW w:w="0" w:type="auto"/>
            <w:shd w:val="clear" w:color="auto" w:fill="CCEEFF"/>
            <w:tcMar>
              <w:top w:w="40" w:type="dxa"/>
              <w:left w:w="0" w:type="dxa"/>
              <w:bottom w:w="40" w:type="dxa"/>
              <w:right w:w="20" w:type="dxa"/>
            </w:tcMar>
            <w:vAlign w:val="center"/>
          </w:tcPr>
          <w:p w14:paraId="7E785A9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97" w14:textId="77777777" w:rsidR="00A82082" w:rsidRDefault="00A82082">
            <w:pPr>
              <w:rPr>
                <w:rFonts w:ascii="宋体"/>
              </w:rPr>
            </w:pPr>
          </w:p>
        </w:tc>
        <w:tc>
          <w:tcPr>
            <w:tcW w:w="0" w:type="auto"/>
            <w:gridSpan w:val="3"/>
            <w:shd w:val="clear" w:color="auto" w:fill="auto"/>
          </w:tcPr>
          <w:p w14:paraId="7E785A98"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A9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A9A" w14:textId="77777777" w:rsidR="00A82082" w:rsidRDefault="00E946F9">
            <w:pPr>
              <w:jc w:val="right"/>
              <w:textAlignment w:val="center"/>
            </w:pPr>
            <w:r>
              <w:rPr>
                <w:rFonts w:ascii="Times New Roman" w:eastAsia="宋体" w:hAnsi="Times New Roman"/>
                <w:color w:val="000000"/>
                <w:sz w:val="16"/>
                <w:szCs w:val="16"/>
              </w:rPr>
              <w:t>(996)</w:t>
            </w:r>
          </w:p>
        </w:tc>
        <w:tc>
          <w:tcPr>
            <w:tcW w:w="0" w:type="auto"/>
            <w:shd w:val="clear" w:color="auto" w:fill="CCEEFF"/>
            <w:tcMar>
              <w:top w:w="40" w:type="dxa"/>
              <w:left w:w="0" w:type="dxa"/>
              <w:bottom w:w="40" w:type="dxa"/>
              <w:right w:w="20" w:type="dxa"/>
            </w:tcMar>
            <w:vAlign w:val="center"/>
          </w:tcPr>
          <w:p w14:paraId="7E785A9B" w14:textId="77777777" w:rsidR="00A82082" w:rsidRDefault="00A82082">
            <w:pPr>
              <w:jc w:val="right"/>
              <w:rPr>
                <w:rFonts w:ascii="宋体"/>
              </w:rPr>
            </w:pPr>
          </w:p>
        </w:tc>
      </w:tr>
      <w:tr w:rsidR="00A82082" w14:paraId="7E785AB1" w14:textId="77777777">
        <w:tc>
          <w:tcPr>
            <w:tcW w:w="0" w:type="auto"/>
            <w:gridSpan w:val="3"/>
            <w:shd w:val="clear" w:color="auto" w:fill="FFFFFF"/>
            <w:tcMar>
              <w:top w:w="40" w:type="dxa"/>
              <w:left w:w="20" w:type="dxa"/>
              <w:bottom w:w="40" w:type="dxa"/>
              <w:right w:w="20" w:type="dxa"/>
            </w:tcMar>
            <w:vAlign w:val="center"/>
          </w:tcPr>
          <w:p w14:paraId="7E785A9D" w14:textId="77777777" w:rsidR="00A82082" w:rsidRDefault="00E946F9">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tcPr>
          <w:p w14:paraId="7E785A9E"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A9F"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AA0" w14:textId="77777777" w:rsidR="00A82082" w:rsidRDefault="00E946F9">
            <w:pPr>
              <w:jc w:val="right"/>
              <w:textAlignment w:val="center"/>
            </w:pPr>
            <w:r>
              <w:rPr>
                <w:rFonts w:ascii="Times New Roman" w:eastAsia="宋体" w:hAnsi="Times New Roman"/>
                <w:color w:val="000000"/>
                <w:sz w:val="16"/>
                <w:szCs w:val="16"/>
              </w:rPr>
              <w:t>5,201 </w:t>
            </w:r>
          </w:p>
        </w:tc>
        <w:tc>
          <w:tcPr>
            <w:tcW w:w="0" w:type="auto"/>
            <w:shd w:val="clear" w:color="auto" w:fill="FFFFFF"/>
            <w:tcMar>
              <w:top w:w="40" w:type="dxa"/>
              <w:left w:w="0" w:type="dxa"/>
              <w:bottom w:w="40" w:type="dxa"/>
              <w:right w:w="20" w:type="dxa"/>
            </w:tcMar>
            <w:vAlign w:val="center"/>
          </w:tcPr>
          <w:p w14:paraId="7E785AA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A2" w14:textId="77777777" w:rsidR="00A82082" w:rsidRDefault="00A82082">
            <w:pPr>
              <w:rPr>
                <w:rFonts w:ascii="宋体"/>
              </w:rPr>
            </w:pPr>
          </w:p>
        </w:tc>
        <w:tc>
          <w:tcPr>
            <w:tcW w:w="0" w:type="auto"/>
            <w:shd w:val="clear" w:color="auto" w:fill="auto"/>
          </w:tcPr>
          <w:p w14:paraId="7E785AA3" w14:textId="77777777" w:rsidR="00A82082" w:rsidRDefault="00A82082">
            <w:pPr>
              <w:rPr>
                <w:rFonts w:ascii="宋体"/>
                <w:vanish/>
              </w:rPr>
            </w:pPr>
          </w:p>
        </w:tc>
        <w:tc>
          <w:tcPr>
            <w:tcW w:w="0" w:type="auto"/>
            <w:shd w:val="clear" w:color="auto" w:fill="auto"/>
          </w:tcPr>
          <w:p w14:paraId="7E785AA4"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AA5"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AA6" w14:textId="77777777" w:rsidR="00A82082" w:rsidRDefault="00E946F9">
            <w:pPr>
              <w:jc w:val="right"/>
              <w:textAlignment w:val="center"/>
            </w:pPr>
            <w:r>
              <w:rPr>
                <w:rFonts w:ascii="Times New Roman" w:eastAsia="宋体" w:hAnsi="Times New Roman"/>
                <w:color w:val="000000"/>
                <w:sz w:val="16"/>
                <w:szCs w:val="16"/>
              </w:rPr>
              <w:t>3,321 </w:t>
            </w:r>
          </w:p>
        </w:tc>
        <w:tc>
          <w:tcPr>
            <w:tcW w:w="0" w:type="auto"/>
            <w:shd w:val="clear" w:color="auto" w:fill="FFFFFF"/>
            <w:tcMar>
              <w:top w:w="40" w:type="dxa"/>
              <w:left w:w="0" w:type="dxa"/>
              <w:bottom w:w="40" w:type="dxa"/>
              <w:right w:w="20" w:type="dxa"/>
            </w:tcMar>
            <w:vAlign w:val="center"/>
          </w:tcPr>
          <w:p w14:paraId="7E785AA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A8"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AA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AAA" w14:textId="77777777" w:rsidR="00A82082" w:rsidRDefault="00E946F9">
            <w:pPr>
              <w:jc w:val="right"/>
              <w:textAlignment w:val="center"/>
            </w:pPr>
            <w:r>
              <w:rPr>
                <w:rFonts w:ascii="Times New Roman" w:eastAsia="宋体" w:hAnsi="Times New Roman"/>
                <w:color w:val="000000"/>
                <w:sz w:val="16"/>
                <w:szCs w:val="16"/>
              </w:rPr>
              <w:t>15,714 </w:t>
            </w:r>
          </w:p>
        </w:tc>
        <w:tc>
          <w:tcPr>
            <w:tcW w:w="0" w:type="auto"/>
            <w:shd w:val="clear" w:color="auto" w:fill="FFFFFF"/>
            <w:tcMar>
              <w:top w:w="40" w:type="dxa"/>
              <w:left w:w="0" w:type="dxa"/>
              <w:bottom w:w="40" w:type="dxa"/>
              <w:right w:w="20" w:type="dxa"/>
            </w:tcMar>
            <w:vAlign w:val="center"/>
          </w:tcPr>
          <w:p w14:paraId="7E785AA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AC" w14:textId="77777777" w:rsidR="00A82082" w:rsidRDefault="00A82082">
            <w:pPr>
              <w:rPr>
                <w:rFonts w:ascii="宋体"/>
              </w:rPr>
            </w:pPr>
          </w:p>
        </w:tc>
        <w:tc>
          <w:tcPr>
            <w:tcW w:w="0" w:type="auto"/>
            <w:gridSpan w:val="3"/>
            <w:shd w:val="clear" w:color="auto" w:fill="auto"/>
          </w:tcPr>
          <w:p w14:paraId="7E785AAD"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AAE"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AAF" w14:textId="77777777" w:rsidR="00A82082" w:rsidRDefault="00E946F9">
            <w:pPr>
              <w:jc w:val="right"/>
              <w:textAlignment w:val="center"/>
            </w:pPr>
            <w:r>
              <w:rPr>
                <w:rFonts w:ascii="Times New Roman" w:eastAsia="宋体" w:hAnsi="Times New Roman"/>
                <w:color w:val="000000"/>
                <w:sz w:val="16"/>
                <w:szCs w:val="16"/>
              </w:rPr>
              <w:t>10,907 </w:t>
            </w:r>
          </w:p>
        </w:tc>
        <w:tc>
          <w:tcPr>
            <w:tcW w:w="0" w:type="auto"/>
            <w:shd w:val="clear" w:color="auto" w:fill="FFFFFF"/>
            <w:tcMar>
              <w:top w:w="40" w:type="dxa"/>
              <w:left w:w="0" w:type="dxa"/>
              <w:bottom w:w="40" w:type="dxa"/>
              <w:right w:w="20" w:type="dxa"/>
            </w:tcMar>
            <w:vAlign w:val="center"/>
          </w:tcPr>
          <w:p w14:paraId="7E785AB0" w14:textId="77777777" w:rsidR="00A82082" w:rsidRDefault="00A82082">
            <w:pPr>
              <w:jc w:val="right"/>
              <w:rPr>
                <w:rFonts w:ascii="宋体"/>
              </w:rPr>
            </w:pPr>
          </w:p>
        </w:tc>
      </w:tr>
      <w:tr w:rsidR="00A82082" w14:paraId="7E785AC2" w14:textId="77777777">
        <w:tc>
          <w:tcPr>
            <w:tcW w:w="0" w:type="auto"/>
            <w:gridSpan w:val="3"/>
            <w:shd w:val="clear" w:color="auto" w:fill="CCEEFF"/>
            <w:tcMar>
              <w:top w:w="40" w:type="dxa"/>
              <w:left w:w="20" w:type="dxa"/>
              <w:bottom w:w="40" w:type="dxa"/>
              <w:right w:w="20" w:type="dxa"/>
            </w:tcMar>
            <w:vAlign w:val="center"/>
          </w:tcPr>
          <w:p w14:paraId="7E785AB2" w14:textId="77777777" w:rsidR="00A82082" w:rsidRDefault="00E946F9">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7E785AB3"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AB4" w14:textId="77777777" w:rsidR="00A82082" w:rsidRDefault="00E946F9">
            <w:pPr>
              <w:jc w:val="right"/>
              <w:textAlignment w:val="center"/>
            </w:pPr>
            <w:r>
              <w:rPr>
                <w:rFonts w:ascii="Times New Roman" w:eastAsia="宋体" w:hAnsi="Times New Roman"/>
                <w:color w:val="000000"/>
                <w:sz w:val="16"/>
                <w:szCs w:val="16"/>
              </w:rPr>
              <w:t>11,510 </w:t>
            </w:r>
          </w:p>
        </w:tc>
        <w:tc>
          <w:tcPr>
            <w:tcW w:w="0" w:type="auto"/>
            <w:shd w:val="clear" w:color="auto" w:fill="CCEEFF"/>
            <w:tcMar>
              <w:top w:w="40" w:type="dxa"/>
              <w:left w:w="0" w:type="dxa"/>
              <w:bottom w:w="40" w:type="dxa"/>
              <w:right w:w="20" w:type="dxa"/>
            </w:tcMar>
            <w:vAlign w:val="center"/>
          </w:tcPr>
          <w:p w14:paraId="7E785AB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B6" w14:textId="77777777" w:rsidR="00A82082" w:rsidRDefault="00A82082">
            <w:pPr>
              <w:rPr>
                <w:rFonts w:ascii="宋体"/>
              </w:rPr>
            </w:pPr>
          </w:p>
        </w:tc>
        <w:tc>
          <w:tcPr>
            <w:tcW w:w="0" w:type="auto"/>
            <w:shd w:val="clear" w:color="auto" w:fill="auto"/>
          </w:tcPr>
          <w:p w14:paraId="7E785AB7" w14:textId="77777777" w:rsidR="00A82082" w:rsidRDefault="00A82082">
            <w:pPr>
              <w:rPr>
                <w:rFonts w:ascii="宋体"/>
                <w:vanish/>
              </w:rPr>
            </w:pPr>
          </w:p>
        </w:tc>
        <w:tc>
          <w:tcPr>
            <w:tcW w:w="0" w:type="auto"/>
            <w:shd w:val="clear" w:color="auto" w:fill="auto"/>
          </w:tcPr>
          <w:p w14:paraId="7E785AB8"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AB9" w14:textId="77777777" w:rsidR="00A82082" w:rsidRDefault="00E946F9">
            <w:pPr>
              <w:jc w:val="right"/>
              <w:textAlignment w:val="center"/>
            </w:pPr>
            <w:r>
              <w:rPr>
                <w:rFonts w:ascii="Times New Roman" w:eastAsia="宋体" w:hAnsi="Times New Roman"/>
                <w:color w:val="000000"/>
                <w:sz w:val="16"/>
                <w:szCs w:val="16"/>
              </w:rPr>
              <w:t>11,438 </w:t>
            </w:r>
          </w:p>
        </w:tc>
        <w:tc>
          <w:tcPr>
            <w:tcW w:w="0" w:type="auto"/>
            <w:shd w:val="clear" w:color="auto" w:fill="CCEEFF"/>
            <w:tcMar>
              <w:top w:w="40" w:type="dxa"/>
              <w:left w:w="0" w:type="dxa"/>
              <w:bottom w:w="40" w:type="dxa"/>
              <w:right w:w="20" w:type="dxa"/>
            </w:tcMar>
            <w:vAlign w:val="center"/>
          </w:tcPr>
          <w:p w14:paraId="7E785AB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B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ABC" w14:textId="77777777" w:rsidR="00A82082" w:rsidRDefault="00E946F9">
            <w:pPr>
              <w:jc w:val="right"/>
              <w:textAlignment w:val="center"/>
            </w:pPr>
            <w:r>
              <w:rPr>
                <w:rFonts w:ascii="Times New Roman" w:eastAsia="宋体" w:hAnsi="Times New Roman"/>
                <w:color w:val="000000"/>
                <w:sz w:val="16"/>
                <w:szCs w:val="16"/>
              </w:rPr>
              <w:t>11,510 </w:t>
            </w:r>
          </w:p>
        </w:tc>
        <w:tc>
          <w:tcPr>
            <w:tcW w:w="0" w:type="auto"/>
            <w:shd w:val="clear" w:color="auto" w:fill="CCEEFF"/>
            <w:tcMar>
              <w:top w:w="40" w:type="dxa"/>
              <w:left w:w="0" w:type="dxa"/>
              <w:bottom w:w="40" w:type="dxa"/>
              <w:right w:w="20" w:type="dxa"/>
            </w:tcMar>
            <w:vAlign w:val="center"/>
          </w:tcPr>
          <w:p w14:paraId="7E785AB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ABE" w14:textId="77777777" w:rsidR="00A82082" w:rsidRDefault="00A82082">
            <w:pPr>
              <w:rPr>
                <w:rFonts w:ascii="宋体"/>
              </w:rPr>
            </w:pPr>
          </w:p>
        </w:tc>
        <w:tc>
          <w:tcPr>
            <w:tcW w:w="0" w:type="auto"/>
            <w:gridSpan w:val="3"/>
            <w:shd w:val="clear" w:color="auto" w:fill="auto"/>
          </w:tcPr>
          <w:p w14:paraId="7E785ABF"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AC0" w14:textId="77777777" w:rsidR="00A82082" w:rsidRDefault="00E946F9">
            <w:pPr>
              <w:jc w:val="right"/>
              <w:textAlignment w:val="center"/>
            </w:pPr>
            <w:r>
              <w:rPr>
                <w:rFonts w:ascii="Times New Roman" w:eastAsia="宋体" w:hAnsi="Times New Roman"/>
                <w:color w:val="000000"/>
                <w:sz w:val="16"/>
                <w:szCs w:val="16"/>
              </w:rPr>
              <w:t>11,438 </w:t>
            </w:r>
          </w:p>
        </w:tc>
        <w:tc>
          <w:tcPr>
            <w:tcW w:w="0" w:type="auto"/>
            <w:shd w:val="clear" w:color="auto" w:fill="CCEEFF"/>
            <w:tcMar>
              <w:top w:w="40" w:type="dxa"/>
              <w:left w:w="0" w:type="dxa"/>
              <w:bottom w:w="40" w:type="dxa"/>
              <w:right w:w="20" w:type="dxa"/>
            </w:tcMar>
            <w:vAlign w:val="center"/>
          </w:tcPr>
          <w:p w14:paraId="7E785AC1" w14:textId="77777777" w:rsidR="00A82082" w:rsidRDefault="00A82082">
            <w:pPr>
              <w:jc w:val="right"/>
              <w:rPr>
                <w:rFonts w:ascii="宋体"/>
              </w:rPr>
            </w:pPr>
          </w:p>
        </w:tc>
      </w:tr>
      <w:tr w:rsidR="00A82082" w14:paraId="7E785AD3" w14:textId="77777777">
        <w:tc>
          <w:tcPr>
            <w:tcW w:w="0" w:type="auto"/>
            <w:gridSpan w:val="3"/>
            <w:shd w:val="clear" w:color="auto" w:fill="FFFFFF"/>
            <w:tcMar>
              <w:top w:w="40" w:type="dxa"/>
              <w:left w:w="20" w:type="dxa"/>
              <w:bottom w:w="40" w:type="dxa"/>
              <w:right w:w="20" w:type="dxa"/>
            </w:tcMar>
            <w:vAlign w:val="center"/>
          </w:tcPr>
          <w:p w14:paraId="7E785AC3" w14:textId="77777777" w:rsidR="00A82082" w:rsidRDefault="00E946F9">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7E785AC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C5" w14:textId="77777777" w:rsidR="00A82082" w:rsidRDefault="00E946F9">
            <w:pPr>
              <w:jc w:val="right"/>
              <w:textAlignment w:val="center"/>
            </w:pPr>
            <w:r>
              <w:rPr>
                <w:rFonts w:ascii="Times New Roman" w:eastAsia="宋体" w:hAnsi="Times New Roman"/>
                <w:color w:val="000000"/>
                <w:sz w:val="16"/>
                <w:szCs w:val="16"/>
              </w:rPr>
              <w:t>1,128 </w:t>
            </w:r>
          </w:p>
        </w:tc>
        <w:tc>
          <w:tcPr>
            <w:tcW w:w="0" w:type="auto"/>
            <w:shd w:val="clear" w:color="auto" w:fill="FFFFFF"/>
            <w:tcMar>
              <w:top w:w="40" w:type="dxa"/>
              <w:left w:w="0" w:type="dxa"/>
              <w:bottom w:w="40" w:type="dxa"/>
              <w:right w:w="20" w:type="dxa"/>
            </w:tcMar>
            <w:vAlign w:val="center"/>
          </w:tcPr>
          <w:p w14:paraId="7E785AC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C7" w14:textId="77777777" w:rsidR="00A82082" w:rsidRDefault="00A82082">
            <w:pPr>
              <w:rPr>
                <w:rFonts w:ascii="宋体"/>
              </w:rPr>
            </w:pPr>
          </w:p>
        </w:tc>
        <w:tc>
          <w:tcPr>
            <w:tcW w:w="0" w:type="auto"/>
            <w:shd w:val="clear" w:color="auto" w:fill="auto"/>
          </w:tcPr>
          <w:p w14:paraId="7E785AC8" w14:textId="77777777" w:rsidR="00A82082" w:rsidRDefault="00A82082">
            <w:pPr>
              <w:rPr>
                <w:rFonts w:ascii="宋体"/>
                <w:vanish/>
              </w:rPr>
            </w:pPr>
          </w:p>
        </w:tc>
        <w:tc>
          <w:tcPr>
            <w:tcW w:w="0" w:type="auto"/>
            <w:shd w:val="clear" w:color="auto" w:fill="auto"/>
          </w:tcPr>
          <w:p w14:paraId="7E785AC9"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ACA" w14:textId="77777777" w:rsidR="00A82082" w:rsidRDefault="00E946F9">
            <w:pPr>
              <w:jc w:val="right"/>
              <w:textAlignment w:val="center"/>
            </w:pPr>
            <w:r>
              <w:rPr>
                <w:rFonts w:ascii="Times New Roman" w:eastAsia="宋体" w:hAnsi="Times New Roman"/>
                <w:color w:val="000000"/>
                <w:sz w:val="16"/>
                <w:szCs w:val="16"/>
              </w:rPr>
              <w:t>1,128 </w:t>
            </w:r>
          </w:p>
        </w:tc>
        <w:tc>
          <w:tcPr>
            <w:tcW w:w="0" w:type="auto"/>
            <w:shd w:val="clear" w:color="auto" w:fill="FFFFFF"/>
            <w:tcMar>
              <w:top w:w="40" w:type="dxa"/>
              <w:left w:w="0" w:type="dxa"/>
              <w:bottom w:w="40" w:type="dxa"/>
              <w:right w:w="20" w:type="dxa"/>
            </w:tcMar>
            <w:vAlign w:val="center"/>
          </w:tcPr>
          <w:p w14:paraId="7E785AC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CC"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ACD" w14:textId="77777777" w:rsidR="00A82082" w:rsidRDefault="00E946F9">
            <w:pPr>
              <w:jc w:val="right"/>
              <w:textAlignment w:val="center"/>
            </w:pPr>
            <w:r>
              <w:rPr>
                <w:rFonts w:ascii="Times New Roman" w:eastAsia="宋体" w:hAnsi="Times New Roman"/>
                <w:color w:val="000000"/>
                <w:sz w:val="16"/>
                <w:szCs w:val="16"/>
              </w:rPr>
              <w:t>1,128 </w:t>
            </w:r>
          </w:p>
        </w:tc>
        <w:tc>
          <w:tcPr>
            <w:tcW w:w="0" w:type="auto"/>
            <w:shd w:val="clear" w:color="auto" w:fill="FFFFFF"/>
            <w:tcMar>
              <w:top w:w="40" w:type="dxa"/>
              <w:left w:w="0" w:type="dxa"/>
              <w:bottom w:w="40" w:type="dxa"/>
              <w:right w:w="20" w:type="dxa"/>
            </w:tcMar>
            <w:vAlign w:val="center"/>
          </w:tcPr>
          <w:p w14:paraId="7E785ACE"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ACF" w14:textId="77777777" w:rsidR="00A82082" w:rsidRDefault="00A82082">
            <w:pPr>
              <w:rPr>
                <w:rFonts w:ascii="宋体"/>
              </w:rPr>
            </w:pPr>
          </w:p>
        </w:tc>
        <w:tc>
          <w:tcPr>
            <w:tcW w:w="0" w:type="auto"/>
            <w:gridSpan w:val="3"/>
            <w:shd w:val="clear" w:color="auto" w:fill="auto"/>
          </w:tcPr>
          <w:p w14:paraId="7E785AD0"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AD1" w14:textId="77777777" w:rsidR="00A82082" w:rsidRDefault="00E946F9">
            <w:pPr>
              <w:jc w:val="right"/>
              <w:textAlignment w:val="center"/>
            </w:pPr>
            <w:r>
              <w:rPr>
                <w:rFonts w:ascii="Times New Roman" w:eastAsia="宋体" w:hAnsi="Times New Roman"/>
                <w:color w:val="000000"/>
                <w:sz w:val="16"/>
                <w:szCs w:val="16"/>
              </w:rPr>
              <w:t>1,128 </w:t>
            </w:r>
          </w:p>
        </w:tc>
        <w:tc>
          <w:tcPr>
            <w:tcW w:w="0" w:type="auto"/>
            <w:shd w:val="clear" w:color="auto" w:fill="FFFFFF"/>
            <w:tcMar>
              <w:top w:w="40" w:type="dxa"/>
              <w:left w:w="0" w:type="dxa"/>
              <w:bottom w:w="40" w:type="dxa"/>
              <w:right w:w="20" w:type="dxa"/>
            </w:tcMar>
            <w:vAlign w:val="center"/>
          </w:tcPr>
          <w:p w14:paraId="7E785AD2" w14:textId="77777777" w:rsidR="00A82082" w:rsidRDefault="00A82082">
            <w:pPr>
              <w:jc w:val="right"/>
              <w:rPr>
                <w:rFonts w:ascii="宋体"/>
              </w:rPr>
            </w:pPr>
          </w:p>
        </w:tc>
      </w:tr>
    </w:tbl>
    <w:p w14:paraId="7E785AD4" w14:textId="77777777" w:rsidR="00A82082" w:rsidRDefault="00E946F9">
      <w:pPr>
        <w:spacing w:before="100"/>
      </w:pPr>
      <w:r>
        <w:rPr>
          <w:rFonts w:ascii="Times New Roman" w:eastAsia="宋体" w:hAnsi="Times New Roman"/>
          <w:color w:val="000000"/>
          <w:sz w:val="20"/>
          <w:szCs w:val="20"/>
        </w:rPr>
        <w:t xml:space="preserve">Our total revenues, which are mostly comprised of net sales, but also include membership and other income, increased $6.7 billion or 5.2% and $24.8 billion or 6.5% for the three and </w:t>
      </w:r>
      <w:r>
        <w:rPr>
          <w:rFonts w:ascii="Times New Roman" w:eastAsia="宋体" w:hAnsi="Times New Roman"/>
          <w:color w:val="000000"/>
          <w:sz w:val="20"/>
          <w:szCs w:val="20"/>
        </w:rPr>
        <w:t>nine months ended October 31, 2020, respectively, when compared to the same periods in the previous fiscal year. These increases in revenue were primarily due to strong positive comparable sales for the Walmart U.S. and Sam's Club segments resulting from s</w:t>
      </w:r>
      <w:r>
        <w:rPr>
          <w:rFonts w:ascii="Times New Roman" w:eastAsia="宋体" w:hAnsi="Times New Roman"/>
          <w:color w:val="000000"/>
          <w:sz w:val="20"/>
          <w:szCs w:val="20"/>
        </w:rPr>
        <w:t xml:space="preserve">trong demand due to the COVID-19 pandemic, along with positive comparable sales in the majority of our international markets. Overall net sales growth was strong despite certain operating limitations in several markets in the second quarter of fiscal 2021 </w:t>
      </w:r>
      <w:r>
        <w:rPr>
          <w:rFonts w:ascii="Times New Roman" w:eastAsia="宋体" w:hAnsi="Times New Roman"/>
          <w:color w:val="000000"/>
          <w:sz w:val="20"/>
          <w:szCs w:val="20"/>
        </w:rPr>
        <w:t xml:space="preserve">due to government regulations and precautionary measures taken as a result of the COVID-19 pandemic. These increases were partially offset by a $1.1 billion and $4.8 billion negative impact of fluctuations in currency exchange rates for the three and nine </w:t>
      </w:r>
      <w:r>
        <w:rPr>
          <w:rFonts w:ascii="Times New Roman" w:eastAsia="宋体" w:hAnsi="Times New Roman"/>
          <w:color w:val="000000"/>
          <w:sz w:val="20"/>
          <w:szCs w:val="20"/>
        </w:rPr>
        <w:t xml:space="preserve">months ended October 31, 2020, respectively. </w:t>
      </w:r>
    </w:p>
    <w:p w14:paraId="7E785AD5" w14:textId="77777777" w:rsidR="00A82082" w:rsidRDefault="00E946F9">
      <w:pPr>
        <w:spacing w:before="100"/>
      </w:pPr>
      <w:r>
        <w:rPr>
          <w:rFonts w:ascii="Times New Roman" w:eastAsia="宋体" w:hAnsi="Times New Roman"/>
          <w:color w:val="000000"/>
          <w:sz w:val="20"/>
          <w:szCs w:val="20"/>
        </w:rPr>
        <w:t>At the onset of the COVID-19 pandemic, the mix of sales shifted initially toward food and consumables as consumers initiated stock-up trips. As the pandemic continued into the second and third quarter, sales in</w:t>
      </w:r>
      <w:r>
        <w:rPr>
          <w:rFonts w:ascii="Times New Roman" w:eastAsia="宋体" w:hAnsi="Times New Roman"/>
          <w:color w:val="000000"/>
          <w:sz w:val="20"/>
          <w:szCs w:val="20"/>
        </w:rPr>
        <w:t xml:space="preserve"> food and consumables have remained strong while we saw increased demand in several general merchandise categories, due in part to stimulus dollars in the U.S. during the second quarter of fiscal 2021. U.S. eCommerce sales remained strong throughout the ye</w:t>
      </w:r>
      <w:r>
        <w:rPr>
          <w:rFonts w:ascii="Times New Roman" w:eastAsia="宋体" w:hAnsi="Times New Roman"/>
          <w:color w:val="000000"/>
          <w:sz w:val="20"/>
          <w:szCs w:val="20"/>
        </w:rPr>
        <w:t>ar as more customers gravitated toward convenience and continued using pickup and delivery and our eCommerce websites.</w:t>
      </w:r>
    </w:p>
    <w:p w14:paraId="7E785AD6" w14:textId="77777777" w:rsidR="00A82082" w:rsidRDefault="00E946F9">
      <w:pPr>
        <w:spacing w:before="100"/>
      </w:pPr>
      <w:r>
        <w:rPr>
          <w:rFonts w:ascii="Times New Roman" w:eastAsia="宋体" w:hAnsi="Times New Roman"/>
          <w:color w:val="000000"/>
          <w:sz w:val="20"/>
          <w:szCs w:val="20"/>
        </w:rPr>
        <w:t>Gross profit as a percentage of net sales ("gross profit rate") increased 50 basis points for the three months ended October 31, 2020 whe</w:t>
      </w:r>
      <w:r>
        <w:rPr>
          <w:rFonts w:ascii="Times New Roman" w:eastAsia="宋体" w:hAnsi="Times New Roman"/>
          <w:color w:val="000000"/>
          <w:sz w:val="20"/>
          <w:szCs w:val="20"/>
        </w:rPr>
        <w:t xml:space="preserve">n compared to the same period in the previous fiscal year. The increase was primarily due to strategic sourcing initiatives and fewer markdowns, which was partially offset in the Walmart U.S. segment by carryover of prior year price investment. </w:t>
      </w:r>
    </w:p>
    <w:p w14:paraId="7E785AD7" w14:textId="77777777" w:rsidR="00A82082" w:rsidRDefault="00E946F9">
      <w:pPr>
        <w:spacing w:before="100"/>
      </w:pPr>
      <w:r>
        <w:rPr>
          <w:rFonts w:ascii="Times New Roman" w:eastAsia="宋体" w:hAnsi="Times New Roman"/>
          <w:color w:val="000000"/>
          <w:sz w:val="20"/>
          <w:szCs w:val="20"/>
        </w:rPr>
        <w:t>Gross prof</w:t>
      </w:r>
      <w:r>
        <w:rPr>
          <w:rFonts w:ascii="Times New Roman" w:eastAsia="宋体" w:hAnsi="Times New Roman"/>
          <w:color w:val="000000"/>
          <w:sz w:val="20"/>
          <w:szCs w:val="20"/>
        </w:rPr>
        <w:t>it as a percentage of sales for t</w:t>
      </w:r>
      <w:r>
        <w:rPr>
          <w:rFonts w:ascii="Times New Roman" w:eastAsia="宋体" w:hAnsi="Times New Roman"/>
          <w:color w:val="000000"/>
          <w:sz w:val="20"/>
          <w:szCs w:val="20"/>
          <w:shd w:val="clear" w:color="auto" w:fill="FFFFFF"/>
        </w:rPr>
        <w:t xml:space="preserve">he nine months ended October 31, 2020 increased 16 basis points when compared to the same period in the previous fiscal year. The increase in the gross profit rate for </w:t>
      </w:r>
      <w:r>
        <w:rPr>
          <w:rFonts w:ascii="Times New Roman" w:eastAsia="宋体" w:hAnsi="Times New Roman"/>
          <w:color w:val="000000"/>
          <w:sz w:val="20"/>
          <w:szCs w:val="20"/>
        </w:rPr>
        <w:t xml:space="preserve">the </w:t>
      </w:r>
      <w:r>
        <w:rPr>
          <w:rFonts w:ascii="Times New Roman" w:eastAsia="宋体" w:hAnsi="Times New Roman"/>
          <w:color w:val="000000"/>
          <w:sz w:val="20"/>
          <w:szCs w:val="20"/>
          <w:shd w:val="clear" w:color="auto" w:fill="FFFFFF"/>
        </w:rPr>
        <w:t>nine months ended October 31, 2020 was primarily du</w:t>
      </w:r>
      <w:r>
        <w:rPr>
          <w:rFonts w:ascii="Times New Roman" w:eastAsia="宋体" w:hAnsi="Times New Roman"/>
          <w:color w:val="000000"/>
          <w:sz w:val="20"/>
          <w:szCs w:val="20"/>
          <w:shd w:val="clear" w:color="auto" w:fill="FFFFFF"/>
        </w:rPr>
        <w:t xml:space="preserve">e to strategic sourcing initiatives, strong sales in higher-margin categories, and fewer markdowns. </w:t>
      </w:r>
      <w:r>
        <w:rPr>
          <w:rFonts w:ascii="Times New Roman" w:eastAsia="宋体" w:hAnsi="Times New Roman"/>
          <w:color w:val="000000"/>
          <w:sz w:val="20"/>
          <w:szCs w:val="20"/>
        </w:rPr>
        <w:t xml:space="preserve">This was partially offset in the Walmart U.S. segment by carryover of prior year price investment as well as the temporary closure of our Auto Care Centers </w:t>
      </w:r>
      <w:r>
        <w:rPr>
          <w:rFonts w:ascii="Times New Roman" w:eastAsia="宋体" w:hAnsi="Times New Roman"/>
          <w:color w:val="000000"/>
          <w:sz w:val="20"/>
          <w:szCs w:val="20"/>
        </w:rPr>
        <w:t>and Vision Centers in response to the COVID-19 pandemic.</w:t>
      </w:r>
    </w:p>
    <w:p w14:paraId="7E785AD8" w14:textId="77777777" w:rsidR="00A82082" w:rsidRDefault="00E946F9">
      <w:pPr>
        <w:spacing w:before="100"/>
      </w:pPr>
      <w:r>
        <w:rPr>
          <w:rFonts w:ascii="Times New Roman" w:eastAsia="宋体" w:hAnsi="Times New Roman"/>
          <w:color w:val="000000"/>
          <w:sz w:val="20"/>
          <w:szCs w:val="20"/>
        </w:rPr>
        <w:t xml:space="preserve">Operating expenses as a percentage of net sales decreased 18 and 12 basis points for the three and nine months ended October 31, 2020, respectively, when compared to the same periods in the previous </w:t>
      </w:r>
      <w:r>
        <w:rPr>
          <w:rFonts w:ascii="Times New Roman" w:eastAsia="宋体" w:hAnsi="Times New Roman"/>
          <w:color w:val="000000"/>
          <w:sz w:val="20"/>
          <w:szCs w:val="20"/>
        </w:rPr>
        <w:t xml:space="preserve">fiscal year primarily due to strong sales and lapping a non-cash impairment charge in the prior year, partially offset by $0.6 billion and $3.0 billion, respectively, of incremental costs related to the COVID-19 pandemic. For the nine months ended October </w:t>
      </w:r>
      <w:r>
        <w:rPr>
          <w:rFonts w:ascii="Times New Roman" w:eastAsia="宋体" w:hAnsi="Times New Roman"/>
          <w:color w:val="000000"/>
          <w:sz w:val="20"/>
          <w:szCs w:val="20"/>
        </w:rPr>
        <w:t xml:space="preserve">31, 2020, operating expenses as a percentage of net sales was also impacted by a $0.4 billion business restructuring charge in the Walmart U.S. segment recorded in the second quarter of fiscal 2021. </w:t>
      </w:r>
    </w:p>
    <w:p w14:paraId="7E785AD9" w14:textId="77777777" w:rsidR="00A82082" w:rsidRDefault="00E946F9">
      <w:pPr>
        <w:spacing w:before="100"/>
      </w:pPr>
      <w:r>
        <w:rPr>
          <w:rFonts w:ascii="Times New Roman" w:eastAsia="宋体" w:hAnsi="Times New Roman"/>
          <w:color w:val="000000"/>
          <w:sz w:val="20"/>
          <w:szCs w:val="20"/>
        </w:rPr>
        <w:t>Other gains and losses for the three and nine months end</w:t>
      </w:r>
      <w:r>
        <w:rPr>
          <w:rFonts w:ascii="Times New Roman" w:eastAsia="宋体" w:hAnsi="Times New Roman"/>
          <w:color w:val="000000"/>
          <w:sz w:val="20"/>
          <w:szCs w:val="20"/>
        </w:rPr>
        <w:t>ed October 31, 2020 consisted of a gain of $1.9 billion and $5.8 billion, respectively, which primarily reflects the respective $2.7 billion and $6.0 billion fair value changes of our equity investments, partially offset by the $1.0 billion loss on sale of</w:t>
      </w:r>
      <w:r>
        <w:rPr>
          <w:rFonts w:ascii="Times New Roman" w:eastAsia="宋体" w:hAnsi="Times New Roman"/>
          <w:color w:val="000000"/>
          <w:sz w:val="20"/>
          <w:szCs w:val="20"/>
        </w:rPr>
        <w:t xml:space="preserve"> Walmart Argentina, which was classified as held for sale as of October 31, 2020. For the three and nine months ended October 31, 2019, other gains and losses consisted of a gain of $0.2 billion and $1.0 billion, respectively, primarily representing the fa</w:t>
      </w:r>
      <w:r>
        <w:rPr>
          <w:rFonts w:ascii="Times New Roman" w:eastAsia="宋体" w:hAnsi="Times New Roman"/>
          <w:color w:val="000000"/>
          <w:sz w:val="20"/>
          <w:szCs w:val="20"/>
        </w:rPr>
        <w:t>ir value change of our JD.com investment.</w:t>
      </w:r>
    </w:p>
    <w:p w14:paraId="7E785ADA" w14:textId="77777777" w:rsidR="00A82082" w:rsidRDefault="00E946F9">
      <w:pPr>
        <w:spacing w:before="100"/>
      </w:pPr>
      <w:r>
        <w:rPr>
          <w:rFonts w:ascii="Times New Roman" w:eastAsia="宋体" w:hAnsi="Times New Roman"/>
          <w:color w:val="000000"/>
          <w:sz w:val="20"/>
          <w:szCs w:val="20"/>
        </w:rPr>
        <w:t>Our effective income tax rate was 26.9% and 25.7% for the three and nine months ended October 31, 2020, respectively, which increased 284 and 125 basis points, respectively, as compared to 24.1% and 24.5% for the s</w:t>
      </w:r>
      <w:r>
        <w:rPr>
          <w:rFonts w:ascii="Times New Roman" w:eastAsia="宋体" w:hAnsi="Times New Roman"/>
          <w:color w:val="000000"/>
          <w:sz w:val="20"/>
          <w:szCs w:val="20"/>
        </w:rPr>
        <w:t xml:space="preserve">ame periods in the previous fiscal year. The increase in effective tax rate is primarily due to the loss on sale of Walmart Argentina recorded in the third quarter of fiscal 2021 as it provided minimal realizable tax benefit. Our effective income tax rate </w:t>
      </w:r>
      <w:r>
        <w:rPr>
          <w:rFonts w:ascii="Times New Roman" w:eastAsia="宋体" w:hAnsi="Times New Roman"/>
          <w:color w:val="000000"/>
          <w:sz w:val="20"/>
          <w:szCs w:val="20"/>
        </w:rPr>
        <w:t>may fluctuate from quarter to quarter as a result of factors including changes in our assessment of certain tax contingencies, valuation allowances, changes in tax law, outcomes of administrative audits, the impact of discrete items and the mix and size of</w:t>
      </w:r>
      <w:r>
        <w:rPr>
          <w:rFonts w:ascii="Times New Roman" w:eastAsia="宋体" w:hAnsi="Times New Roman"/>
          <w:color w:val="000000"/>
          <w:sz w:val="20"/>
          <w:szCs w:val="20"/>
        </w:rPr>
        <w:t xml:space="preserve"> earnings among our U.S. operations and international operations, which are subject to statutory rates that may be different than the U.S. statutory rate. </w:t>
      </w:r>
    </w:p>
    <w:p w14:paraId="7E785ADB" w14:textId="77777777" w:rsidR="00A82082" w:rsidRDefault="00E946F9">
      <w:pPr>
        <w:jc w:val="center"/>
      </w:pPr>
      <w:r>
        <w:rPr>
          <w:rFonts w:ascii="Times New Roman" w:eastAsia="宋体" w:hAnsi="Times New Roman"/>
          <w:color w:val="000000"/>
          <w:sz w:val="20"/>
          <w:szCs w:val="20"/>
        </w:rPr>
        <w:t>22</w:t>
      </w:r>
    </w:p>
    <w:p w14:paraId="7E785ADC" w14:textId="77777777" w:rsidR="00A82082" w:rsidRDefault="00E946F9">
      <w:r>
        <w:pict w14:anchorId="7E78615E">
          <v:rect id="_x0000_i1046" style="width:415.3pt;height:1.5pt" o:hralign="center" o:hrstd="t" o:hr="t" fillcolor="#a0a0a0" stroked="f"/>
        </w:pict>
      </w:r>
    </w:p>
    <w:p w14:paraId="7E785ADD" w14:textId="77777777" w:rsidR="00A82082" w:rsidRDefault="00E946F9">
      <w:hyperlink r:id="rId90" w:anchor="i5c815528a95c4409b9043de534639b9a_7" w:history="1">
        <w:r>
          <w:rPr>
            <w:rStyle w:val="a5"/>
            <w:rFonts w:ascii="Times New Roman" w:eastAsia="宋体" w:hAnsi="Times New Roman"/>
            <w:sz w:val="20"/>
            <w:szCs w:val="20"/>
          </w:rPr>
          <w:t>Table of C</w:t>
        </w:r>
      </w:hyperlink>
      <w:hyperlink r:id="rId91" w:anchor="i5c815528a95c4409b9043de534639b9a_7" w:history="1">
        <w:r>
          <w:rPr>
            <w:rStyle w:val="a5"/>
            <w:rFonts w:ascii="Times New Roman" w:eastAsia="宋体" w:hAnsi="Times New Roman"/>
            <w:sz w:val="20"/>
            <w:szCs w:val="20"/>
          </w:rPr>
          <w:t>ontents</w:t>
        </w:r>
      </w:hyperlink>
    </w:p>
    <w:p w14:paraId="7E785ADE" w14:textId="77777777" w:rsidR="00A82082" w:rsidRDefault="00E946F9">
      <w:pPr>
        <w:spacing w:before="100"/>
      </w:pPr>
      <w:r>
        <w:rPr>
          <w:rFonts w:ascii="Times New Roman" w:eastAsia="宋体" w:hAnsi="Times New Roman"/>
          <w:color w:val="000000"/>
          <w:sz w:val="20"/>
          <w:szCs w:val="20"/>
        </w:rPr>
        <w:t xml:space="preserve">As a result of the factors discussed above, consolidated net income increased $1.9 billion and $4.8 billion for the three and nine months ended October 31, 2020, respectively, when compared </w:t>
      </w:r>
      <w:r>
        <w:rPr>
          <w:rFonts w:ascii="Times New Roman" w:eastAsia="宋体" w:hAnsi="Times New Roman"/>
          <w:color w:val="000000"/>
          <w:sz w:val="20"/>
          <w:szCs w:val="20"/>
        </w:rPr>
        <w:t>to the same periods in the previous fiscal year. Accordingly, diluted net income per common share attributable to Walmart was $1.80 and $5.48 for the three and nine months ended October 31, 2020, respectively, which represents an increase of $0.65 and $1.7</w:t>
      </w:r>
      <w:r>
        <w:rPr>
          <w:rFonts w:ascii="Times New Roman" w:eastAsia="宋体" w:hAnsi="Times New Roman"/>
          <w:color w:val="000000"/>
          <w:sz w:val="20"/>
          <w:szCs w:val="20"/>
        </w:rPr>
        <w:t>4 when compared to the same periods, respectively, in the previous fiscal year.</w:t>
      </w:r>
    </w:p>
    <w:p w14:paraId="7E785ADF" w14:textId="77777777" w:rsidR="00A82082" w:rsidRDefault="00E946F9">
      <w:pPr>
        <w:spacing w:before="240"/>
      </w:pPr>
      <w:r>
        <w:rPr>
          <w:rFonts w:ascii="Times New Roman" w:eastAsia="宋体" w:hAnsi="Times New Roman"/>
          <w:b/>
          <w:bCs/>
          <w:i/>
          <w:iCs/>
          <w:color w:val="000000"/>
          <w:sz w:val="20"/>
          <w:szCs w:val="20"/>
        </w:rPr>
        <w:t>Walmart U.S. Segment</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00"/>
        <w:gridCol w:w="739"/>
        <w:gridCol w:w="154"/>
        <w:gridCol w:w="36"/>
        <w:gridCol w:w="46"/>
        <w:gridCol w:w="100"/>
        <w:gridCol w:w="810"/>
        <w:gridCol w:w="154"/>
        <w:gridCol w:w="36"/>
        <w:gridCol w:w="36"/>
        <w:gridCol w:w="36"/>
        <w:gridCol w:w="100"/>
        <w:gridCol w:w="741"/>
        <w:gridCol w:w="154"/>
        <w:gridCol w:w="36"/>
        <w:gridCol w:w="36"/>
        <w:gridCol w:w="36"/>
        <w:gridCol w:w="36"/>
        <w:gridCol w:w="36"/>
        <w:gridCol w:w="36"/>
        <w:gridCol w:w="100"/>
        <w:gridCol w:w="811"/>
        <w:gridCol w:w="154"/>
      </w:tblGrid>
      <w:tr w:rsidR="00A82082" w14:paraId="7E785AF9" w14:textId="77777777">
        <w:trPr>
          <w:jc w:val="center"/>
        </w:trPr>
        <w:tc>
          <w:tcPr>
            <w:tcW w:w="50" w:type="pct"/>
            <w:shd w:val="clear" w:color="auto" w:fill="auto"/>
          </w:tcPr>
          <w:p w14:paraId="7E785AE0" w14:textId="77777777" w:rsidR="00A82082" w:rsidRDefault="00A82082">
            <w:pPr>
              <w:rPr>
                <w:rFonts w:ascii="宋体"/>
              </w:rPr>
            </w:pPr>
          </w:p>
        </w:tc>
        <w:tc>
          <w:tcPr>
            <w:tcW w:w="2345" w:type="pct"/>
            <w:shd w:val="clear" w:color="auto" w:fill="auto"/>
          </w:tcPr>
          <w:p w14:paraId="7E785AE1" w14:textId="77777777" w:rsidR="00A82082" w:rsidRDefault="00A82082">
            <w:pPr>
              <w:rPr>
                <w:rFonts w:ascii="宋体"/>
              </w:rPr>
            </w:pPr>
          </w:p>
        </w:tc>
        <w:tc>
          <w:tcPr>
            <w:tcW w:w="5" w:type="pct"/>
            <w:shd w:val="clear" w:color="auto" w:fill="auto"/>
          </w:tcPr>
          <w:p w14:paraId="7E785AE2" w14:textId="77777777" w:rsidR="00A82082" w:rsidRDefault="00A82082">
            <w:pPr>
              <w:rPr>
                <w:rFonts w:ascii="宋体"/>
              </w:rPr>
            </w:pPr>
          </w:p>
        </w:tc>
        <w:tc>
          <w:tcPr>
            <w:tcW w:w="5" w:type="pct"/>
            <w:shd w:val="clear" w:color="auto" w:fill="auto"/>
          </w:tcPr>
          <w:p w14:paraId="7E785AE3" w14:textId="77777777" w:rsidR="00A82082" w:rsidRDefault="00A82082">
            <w:pPr>
              <w:rPr>
                <w:rFonts w:ascii="宋体"/>
              </w:rPr>
            </w:pPr>
          </w:p>
        </w:tc>
        <w:tc>
          <w:tcPr>
            <w:tcW w:w="41" w:type="pct"/>
            <w:shd w:val="clear" w:color="auto" w:fill="auto"/>
          </w:tcPr>
          <w:p w14:paraId="7E785AE4" w14:textId="77777777" w:rsidR="00A82082" w:rsidRDefault="00A82082">
            <w:pPr>
              <w:rPr>
                <w:rFonts w:ascii="宋体"/>
              </w:rPr>
            </w:pPr>
          </w:p>
        </w:tc>
        <w:tc>
          <w:tcPr>
            <w:tcW w:w="5" w:type="pct"/>
            <w:shd w:val="clear" w:color="auto" w:fill="auto"/>
          </w:tcPr>
          <w:p w14:paraId="7E785AE5" w14:textId="77777777" w:rsidR="00A82082" w:rsidRDefault="00A82082">
            <w:pPr>
              <w:rPr>
                <w:rFonts w:ascii="宋体"/>
              </w:rPr>
            </w:pPr>
          </w:p>
        </w:tc>
        <w:tc>
          <w:tcPr>
            <w:tcW w:w="50" w:type="pct"/>
            <w:shd w:val="clear" w:color="auto" w:fill="auto"/>
          </w:tcPr>
          <w:p w14:paraId="7E785AE6" w14:textId="77777777" w:rsidR="00A82082" w:rsidRDefault="00A82082">
            <w:pPr>
              <w:rPr>
                <w:rFonts w:ascii="宋体"/>
              </w:rPr>
            </w:pPr>
          </w:p>
        </w:tc>
        <w:tc>
          <w:tcPr>
            <w:tcW w:w="569" w:type="pct"/>
            <w:shd w:val="clear" w:color="auto" w:fill="auto"/>
          </w:tcPr>
          <w:p w14:paraId="7E785AE7" w14:textId="77777777" w:rsidR="00A82082" w:rsidRDefault="00A82082">
            <w:pPr>
              <w:rPr>
                <w:rFonts w:ascii="宋体"/>
              </w:rPr>
            </w:pPr>
          </w:p>
        </w:tc>
        <w:tc>
          <w:tcPr>
            <w:tcW w:w="5" w:type="pct"/>
            <w:shd w:val="clear" w:color="auto" w:fill="auto"/>
          </w:tcPr>
          <w:p w14:paraId="7E785AE8" w14:textId="77777777" w:rsidR="00A82082" w:rsidRDefault="00A82082">
            <w:pPr>
              <w:rPr>
                <w:rFonts w:ascii="宋体"/>
              </w:rPr>
            </w:pPr>
          </w:p>
        </w:tc>
        <w:tc>
          <w:tcPr>
            <w:tcW w:w="0" w:type="auto"/>
            <w:shd w:val="clear" w:color="auto" w:fill="auto"/>
          </w:tcPr>
          <w:p w14:paraId="7E785AE9" w14:textId="77777777" w:rsidR="00A82082" w:rsidRDefault="00A82082">
            <w:pPr>
              <w:rPr>
                <w:rFonts w:ascii="宋体"/>
                <w:vanish/>
              </w:rPr>
            </w:pPr>
          </w:p>
        </w:tc>
        <w:tc>
          <w:tcPr>
            <w:tcW w:w="0" w:type="auto"/>
            <w:shd w:val="clear" w:color="auto" w:fill="auto"/>
          </w:tcPr>
          <w:p w14:paraId="7E785AEA" w14:textId="77777777" w:rsidR="00A82082" w:rsidRDefault="00A82082">
            <w:pPr>
              <w:rPr>
                <w:rFonts w:ascii="宋体"/>
                <w:vanish/>
              </w:rPr>
            </w:pPr>
          </w:p>
        </w:tc>
        <w:tc>
          <w:tcPr>
            <w:tcW w:w="50" w:type="pct"/>
            <w:shd w:val="clear" w:color="auto" w:fill="auto"/>
          </w:tcPr>
          <w:p w14:paraId="7E785AEB" w14:textId="77777777" w:rsidR="00A82082" w:rsidRDefault="00A82082">
            <w:pPr>
              <w:rPr>
                <w:rFonts w:ascii="宋体"/>
              </w:rPr>
            </w:pPr>
          </w:p>
        </w:tc>
        <w:tc>
          <w:tcPr>
            <w:tcW w:w="569" w:type="pct"/>
            <w:shd w:val="clear" w:color="auto" w:fill="auto"/>
          </w:tcPr>
          <w:p w14:paraId="7E785AEC" w14:textId="77777777" w:rsidR="00A82082" w:rsidRDefault="00A82082">
            <w:pPr>
              <w:rPr>
                <w:rFonts w:ascii="宋体"/>
              </w:rPr>
            </w:pPr>
          </w:p>
        </w:tc>
        <w:tc>
          <w:tcPr>
            <w:tcW w:w="5" w:type="pct"/>
            <w:shd w:val="clear" w:color="auto" w:fill="auto"/>
          </w:tcPr>
          <w:p w14:paraId="7E785AED" w14:textId="77777777" w:rsidR="00A82082" w:rsidRDefault="00A82082">
            <w:pPr>
              <w:rPr>
                <w:rFonts w:ascii="宋体"/>
              </w:rPr>
            </w:pPr>
          </w:p>
        </w:tc>
        <w:tc>
          <w:tcPr>
            <w:tcW w:w="5" w:type="pct"/>
            <w:shd w:val="clear" w:color="auto" w:fill="auto"/>
          </w:tcPr>
          <w:p w14:paraId="7E785AEE" w14:textId="77777777" w:rsidR="00A82082" w:rsidRDefault="00A82082">
            <w:pPr>
              <w:rPr>
                <w:rFonts w:ascii="宋体"/>
              </w:rPr>
            </w:pPr>
          </w:p>
        </w:tc>
        <w:tc>
          <w:tcPr>
            <w:tcW w:w="41" w:type="pct"/>
            <w:shd w:val="clear" w:color="auto" w:fill="auto"/>
          </w:tcPr>
          <w:p w14:paraId="7E785AEF" w14:textId="77777777" w:rsidR="00A82082" w:rsidRDefault="00A82082">
            <w:pPr>
              <w:rPr>
                <w:rFonts w:ascii="宋体"/>
              </w:rPr>
            </w:pPr>
          </w:p>
        </w:tc>
        <w:tc>
          <w:tcPr>
            <w:tcW w:w="5" w:type="pct"/>
            <w:shd w:val="clear" w:color="auto" w:fill="auto"/>
          </w:tcPr>
          <w:p w14:paraId="7E785AF0" w14:textId="77777777" w:rsidR="00A82082" w:rsidRDefault="00A82082">
            <w:pPr>
              <w:rPr>
                <w:rFonts w:ascii="宋体"/>
              </w:rPr>
            </w:pPr>
          </w:p>
        </w:tc>
        <w:tc>
          <w:tcPr>
            <w:tcW w:w="50" w:type="pct"/>
            <w:shd w:val="clear" w:color="auto" w:fill="auto"/>
          </w:tcPr>
          <w:p w14:paraId="7E785AF1" w14:textId="77777777" w:rsidR="00A82082" w:rsidRDefault="00A82082">
            <w:pPr>
              <w:rPr>
                <w:rFonts w:ascii="宋体"/>
              </w:rPr>
            </w:pPr>
          </w:p>
        </w:tc>
        <w:tc>
          <w:tcPr>
            <w:tcW w:w="569" w:type="pct"/>
            <w:shd w:val="clear" w:color="auto" w:fill="auto"/>
          </w:tcPr>
          <w:p w14:paraId="7E785AF2" w14:textId="77777777" w:rsidR="00A82082" w:rsidRDefault="00A82082">
            <w:pPr>
              <w:rPr>
                <w:rFonts w:ascii="宋体"/>
              </w:rPr>
            </w:pPr>
          </w:p>
        </w:tc>
        <w:tc>
          <w:tcPr>
            <w:tcW w:w="5" w:type="pct"/>
            <w:shd w:val="clear" w:color="auto" w:fill="auto"/>
          </w:tcPr>
          <w:p w14:paraId="7E785AF3" w14:textId="77777777" w:rsidR="00A82082" w:rsidRDefault="00A82082">
            <w:pPr>
              <w:rPr>
                <w:rFonts w:ascii="宋体"/>
              </w:rPr>
            </w:pPr>
          </w:p>
        </w:tc>
        <w:tc>
          <w:tcPr>
            <w:tcW w:w="0" w:type="auto"/>
            <w:gridSpan w:val="3"/>
            <w:shd w:val="clear" w:color="auto" w:fill="auto"/>
          </w:tcPr>
          <w:p w14:paraId="7E785AF4" w14:textId="77777777" w:rsidR="00A82082" w:rsidRDefault="00A82082">
            <w:pPr>
              <w:rPr>
                <w:rFonts w:ascii="宋体"/>
                <w:vanish/>
              </w:rPr>
            </w:pPr>
          </w:p>
        </w:tc>
        <w:tc>
          <w:tcPr>
            <w:tcW w:w="0" w:type="auto"/>
            <w:gridSpan w:val="3"/>
            <w:shd w:val="clear" w:color="auto" w:fill="auto"/>
          </w:tcPr>
          <w:p w14:paraId="7E785AF5" w14:textId="77777777" w:rsidR="00A82082" w:rsidRDefault="00A82082">
            <w:pPr>
              <w:rPr>
                <w:rFonts w:ascii="宋体"/>
                <w:vanish/>
              </w:rPr>
            </w:pPr>
          </w:p>
        </w:tc>
        <w:tc>
          <w:tcPr>
            <w:tcW w:w="50" w:type="pct"/>
            <w:shd w:val="clear" w:color="auto" w:fill="auto"/>
          </w:tcPr>
          <w:p w14:paraId="7E785AF6" w14:textId="77777777" w:rsidR="00A82082" w:rsidRDefault="00A82082">
            <w:pPr>
              <w:rPr>
                <w:rFonts w:ascii="宋体"/>
              </w:rPr>
            </w:pPr>
          </w:p>
        </w:tc>
        <w:tc>
          <w:tcPr>
            <w:tcW w:w="569" w:type="pct"/>
            <w:shd w:val="clear" w:color="auto" w:fill="auto"/>
          </w:tcPr>
          <w:p w14:paraId="7E785AF7" w14:textId="77777777" w:rsidR="00A82082" w:rsidRDefault="00A82082">
            <w:pPr>
              <w:rPr>
                <w:rFonts w:ascii="宋体"/>
              </w:rPr>
            </w:pPr>
          </w:p>
        </w:tc>
        <w:tc>
          <w:tcPr>
            <w:tcW w:w="5" w:type="pct"/>
            <w:shd w:val="clear" w:color="auto" w:fill="auto"/>
          </w:tcPr>
          <w:p w14:paraId="7E785AF8" w14:textId="77777777" w:rsidR="00A82082" w:rsidRDefault="00A82082">
            <w:pPr>
              <w:rPr>
                <w:rFonts w:ascii="宋体"/>
              </w:rPr>
            </w:pPr>
          </w:p>
        </w:tc>
      </w:tr>
      <w:tr w:rsidR="00A82082" w14:paraId="7E785B0B" w14:textId="77777777">
        <w:trPr>
          <w:jc w:val="center"/>
        </w:trPr>
        <w:tc>
          <w:tcPr>
            <w:tcW w:w="0" w:type="auto"/>
            <w:gridSpan w:val="3"/>
            <w:shd w:val="clear" w:color="auto" w:fill="auto"/>
            <w:tcMar>
              <w:top w:w="40" w:type="dxa"/>
              <w:left w:w="20" w:type="dxa"/>
              <w:bottom w:w="40" w:type="dxa"/>
              <w:right w:w="20" w:type="dxa"/>
            </w:tcMar>
            <w:vAlign w:val="center"/>
          </w:tcPr>
          <w:p w14:paraId="7E785AFA"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AFB" w14:textId="77777777" w:rsidR="00A82082" w:rsidRDefault="00A82082">
            <w:pPr>
              <w:rPr>
                <w:rFonts w:ascii="宋体"/>
              </w:rPr>
            </w:pPr>
          </w:p>
        </w:tc>
        <w:tc>
          <w:tcPr>
            <w:tcW w:w="0" w:type="auto"/>
            <w:gridSpan w:val="4"/>
            <w:shd w:val="clear" w:color="auto" w:fill="auto"/>
            <w:tcMar>
              <w:top w:w="40" w:type="dxa"/>
              <w:left w:w="20" w:type="dxa"/>
              <w:bottom w:w="40" w:type="dxa"/>
              <w:right w:w="20" w:type="dxa"/>
            </w:tcMar>
            <w:vAlign w:val="center"/>
          </w:tcPr>
          <w:p w14:paraId="7E785AFC" w14:textId="77777777" w:rsidR="00A82082" w:rsidRDefault="00E946F9">
            <w:pPr>
              <w:jc w:val="center"/>
              <w:textAlignment w:val="center"/>
            </w:pPr>
            <w:r>
              <w:rPr>
                <w:rFonts w:ascii="Times New Roman" w:eastAsia="宋体" w:hAnsi="Times New Roman"/>
                <w:b/>
                <w:bCs/>
                <w:color w:val="000000"/>
                <w:sz w:val="16"/>
                <w:szCs w:val="16"/>
              </w:rPr>
              <w:t>Three Months Ended October 31,</w:t>
            </w:r>
          </w:p>
        </w:tc>
        <w:tc>
          <w:tcPr>
            <w:tcW w:w="0" w:type="auto"/>
            <w:shd w:val="clear" w:color="auto" w:fill="auto"/>
            <w:tcMar>
              <w:top w:w="0" w:type="dxa"/>
              <w:left w:w="20" w:type="dxa"/>
              <w:bottom w:w="0" w:type="dxa"/>
              <w:right w:w="20" w:type="dxa"/>
            </w:tcMar>
          </w:tcPr>
          <w:p w14:paraId="7E785AFD"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center"/>
          </w:tcPr>
          <w:p w14:paraId="7E785AFE" w14:textId="77777777" w:rsidR="00A82082" w:rsidRDefault="00E946F9">
            <w:pPr>
              <w:jc w:val="center"/>
              <w:textAlignment w:val="center"/>
            </w:pPr>
            <w:r>
              <w:rPr>
                <w:rFonts w:ascii="Times New Roman" w:eastAsia="宋体" w:hAnsi="Times New Roman"/>
                <w:b/>
                <w:bCs/>
                <w:color w:val="000000"/>
                <w:sz w:val="16"/>
                <w:szCs w:val="16"/>
              </w:rPr>
              <w:t>Nine Months Ended October 31,</w:t>
            </w:r>
          </w:p>
        </w:tc>
        <w:tc>
          <w:tcPr>
            <w:tcW w:w="0" w:type="auto"/>
            <w:shd w:val="clear" w:color="auto" w:fill="auto"/>
          </w:tcPr>
          <w:p w14:paraId="7E785AFF" w14:textId="77777777" w:rsidR="00A82082" w:rsidRDefault="00A82082">
            <w:pPr>
              <w:rPr>
                <w:rFonts w:ascii="宋体"/>
              </w:rPr>
            </w:pPr>
          </w:p>
        </w:tc>
        <w:tc>
          <w:tcPr>
            <w:tcW w:w="0" w:type="auto"/>
            <w:shd w:val="clear" w:color="auto" w:fill="auto"/>
          </w:tcPr>
          <w:p w14:paraId="7E785B00" w14:textId="77777777" w:rsidR="00A82082" w:rsidRDefault="00A82082">
            <w:pPr>
              <w:rPr>
                <w:rFonts w:ascii="宋体"/>
              </w:rPr>
            </w:pPr>
          </w:p>
        </w:tc>
        <w:tc>
          <w:tcPr>
            <w:tcW w:w="0" w:type="auto"/>
            <w:shd w:val="clear" w:color="auto" w:fill="auto"/>
          </w:tcPr>
          <w:p w14:paraId="7E785B01" w14:textId="77777777" w:rsidR="00A82082" w:rsidRDefault="00A82082">
            <w:pPr>
              <w:rPr>
                <w:rFonts w:ascii="宋体"/>
              </w:rPr>
            </w:pPr>
          </w:p>
        </w:tc>
        <w:tc>
          <w:tcPr>
            <w:tcW w:w="0" w:type="auto"/>
            <w:shd w:val="clear" w:color="auto" w:fill="auto"/>
          </w:tcPr>
          <w:p w14:paraId="7E785B02" w14:textId="77777777" w:rsidR="00A82082" w:rsidRDefault="00A82082">
            <w:pPr>
              <w:rPr>
                <w:rFonts w:ascii="宋体"/>
              </w:rPr>
            </w:pPr>
          </w:p>
        </w:tc>
        <w:tc>
          <w:tcPr>
            <w:tcW w:w="0" w:type="auto"/>
            <w:shd w:val="clear" w:color="auto" w:fill="auto"/>
          </w:tcPr>
          <w:p w14:paraId="7E785B03" w14:textId="77777777" w:rsidR="00A82082" w:rsidRDefault="00A82082">
            <w:pPr>
              <w:rPr>
                <w:rFonts w:ascii="宋体"/>
              </w:rPr>
            </w:pPr>
          </w:p>
        </w:tc>
        <w:tc>
          <w:tcPr>
            <w:tcW w:w="0" w:type="auto"/>
            <w:shd w:val="clear" w:color="auto" w:fill="auto"/>
          </w:tcPr>
          <w:p w14:paraId="7E785B04" w14:textId="77777777" w:rsidR="00A82082" w:rsidRDefault="00A82082">
            <w:pPr>
              <w:rPr>
                <w:rFonts w:ascii="宋体"/>
              </w:rPr>
            </w:pPr>
          </w:p>
        </w:tc>
        <w:tc>
          <w:tcPr>
            <w:tcW w:w="0" w:type="auto"/>
            <w:shd w:val="clear" w:color="auto" w:fill="auto"/>
          </w:tcPr>
          <w:p w14:paraId="7E785B05" w14:textId="77777777" w:rsidR="00A82082" w:rsidRDefault="00A82082">
            <w:pPr>
              <w:rPr>
                <w:rFonts w:ascii="宋体"/>
              </w:rPr>
            </w:pPr>
          </w:p>
        </w:tc>
        <w:tc>
          <w:tcPr>
            <w:tcW w:w="0" w:type="auto"/>
            <w:shd w:val="clear" w:color="auto" w:fill="auto"/>
          </w:tcPr>
          <w:p w14:paraId="7E785B06" w14:textId="77777777" w:rsidR="00A82082" w:rsidRDefault="00A82082">
            <w:pPr>
              <w:rPr>
                <w:rFonts w:ascii="宋体"/>
              </w:rPr>
            </w:pPr>
          </w:p>
        </w:tc>
        <w:tc>
          <w:tcPr>
            <w:tcW w:w="0" w:type="auto"/>
            <w:shd w:val="clear" w:color="auto" w:fill="auto"/>
          </w:tcPr>
          <w:p w14:paraId="7E785B07" w14:textId="77777777" w:rsidR="00A82082" w:rsidRDefault="00A82082">
            <w:pPr>
              <w:rPr>
                <w:rFonts w:ascii="宋体"/>
              </w:rPr>
            </w:pPr>
          </w:p>
        </w:tc>
        <w:tc>
          <w:tcPr>
            <w:tcW w:w="0" w:type="auto"/>
            <w:shd w:val="clear" w:color="auto" w:fill="auto"/>
          </w:tcPr>
          <w:p w14:paraId="7E785B08" w14:textId="77777777" w:rsidR="00A82082" w:rsidRDefault="00A82082">
            <w:pPr>
              <w:rPr>
                <w:rFonts w:ascii="宋体"/>
              </w:rPr>
            </w:pPr>
          </w:p>
        </w:tc>
        <w:tc>
          <w:tcPr>
            <w:tcW w:w="0" w:type="auto"/>
            <w:shd w:val="clear" w:color="auto" w:fill="auto"/>
          </w:tcPr>
          <w:p w14:paraId="7E785B09" w14:textId="77777777" w:rsidR="00A82082" w:rsidRDefault="00A82082">
            <w:pPr>
              <w:rPr>
                <w:rFonts w:ascii="宋体"/>
              </w:rPr>
            </w:pPr>
          </w:p>
        </w:tc>
        <w:tc>
          <w:tcPr>
            <w:tcW w:w="0" w:type="auto"/>
            <w:shd w:val="clear" w:color="auto" w:fill="auto"/>
          </w:tcPr>
          <w:p w14:paraId="7E785B0A" w14:textId="77777777" w:rsidR="00A82082" w:rsidRDefault="00A82082">
            <w:pPr>
              <w:rPr>
                <w:rFonts w:ascii="宋体"/>
              </w:rPr>
            </w:pPr>
          </w:p>
        </w:tc>
      </w:tr>
      <w:tr w:rsidR="00A82082" w14:paraId="7E785B17" w14:textId="77777777">
        <w:trPr>
          <w:jc w:val="center"/>
        </w:trPr>
        <w:tc>
          <w:tcPr>
            <w:tcW w:w="0" w:type="auto"/>
            <w:gridSpan w:val="3"/>
            <w:shd w:val="clear" w:color="auto" w:fill="auto"/>
            <w:tcMar>
              <w:top w:w="40" w:type="dxa"/>
              <w:left w:w="20" w:type="dxa"/>
              <w:bottom w:w="40" w:type="dxa"/>
              <w:right w:w="20" w:type="dxa"/>
            </w:tcMar>
            <w:vAlign w:val="center"/>
          </w:tcPr>
          <w:p w14:paraId="7E785B0C" w14:textId="77777777" w:rsidR="00A82082" w:rsidRDefault="00E946F9">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7E785B0D"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0E"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shd w:val="clear" w:color="auto" w:fill="auto"/>
          </w:tcPr>
          <w:p w14:paraId="7E785B0F" w14:textId="77777777" w:rsidR="00A82082" w:rsidRDefault="00A82082">
            <w:pPr>
              <w:rPr>
                <w:rFonts w:ascii="宋体"/>
                <w:vanish/>
              </w:rPr>
            </w:pPr>
          </w:p>
        </w:tc>
        <w:tc>
          <w:tcPr>
            <w:tcW w:w="0" w:type="auto"/>
            <w:shd w:val="clear" w:color="auto" w:fill="auto"/>
          </w:tcPr>
          <w:p w14:paraId="7E785B10"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11"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B12"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13"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Pr>
          <w:p w14:paraId="7E785B14" w14:textId="77777777" w:rsidR="00A82082" w:rsidRDefault="00A82082">
            <w:pPr>
              <w:rPr>
                <w:rFonts w:ascii="宋体"/>
                <w:vanish/>
              </w:rPr>
            </w:pPr>
          </w:p>
        </w:tc>
        <w:tc>
          <w:tcPr>
            <w:tcW w:w="0" w:type="auto"/>
            <w:gridSpan w:val="3"/>
            <w:shd w:val="clear" w:color="auto" w:fill="auto"/>
          </w:tcPr>
          <w:p w14:paraId="7E785B15"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16" w14:textId="77777777" w:rsidR="00A82082" w:rsidRDefault="00E946F9">
            <w:pPr>
              <w:jc w:val="center"/>
              <w:textAlignment w:val="center"/>
            </w:pPr>
            <w:r>
              <w:rPr>
                <w:rFonts w:ascii="Times New Roman" w:eastAsia="宋体" w:hAnsi="Times New Roman"/>
                <w:b/>
                <w:bCs/>
                <w:color w:val="000000"/>
                <w:sz w:val="16"/>
                <w:szCs w:val="16"/>
              </w:rPr>
              <w:t>2019</w:t>
            </w:r>
          </w:p>
        </w:tc>
      </w:tr>
      <w:tr w:rsidR="00A82082" w14:paraId="7E785B2B" w14:textId="77777777">
        <w:trPr>
          <w:jc w:val="center"/>
        </w:trPr>
        <w:tc>
          <w:tcPr>
            <w:tcW w:w="0" w:type="auto"/>
            <w:gridSpan w:val="3"/>
            <w:shd w:val="clear" w:color="auto" w:fill="CCEEFF"/>
            <w:tcMar>
              <w:top w:w="40" w:type="dxa"/>
              <w:left w:w="20" w:type="dxa"/>
              <w:bottom w:w="40" w:type="dxa"/>
              <w:right w:w="20" w:type="dxa"/>
            </w:tcMar>
            <w:vAlign w:val="center"/>
          </w:tcPr>
          <w:p w14:paraId="7E785B18"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5B19"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1A"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1B" w14:textId="77777777" w:rsidR="00A82082" w:rsidRDefault="00E946F9">
            <w:pPr>
              <w:jc w:val="right"/>
              <w:textAlignment w:val="center"/>
            </w:pPr>
            <w:r>
              <w:rPr>
                <w:rFonts w:ascii="Times New Roman" w:eastAsia="宋体" w:hAnsi="Times New Roman"/>
                <w:color w:val="000000"/>
                <w:sz w:val="16"/>
                <w:szCs w:val="16"/>
              </w:rPr>
              <w:t>88,353 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1C" w14:textId="77777777" w:rsidR="00A82082" w:rsidRDefault="00A82082">
            <w:pPr>
              <w:jc w:val="right"/>
              <w:rPr>
                <w:rFonts w:ascii="宋体"/>
              </w:rPr>
            </w:pPr>
          </w:p>
        </w:tc>
        <w:tc>
          <w:tcPr>
            <w:tcW w:w="0" w:type="auto"/>
            <w:shd w:val="clear" w:color="auto" w:fill="auto"/>
          </w:tcPr>
          <w:p w14:paraId="7E785B1D" w14:textId="77777777" w:rsidR="00A82082" w:rsidRDefault="00A82082">
            <w:pPr>
              <w:rPr>
                <w:rFonts w:ascii="宋体"/>
                <w:vanish/>
              </w:rPr>
            </w:pPr>
          </w:p>
        </w:tc>
        <w:tc>
          <w:tcPr>
            <w:tcW w:w="0" w:type="auto"/>
            <w:shd w:val="clear" w:color="auto" w:fill="auto"/>
          </w:tcPr>
          <w:p w14:paraId="7E785B1E"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1F"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20" w14:textId="77777777" w:rsidR="00A82082" w:rsidRDefault="00E946F9">
            <w:pPr>
              <w:jc w:val="right"/>
              <w:textAlignment w:val="center"/>
            </w:pPr>
            <w:r>
              <w:rPr>
                <w:rFonts w:ascii="Times New Roman" w:eastAsia="宋体" w:hAnsi="Times New Roman"/>
                <w:color w:val="000000"/>
                <w:sz w:val="16"/>
                <w:szCs w:val="16"/>
              </w:rPr>
              <w:t>83,189 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2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B22"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2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24" w14:textId="77777777" w:rsidR="00A82082" w:rsidRDefault="00E946F9">
            <w:pPr>
              <w:jc w:val="right"/>
              <w:textAlignment w:val="center"/>
            </w:pPr>
            <w:r>
              <w:rPr>
                <w:rFonts w:ascii="Times New Roman" w:eastAsia="宋体" w:hAnsi="Times New Roman"/>
                <w:color w:val="000000"/>
                <w:sz w:val="16"/>
                <w:szCs w:val="16"/>
              </w:rPr>
              <w:t>270,378 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25" w14:textId="77777777" w:rsidR="00A82082" w:rsidRDefault="00A82082">
            <w:pPr>
              <w:jc w:val="right"/>
              <w:rPr>
                <w:rFonts w:ascii="宋体"/>
              </w:rPr>
            </w:pPr>
          </w:p>
        </w:tc>
        <w:tc>
          <w:tcPr>
            <w:tcW w:w="0" w:type="auto"/>
            <w:gridSpan w:val="3"/>
            <w:shd w:val="clear" w:color="auto" w:fill="auto"/>
          </w:tcPr>
          <w:p w14:paraId="7E785B26" w14:textId="77777777" w:rsidR="00A82082" w:rsidRDefault="00A82082">
            <w:pPr>
              <w:rPr>
                <w:rFonts w:ascii="宋体"/>
                <w:vanish/>
              </w:rPr>
            </w:pPr>
          </w:p>
        </w:tc>
        <w:tc>
          <w:tcPr>
            <w:tcW w:w="0" w:type="auto"/>
            <w:gridSpan w:val="3"/>
            <w:shd w:val="clear" w:color="auto" w:fill="auto"/>
          </w:tcPr>
          <w:p w14:paraId="7E785B27"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28"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29" w14:textId="77777777" w:rsidR="00A82082" w:rsidRDefault="00E946F9">
            <w:pPr>
              <w:jc w:val="right"/>
              <w:textAlignment w:val="center"/>
            </w:pPr>
            <w:r>
              <w:rPr>
                <w:rFonts w:ascii="Times New Roman" w:eastAsia="宋体" w:hAnsi="Times New Roman"/>
                <w:color w:val="000000"/>
                <w:sz w:val="16"/>
                <w:szCs w:val="16"/>
              </w:rPr>
              <w:t>248,733 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2A" w14:textId="77777777" w:rsidR="00A82082" w:rsidRDefault="00A82082">
            <w:pPr>
              <w:jc w:val="right"/>
              <w:rPr>
                <w:rFonts w:ascii="宋体"/>
              </w:rPr>
            </w:pPr>
          </w:p>
        </w:tc>
      </w:tr>
      <w:tr w:rsidR="00A82082" w14:paraId="7E785B3B" w14:textId="77777777">
        <w:trPr>
          <w:jc w:val="center"/>
        </w:trPr>
        <w:tc>
          <w:tcPr>
            <w:tcW w:w="0" w:type="auto"/>
            <w:gridSpan w:val="3"/>
            <w:shd w:val="clear" w:color="auto" w:fill="FFFFFF"/>
            <w:tcMar>
              <w:top w:w="40" w:type="dxa"/>
              <w:left w:w="20" w:type="dxa"/>
              <w:bottom w:w="40" w:type="dxa"/>
              <w:right w:w="20" w:type="dxa"/>
            </w:tcMar>
            <w:vAlign w:val="center"/>
          </w:tcPr>
          <w:p w14:paraId="7E785B2C"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B2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2E" w14:textId="77777777" w:rsidR="00A82082" w:rsidRDefault="00E946F9">
            <w:pPr>
              <w:jc w:val="right"/>
              <w:textAlignment w:val="center"/>
            </w:pPr>
            <w:r>
              <w:rPr>
                <w:rFonts w:ascii="Times New Roman" w:eastAsia="宋体" w:hAnsi="Times New Roman"/>
                <w:color w:val="000000"/>
                <w:sz w:val="16"/>
                <w:szCs w:val="16"/>
              </w:rPr>
              <w:t>6.2 </w:t>
            </w:r>
          </w:p>
        </w:tc>
        <w:tc>
          <w:tcPr>
            <w:tcW w:w="0" w:type="auto"/>
            <w:shd w:val="clear" w:color="auto" w:fill="FFFFFF"/>
            <w:tcMar>
              <w:top w:w="40" w:type="dxa"/>
              <w:left w:w="0" w:type="dxa"/>
              <w:bottom w:w="40" w:type="dxa"/>
              <w:right w:w="20" w:type="dxa"/>
            </w:tcMar>
            <w:vAlign w:val="center"/>
          </w:tcPr>
          <w:p w14:paraId="7E785B2F" w14:textId="77777777" w:rsidR="00A82082" w:rsidRDefault="00E946F9">
            <w:pPr>
              <w:jc w:val="right"/>
              <w:textAlignment w:val="center"/>
            </w:pPr>
            <w:r>
              <w:rPr>
                <w:rFonts w:ascii="Times New Roman" w:eastAsia="宋体" w:hAnsi="Times New Roman"/>
                <w:color w:val="000000"/>
                <w:sz w:val="16"/>
                <w:szCs w:val="16"/>
              </w:rPr>
              <w:t>%</w:t>
            </w:r>
          </w:p>
        </w:tc>
        <w:tc>
          <w:tcPr>
            <w:tcW w:w="0" w:type="auto"/>
            <w:shd w:val="clear" w:color="auto" w:fill="auto"/>
          </w:tcPr>
          <w:p w14:paraId="7E785B30" w14:textId="77777777" w:rsidR="00A82082" w:rsidRDefault="00A82082">
            <w:pPr>
              <w:rPr>
                <w:rFonts w:ascii="宋体"/>
                <w:vanish/>
              </w:rPr>
            </w:pPr>
          </w:p>
        </w:tc>
        <w:tc>
          <w:tcPr>
            <w:tcW w:w="0" w:type="auto"/>
            <w:shd w:val="clear" w:color="auto" w:fill="auto"/>
          </w:tcPr>
          <w:p w14:paraId="7E785B31"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32" w14:textId="77777777" w:rsidR="00A82082" w:rsidRDefault="00E946F9">
            <w:pPr>
              <w:jc w:val="right"/>
              <w:textAlignment w:val="center"/>
            </w:pPr>
            <w:r>
              <w:rPr>
                <w:rFonts w:ascii="Times New Roman" w:eastAsia="宋体" w:hAnsi="Times New Roman"/>
                <w:color w:val="000000"/>
                <w:sz w:val="16"/>
                <w:szCs w:val="16"/>
              </w:rPr>
              <w:t>3.2 </w:t>
            </w:r>
          </w:p>
        </w:tc>
        <w:tc>
          <w:tcPr>
            <w:tcW w:w="0" w:type="auto"/>
            <w:shd w:val="clear" w:color="auto" w:fill="FFFFFF"/>
            <w:tcMar>
              <w:top w:w="40" w:type="dxa"/>
              <w:left w:w="0" w:type="dxa"/>
              <w:bottom w:w="40" w:type="dxa"/>
              <w:right w:w="20" w:type="dxa"/>
            </w:tcMar>
            <w:vAlign w:val="center"/>
          </w:tcPr>
          <w:p w14:paraId="7E785B33"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B3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35" w14:textId="77777777" w:rsidR="00A82082" w:rsidRDefault="00E946F9">
            <w:pPr>
              <w:jc w:val="right"/>
              <w:textAlignment w:val="center"/>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center"/>
          </w:tcPr>
          <w:p w14:paraId="7E785B36"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auto"/>
          </w:tcPr>
          <w:p w14:paraId="7E785B37" w14:textId="77777777" w:rsidR="00A82082" w:rsidRDefault="00A82082">
            <w:pPr>
              <w:rPr>
                <w:rFonts w:ascii="宋体"/>
                <w:vanish/>
              </w:rPr>
            </w:pPr>
          </w:p>
        </w:tc>
        <w:tc>
          <w:tcPr>
            <w:tcW w:w="0" w:type="auto"/>
            <w:gridSpan w:val="3"/>
            <w:shd w:val="clear" w:color="auto" w:fill="auto"/>
          </w:tcPr>
          <w:p w14:paraId="7E785B38"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39" w14:textId="77777777" w:rsidR="00A82082" w:rsidRDefault="00E946F9">
            <w:pPr>
              <w:jc w:val="right"/>
              <w:textAlignment w:val="center"/>
            </w:pPr>
            <w:r>
              <w:rPr>
                <w:rFonts w:ascii="Times New Roman" w:eastAsia="宋体" w:hAnsi="Times New Roman"/>
                <w:color w:val="000000"/>
                <w:sz w:val="16"/>
                <w:szCs w:val="16"/>
              </w:rPr>
              <w:t>3.1 </w:t>
            </w:r>
          </w:p>
        </w:tc>
        <w:tc>
          <w:tcPr>
            <w:tcW w:w="0" w:type="auto"/>
            <w:shd w:val="clear" w:color="auto" w:fill="FFFFFF"/>
            <w:tcMar>
              <w:top w:w="40" w:type="dxa"/>
              <w:left w:w="0" w:type="dxa"/>
              <w:bottom w:w="40" w:type="dxa"/>
              <w:right w:w="20" w:type="dxa"/>
            </w:tcMar>
            <w:vAlign w:val="center"/>
          </w:tcPr>
          <w:p w14:paraId="7E785B3A"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B4B" w14:textId="77777777">
        <w:trPr>
          <w:jc w:val="center"/>
        </w:trPr>
        <w:tc>
          <w:tcPr>
            <w:tcW w:w="0" w:type="auto"/>
            <w:gridSpan w:val="3"/>
            <w:shd w:val="clear" w:color="auto" w:fill="CCEEFF"/>
            <w:tcMar>
              <w:top w:w="40" w:type="dxa"/>
              <w:left w:w="20" w:type="dxa"/>
              <w:bottom w:w="40" w:type="dxa"/>
              <w:right w:w="20" w:type="dxa"/>
            </w:tcMar>
            <w:vAlign w:val="center"/>
          </w:tcPr>
          <w:p w14:paraId="7E785B3C" w14:textId="77777777" w:rsidR="00A82082" w:rsidRDefault="00E946F9">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7E785B3D"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3E" w14:textId="77777777" w:rsidR="00A82082" w:rsidRDefault="00E946F9">
            <w:pPr>
              <w:jc w:val="right"/>
              <w:textAlignment w:val="center"/>
            </w:pPr>
            <w:r>
              <w:rPr>
                <w:rFonts w:ascii="Times New Roman" w:eastAsia="宋体" w:hAnsi="Times New Roman"/>
                <w:color w:val="000000"/>
                <w:sz w:val="16"/>
                <w:szCs w:val="16"/>
              </w:rPr>
              <w:t>6.6 </w:t>
            </w:r>
          </w:p>
        </w:tc>
        <w:tc>
          <w:tcPr>
            <w:tcW w:w="0" w:type="auto"/>
            <w:shd w:val="clear" w:color="auto" w:fill="CCEEFF"/>
            <w:tcMar>
              <w:top w:w="40" w:type="dxa"/>
              <w:left w:w="0" w:type="dxa"/>
              <w:bottom w:w="40" w:type="dxa"/>
              <w:right w:w="20" w:type="dxa"/>
            </w:tcMar>
            <w:vAlign w:val="center"/>
          </w:tcPr>
          <w:p w14:paraId="7E785B3F" w14:textId="77777777" w:rsidR="00A82082" w:rsidRDefault="00E946F9">
            <w:pPr>
              <w:jc w:val="right"/>
              <w:textAlignment w:val="center"/>
            </w:pPr>
            <w:r>
              <w:rPr>
                <w:rFonts w:ascii="Times New Roman" w:eastAsia="宋体" w:hAnsi="Times New Roman"/>
                <w:color w:val="000000"/>
                <w:sz w:val="16"/>
                <w:szCs w:val="16"/>
              </w:rPr>
              <w:t>%</w:t>
            </w:r>
          </w:p>
        </w:tc>
        <w:tc>
          <w:tcPr>
            <w:tcW w:w="0" w:type="auto"/>
            <w:shd w:val="clear" w:color="auto" w:fill="auto"/>
          </w:tcPr>
          <w:p w14:paraId="7E785B40" w14:textId="77777777" w:rsidR="00A82082" w:rsidRDefault="00A82082">
            <w:pPr>
              <w:rPr>
                <w:rFonts w:ascii="宋体"/>
                <w:vanish/>
              </w:rPr>
            </w:pPr>
          </w:p>
        </w:tc>
        <w:tc>
          <w:tcPr>
            <w:tcW w:w="0" w:type="auto"/>
            <w:shd w:val="clear" w:color="auto" w:fill="auto"/>
          </w:tcPr>
          <w:p w14:paraId="7E785B41"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42" w14:textId="77777777" w:rsidR="00A82082" w:rsidRDefault="00E946F9">
            <w:pPr>
              <w:jc w:val="right"/>
              <w:textAlignment w:val="center"/>
            </w:pPr>
            <w:r>
              <w:rPr>
                <w:rFonts w:ascii="Times New Roman" w:eastAsia="宋体" w:hAnsi="Times New Roman"/>
                <w:color w:val="000000"/>
                <w:sz w:val="16"/>
                <w:szCs w:val="16"/>
              </w:rPr>
              <w:t>3.3 </w:t>
            </w:r>
          </w:p>
        </w:tc>
        <w:tc>
          <w:tcPr>
            <w:tcW w:w="0" w:type="auto"/>
            <w:shd w:val="clear" w:color="auto" w:fill="CCEEFF"/>
            <w:tcMar>
              <w:top w:w="40" w:type="dxa"/>
              <w:left w:w="0" w:type="dxa"/>
              <w:bottom w:w="40" w:type="dxa"/>
              <w:right w:w="20" w:type="dxa"/>
            </w:tcMar>
            <w:vAlign w:val="center"/>
          </w:tcPr>
          <w:p w14:paraId="7E785B43"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B44"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45" w14:textId="77777777" w:rsidR="00A82082" w:rsidRDefault="00E946F9">
            <w:pPr>
              <w:jc w:val="right"/>
              <w:textAlignment w:val="center"/>
            </w:pPr>
            <w:r>
              <w:rPr>
                <w:rFonts w:ascii="Times New Roman" w:eastAsia="宋体" w:hAnsi="Times New Roman"/>
                <w:color w:val="000000"/>
                <w:sz w:val="16"/>
                <w:szCs w:val="16"/>
              </w:rPr>
              <w:t>8.9 </w:t>
            </w:r>
          </w:p>
        </w:tc>
        <w:tc>
          <w:tcPr>
            <w:tcW w:w="0" w:type="auto"/>
            <w:shd w:val="clear" w:color="auto" w:fill="CCEEFF"/>
            <w:tcMar>
              <w:top w:w="40" w:type="dxa"/>
              <w:left w:w="0" w:type="dxa"/>
              <w:bottom w:w="40" w:type="dxa"/>
              <w:right w:w="20" w:type="dxa"/>
            </w:tcMar>
            <w:vAlign w:val="center"/>
          </w:tcPr>
          <w:p w14:paraId="7E785B46"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auto"/>
          </w:tcPr>
          <w:p w14:paraId="7E785B47" w14:textId="77777777" w:rsidR="00A82082" w:rsidRDefault="00A82082">
            <w:pPr>
              <w:rPr>
                <w:rFonts w:ascii="宋体"/>
                <w:vanish/>
              </w:rPr>
            </w:pPr>
          </w:p>
        </w:tc>
        <w:tc>
          <w:tcPr>
            <w:tcW w:w="0" w:type="auto"/>
            <w:gridSpan w:val="3"/>
            <w:shd w:val="clear" w:color="auto" w:fill="auto"/>
          </w:tcPr>
          <w:p w14:paraId="7E785B48"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49" w14:textId="77777777" w:rsidR="00A82082" w:rsidRDefault="00E946F9">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7E785B4A"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B5F" w14:textId="77777777">
        <w:trPr>
          <w:jc w:val="center"/>
        </w:trPr>
        <w:tc>
          <w:tcPr>
            <w:tcW w:w="0" w:type="auto"/>
            <w:gridSpan w:val="3"/>
            <w:shd w:val="clear" w:color="auto" w:fill="FFFFFF"/>
            <w:tcMar>
              <w:top w:w="40" w:type="dxa"/>
              <w:left w:w="20" w:type="dxa"/>
              <w:bottom w:w="40" w:type="dxa"/>
              <w:right w:w="20" w:type="dxa"/>
            </w:tcMar>
            <w:vAlign w:val="center"/>
          </w:tcPr>
          <w:p w14:paraId="7E785B4C"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7E785B4D"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B4E"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B4F" w14:textId="77777777" w:rsidR="00A82082" w:rsidRDefault="00E946F9">
            <w:pPr>
              <w:jc w:val="right"/>
              <w:textAlignment w:val="center"/>
            </w:pPr>
            <w:r>
              <w:rPr>
                <w:rFonts w:ascii="Times New Roman" w:eastAsia="宋体" w:hAnsi="Times New Roman"/>
                <w:color w:val="000000"/>
                <w:sz w:val="16"/>
                <w:szCs w:val="16"/>
              </w:rPr>
              <w:t>4,589 </w:t>
            </w:r>
          </w:p>
        </w:tc>
        <w:tc>
          <w:tcPr>
            <w:tcW w:w="0" w:type="auto"/>
            <w:shd w:val="clear" w:color="auto" w:fill="FFFFFF"/>
            <w:tcMar>
              <w:top w:w="40" w:type="dxa"/>
              <w:left w:w="0" w:type="dxa"/>
              <w:bottom w:w="40" w:type="dxa"/>
              <w:right w:w="20" w:type="dxa"/>
            </w:tcMar>
            <w:vAlign w:val="center"/>
          </w:tcPr>
          <w:p w14:paraId="7E785B50" w14:textId="77777777" w:rsidR="00A82082" w:rsidRDefault="00A82082">
            <w:pPr>
              <w:jc w:val="right"/>
              <w:rPr>
                <w:rFonts w:ascii="宋体"/>
              </w:rPr>
            </w:pPr>
          </w:p>
        </w:tc>
        <w:tc>
          <w:tcPr>
            <w:tcW w:w="0" w:type="auto"/>
            <w:shd w:val="clear" w:color="auto" w:fill="auto"/>
          </w:tcPr>
          <w:p w14:paraId="7E785B51" w14:textId="77777777" w:rsidR="00A82082" w:rsidRDefault="00A82082">
            <w:pPr>
              <w:rPr>
                <w:rFonts w:ascii="宋体"/>
                <w:vanish/>
              </w:rPr>
            </w:pPr>
          </w:p>
        </w:tc>
        <w:tc>
          <w:tcPr>
            <w:tcW w:w="0" w:type="auto"/>
            <w:shd w:val="clear" w:color="auto" w:fill="auto"/>
          </w:tcPr>
          <w:p w14:paraId="7E785B52"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B53"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B54" w14:textId="77777777" w:rsidR="00A82082" w:rsidRDefault="00E946F9">
            <w:pPr>
              <w:jc w:val="right"/>
              <w:textAlignment w:val="center"/>
            </w:pPr>
            <w:r>
              <w:rPr>
                <w:rFonts w:ascii="Times New Roman" w:eastAsia="宋体" w:hAnsi="Times New Roman"/>
                <w:color w:val="000000"/>
                <w:sz w:val="16"/>
                <w:szCs w:val="16"/>
              </w:rPr>
              <w:t>4,176 </w:t>
            </w:r>
          </w:p>
        </w:tc>
        <w:tc>
          <w:tcPr>
            <w:tcW w:w="0" w:type="auto"/>
            <w:shd w:val="clear" w:color="auto" w:fill="FFFFFF"/>
            <w:tcMar>
              <w:top w:w="40" w:type="dxa"/>
              <w:left w:w="0" w:type="dxa"/>
              <w:bottom w:w="40" w:type="dxa"/>
              <w:right w:w="20" w:type="dxa"/>
            </w:tcMar>
            <w:vAlign w:val="center"/>
          </w:tcPr>
          <w:p w14:paraId="7E785B5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B56"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B5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B58" w14:textId="77777777" w:rsidR="00A82082" w:rsidRDefault="00E946F9">
            <w:pPr>
              <w:jc w:val="right"/>
              <w:textAlignment w:val="center"/>
            </w:pPr>
            <w:r>
              <w:rPr>
                <w:rFonts w:ascii="Times New Roman" w:eastAsia="宋体" w:hAnsi="Times New Roman"/>
                <w:color w:val="000000"/>
                <w:sz w:val="16"/>
                <w:szCs w:val="16"/>
              </w:rPr>
              <w:t>13,948 </w:t>
            </w:r>
          </w:p>
        </w:tc>
        <w:tc>
          <w:tcPr>
            <w:tcW w:w="0" w:type="auto"/>
            <w:shd w:val="clear" w:color="auto" w:fill="FFFFFF"/>
            <w:tcMar>
              <w:top w:w="40" w:type="dxa"/>
              <w:left w:w="0" w:type="dxa"/>
              <w:bottom w:w="40" w:type="dxa"/>
              <w:right w:w="20" w:type="dxa"/>
            </w:tcMar>
            <w:vAlign w:val="center"/>
          </w:tcPr>
          <w:p w14:paraId="7E785B59" w14:textId="77777777" w:rsidR="00A82082" w:rsidRDefault="00A82082">
            <w:pPr>
              <w:jc w:val="right"/>
              <w:rPr>
                <w:rFonts w:ascii="宋体"/>
              </w:rPr>
            </w:pPr>
          </w:p>
        </w:tc>
        <w:tc>
          <w:tcPr>
            <w:tcW w:w="0" w:type="auto"/>
            <w:gridSpan w:val="3"/>
            <w:shd w:val="clear" w:color="auto" w:fill="auto"/>
          </w:tcPr>
          <w:p w14:paraId="7E785B5A" w14:textId="77777777" w:rsidR="00A82082" w:rsidRDefault="00A82082">
            <w:pPr>
              <w:rPr>
                <w:rFonts w:ascii="宋体"/>
                <w:vanish/>
              </w:rPr>
            </w:pPr>
          </w:p>
        </w:tc>
        <w:tc>
          <w:tcPr>
            <w:tcW w:w="0" w:type="auto"/>
            <w:gridSpan w:val="3"/>
            <w:shd w:val="clear" w:color="auto" w:fill="auto"/>
          </w:tcPr>
          <w:p w14:paraId="7E785B5B"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B5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B5D" w14:textId="77777777" w:rsidR="00A82082" w:rsidRDefault="00E946F9">
            <w:pPr>
              <w:jc w:val="right"/>
              <w:textAlignment w:val="center"/>
            </w:pPr>
            <w:r>
              <w:rPr>
                <w:rFonts w:ascii="Times New Roman" w:eastAsia="宋体" w:hAnsi="Times New Roman"/>
                <w:color w:val="000000"/>
                <w:sz w:val="16"/>
                <w:szCs w:val="16"/>
              </w:rPr>
              <w:t>12,977 </w:t>
            </w:r>
          </w:p>
        </w:tc>
        <w:tc>
          <w:tcPr>
            <w:tcW w:w="0" w:type="auto"/>
            <w:shd w:val="clear" w:color="auto" w:fill="FFFFFF"/>
            <w:tcMar>
              <w:top w:w="40" w:type="dxa"/>
              <w:left w:w="0" w:type="dxa"/>
              <w:bottom w:w="40" w:type="dxa"/>
              <w:right w:w="20" w:type="dxa"/>
            </w:tcMar>
            <w:vAlign w:val="center"/>
          </w:tcPr>
          <w:p w14:paraId="7E785B5E" w14:textId="77777777" w:rsidR="00A82082" w:rsidRDefault="00A82082">
            <w:pPr>
              <w:jc w:val="right"/>
              <w:rPr>
                <w:rFonts w:ascii="宋体"/>
              </w:rPr>
            </w:pPr>
          </w:p>
        </w:tc>
      </w:tr>
      <w:tr w:rsidR="00A82082" w14:paraId="7E785B6F" w14:textId="77777777">
        <w:trPr>
          <w:jc w:val="center"/>
        </w:trPr>
        <w:tc>
          <w:tcPr>
            <w:tcW w:w="0" w:type="auto"/>
            <w:gridSpan w:val="3"/>
            <w:shd w:val="clear" w:color="auto" w:fill="CCEEFF"/>
            <w:tcMar>
              <w:top w:w="40" w:type="dxa"/>
              <w:left w:w="20" w:type="dxa"/>
              <w:bottom w:w="40" w:type="dxa"/>
              <w:right w:w="20" w:type="dxa"/>
            </w:tcMar>
            <w:vAlign w:val="center"/>
          </w:tcPr>
          <w:p w14:paraId="7E785B60" w14:textId="77777777" w:rsidR="00A82082" w:rsidRDefault="00E946F9">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7E785B6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62" w14:textId="77777777" w:rsidR="00A82082" w:rsidRDefault="00E946F9">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7E785B63" w14:textId="77777777" w:rsidR="00A82082" w:rsidRDefault="00E946F9">
            <w:pPr>
              <w:jc w:val="right"/>
              <w:textAlignment w:val="center"/>
            </w:pPr>
            <w:r>
              <w:rPr>
                <w:rFonts w:ascii="Times New Roman" w:eastAsia="宋体" w:hAnsi="Times New Roman"/>
                <w:color w:val="000000"/>
                <w:sz w:val="16"/>
                <w:szCs w:val="16"/>
              </w:rPr>
              <w:t>%</w:t>
            </w:r>
          </w:p>
        </w:tc>
        <w:tc>
          <w:tcPr>
            <w:tcW w:w="0" w:type="auto"/>
            <w:shd w:val="clear" w:color="auto" w:fill="auto"/>
          </w:tcPr>
          <w:p w14:paraId="7E785B64" w14:textId="77777777" w:rsidR="00A82082" w:rsidRDefault="00A82082">
            <w:pPr>
              <w:rPr>
                <w:rFonts w:ascii="宋体"/>
                <w:vanish/>
              </w:rPr>
            </w:pPr>
          </w:p>
        </w:tc>
        <w:tc>
          <w:tcPr>
            <w:tcW w:w="0" w:type="auto"/>
            <w:shd w:val="clear" w:color="auto" w:fill="auto"/>
          </w:tcPr>
          <w:p w14:paraId="7E785B65"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66" w14:textId="77777777" w:rsidR="00A82082" w:rsidRDefault="00E946F9">
            <w:pPr>
              <w:jc w:val="right"/>
              <w:textAlignment w:val="center"/>
            </w:pPr>
            <w:r>
              <w:rPr>
                <w:rFonts w:ascii="Times New Roman" w:eastAsia="宋体" w:hAnsi="Times New Roman"/>
                <w:color w:val="000000"/>
                <w:sz w:val="16"/>
                <w:szCs w:val="16"/>
              </w:rPr>
              <w:t>5.0 </w:t>
            </w:r>
          </w:p>
        </w:tc>
        <w:tc>
          <w:tcPr>
            <w:tcW w:w="0" w:type="auto"/>
            <w:shd w:val="clear" w:color="auto" w:fill="CCEEFF"/>
            <w:tcMar>
              <w:top w:w="40" w:type="dxa"/>
              <w:left w:w="0" w:type="dxa"/>
              <w:bottom w:w="40" w:type="dxa"/>
              <w:right w:w="20" w:type="dxa"/>
            </w:tcMar>
            <w:vAlign w:val="center"/>
          </w:tcPr>
          <w:p w14:paraId="7E785B67"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B6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69" w14:textId="77777777" w:rsidR="00A82082" w:rsidRDefault="00E946F9">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7E785B6A"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auto"/>
          </w:tcPr>
          <w:p w14:paraId="7E785B6B" w14:textId="77777777" w:rsidR="00A82082" w:rsidRDefault="00A82082">
            <w:pPr>
              <w:rPr>
                <w:rFonts w:ascii="宋体"/>
                <w:vanish/>
              </w:rPr>
            </w:pPr>
          </w:p>
        </w:tc>
        <w:tc>
          <w:tcPr>
            <w:tcW w:w="0" w:type="auto"/>
            <w:gridSpan w:val="3"/>
            <w:shd w:val="clear" w:color="auto" w:fill="auto"/>
          </w:tcPr>
          <w:p w14:paraId="7E785B6C"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6D" w14:textId="77777777" w:rsidR="00A82082" w:rsidRDefault="00E946F9">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7E785B6E"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B7F" w14:textId="77777777">
        <w:trPr>
          <w:jc w:val="center"/>
        </w:trPr>
        <w:tc>
          <w:tcPr>
            <w:tcW w:w="0" w:type="auto"/>
            <w:gridSpan w:val="3"/>
            <w:shd w:val="clear" w:color="auto" w:fill="FFFFFF"/>
            <w:tcMar>
              <w:top w:w="40" w:type="dxa"/>
              <w:left w:w="20" w:type="dxa"/>
              <w:bottom w:w="40" w:type="dxa"/>
              <w:right w:w="20" w:type="dxa"/>
            </w:tcMar>
            <w:vAlign w:val="center"/>
          </w:tcPr>
          <w:p w14:paraId="7E785B70" w14:textId="77777777" w:rsidR="00A82082" w:rsidRDefault="00E946F9">
            <w:pPr>
              <w:textAlignment w:val="center"/>
            </w:pPr>
            <w:r>
              <w:rPr>
                <w:rFonts w:ascii="Times New Roman" w:eastAsia="宋体" w:hAnsi="Times New Roman"/>
                <w:color w:val="000000"/>
                <w:sz w:val="16"/>
                <w:szCs w:val="16"/>
              </w:rPr>
              <w:t>Unit counts at</w:t>
            </w:r>
            <w:r>
              <w:rPr>
                <w:rFonts w:ascii="Times New Roman" w:eastAsia="宋体" w:hAnsi="Times New Roman"/>
                <w:color w:val="000000"/>
                <w:sz w:val="16"/>
                <w:szCs w:val="16"/>
              </w:rPr>
              <w:t xml:space="preserve"> period end</w:t>
            </w:r>
          </w:p>
        </w:tc>
        <w:tc>
          <w:tcPr>
            <w:tcW w:w="0" w:type="auto"/>
            <w:gridSpan w:val="3"/>
            <w:shd w:val="clear" w:color="auto" w:fill="FFFFFF"/>
            <w:tcMar>
              <w:top w:w="0" w:type="dxa"/>
              <w:left w:w="20" w:type="dxa"/>
              <w:bottom w:w="0" w:type="dxa"/>
              <w:right w:w="20" w:type="dxa"/>
            </w:tcMar>
          </w:tcPr>
          <w:p w14:paraId="7E785B7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72" w14:textId="77777777" w:rsidR="00A82082" w:rsidRDefault="00E946F9">
            <w:pPr>
              <w:jc w:val="right"/>
              <w:textAlignment w:val="center"/>
            </w:pPr>
            <w:r>
              <w:rPr>
                <w:rFonts w:ascii="Times New Roman" w:eastAsia="宋体" w:hAnsi="Times New Roman"/>
                <w:color w:val="000000"/>
                <w:sz w:val="16"/>
                <w:szCs w:val="16"/>
              </w:rPr>
              <w:t>4,748 </w:t>
            </w:r>
          </w:p>
        </w:tc>
        <w:tc>
          <w:tcPr>
            <w:tcW w:w="0" w:type="auto"/>
            <w:shd w:val="clear" w:color="auto" w:fill="FFFFFF"/>
            <w:tcMar>
              <w:top w:w="40" w:type="dxa"/>
              <w:left w:w="0" w:type="dxa"/>
              <w:bottom w:w="40" w:type="dxa"/>
              <w:right w:w="20" w:type="dxa"/>
            </w:tcMar>
            <w:vAlign w:val="center"/>
          </w:tcPr>
          <w:p w14:paraId="7E785B73" w14:textId="77777777" w:rsidR="00A82082" w:rsidRDefault="00A82082">
            <w:pPr>
              <w:jc w:val="right"/>
              <w:rPr>
                <w:rFonts w:ascii="宋体"/>
              </w:rPr>
            </w:pPr>
          </w:p>
        </w:tc>
        <w:tc>
          <w:tcPr>
            <w:tcW w:w="0" w:type="auto"/>
            <w:shd w:val="clear" w:color="auto" w:fill="auto"/>
          </w:tcPr>
          <w:p w14:paraId="7E785B74" w14:textId="77777777" w:rsidR="00A82082" w:rsidRDefault="00A82082">
            <w:pPr>
              <w:rPr>
                <w:rFonts w:ascii="宋体"/>
                <w:vanish/>
              </w:rPr>
            </w:pPr>
          </w:p>
        </w:tc>
        <w:tc>
          <w:tcPr>
            <w:tcW w:w="0" w:type="auto"/>
            <w:shd w:val="clear" w:color="auto" w:fill="auto"/>
          </w:tcPr>
          <w:p w14:paraId="7E785B75"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76" w14:textId="77777777" w:rsidR="00A82082" w:rsidRDefault="00E946F9">
            <w:pPr>
              <w:jc w:val="right"/>
              <w:textAlignment w:val="center"/>
            </w:pPr>
            <w:r>
              <w:rPr>
                <w:rFonts w:ascii="Times New Roman" w:eastAsia="宋体" w:hAnsi="Times New Roman"/>
                <w:color w:val="000000"/>
                <w:sz w:val="16"/>
                <w:szCs w:val="16"/>
              </w:rPr>
              <w:t>4,759 </w:t>
            </w:r>
          </w:p>
        </w:tc>
        <w:tc>
          <w:tcPr>
            <w:tcW w:w="0" w:type="auto"/>
            <w:shd w:val="clear" w:color="auto" w:fill="FFFFFF"/>
            <w:tcMar>
              <w:top w:w="40" w:type="dxa"/>
              <w:left w:w="0" w:type="dxa"/>
              <w:bottom w:w="40" w:type="dxa"/>
              <w:right w:w="20" w:type="dxa"/>
            </w:tcMar>
            <w:vAlign w:val="center"/>
          </w:tcPr>
          <w:p w14:paraId="7E785B77"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B78"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79" w14:textId="77777777" w:rsidR="00A82082" w:rsidRDefault="00E946F9">
            <w:pPr>
              <w:jc w:val="right"/>
              <w:textAlignment w:val="center"/>
            </w:pPr>
            <w:r>
              <w:rPr>
                <w:rFonts w:ascii="Times New Roman" w:eastAsia="宋体" w:hAnsi="Times New Roman"/>
                <w:color w:val="000000"/>
                <w:sz w:val="16"/>
                <w:szCs w:val="16"/>
              </w:rPr>
              <w:t>4,748 </w:t>
            </w:r>
          </w:p>
        </w:tc>
        <w:tc>
          <w:tcPr>
            <w:tcW w:w="0" w:type="auto"/>
            <w:shd w:val="clear" w:color="auto" w:fill="FFFFFF"/>
            <w:tcMar>
              <w:top w:w="40" w:type="dxa"/>
              <w:left w:w="0" w:type="dxa"/>
              <w:bottom w:w="40" w:type="dxa"/>
              <w:right w:w="20" w:type="dxa"/>
            </w:tcMar>
            <w:vAlign w:val="center"/>
          </w:tcPr>
          <w:p w14:paraId="7E785B7A" w14:textId="77777777" w:rsidR="00A82082" w:rsidRDefault="00A82082">
            <w:pPr>
              <w:jc w:val="right"/>
              <w:rPr>
                <w:rFonts w:ascii="宋体"/>
              </w:rPr>
            </w:pPr>
          </w:p>
        </w:tc>
        <w:tc>
          <w:tcPr>
            <w:tcW w:w="0" w:type="auto"/>
            <w:gridSpan w:val="3"/>
            <w:shd w:val="clear" w:color="auto" w:fill="auto"/>
          </w:tcPr>
          <w:p w14:paraId="7E785B7B" w14:textId="77777777" w:rsidR="00A82082" w:rsidRDefault="00A82082">
            <w:pPr>
              <w:rPr>
                <w:rFonts w:ascii="宋体"/>
                <w:vanish/>
              </w:rPr>
            </w:pPr>
          </w:p>
        </w:tc>
        <w:tc>
          <w:tcPr>
            <w:tcW w:w="0" w:type="auto"/>
            <w:gridSpan w:val="3"/>
            <w:shd w:val="clear" w:color="auto" w:fill="auto"/>
          </w:tcPr>
          <w:p w14:paraId="7E785B7C"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7D" w14:textId="77777777" w:rsidR="00A82082" w:rsidRDefault="00E946F9">
            <w:pPr>
              <w:jc w:val="right"/>
              <w:textAlignment w:val="center"/>
            </w:pPr>
            <w:r>
              <w:rPr>
                <w:rFonts w:ascii="Times New Roman" w:eastAsia="宋体" w:hAnsi="Times New Roman"/>
                <w:color w:val="000000"/>
                <w:sz w:val="16"/>
                <w:szCs w:val="16"/>
              </w:rPr>
              <w:t>4,759 </w:t>
            </w:r>
          </w:p>
        </w:tc>
        <w:tc>
          <w:tcPr>
            <w:tcW w:w="0" w:type="auto"/>
            <w:shd w:val="clear" w:color="auto" w:fill="FFFFFF"/>
            <w:tcMar>
              <w:top w:w="40" w:type="dxa"/>
              <w:left w:w="0" w:type="dxa"/>
              <w:bottom w:w="40" w:type="dxa"/>
              <w:right w:w="20" w:type="dxa"/>
            </w:tcMar>
            <w:vAlign w:val="center"/>
          </w:tcPr>
          <w:p w14:paraId="7E785B7E" w14:textId="77777777" w:rsidR="00A82082" w:rsidRDefault="00A82082">
            <w:pPr>
              <w:jc w:val="right"/>
              <w:rPr>
                <w:rFonts w:ascii="宋体"/>
              </w:rPr>
            </w:pPr>
          </w:p>
        </w:tc>
      </w:tr>
      <w:tr w:rsidR="00A82082" w14:paraId="7E785B8F" w14:textId="77777777">
        <w:trPr>
          <w:jc w:val="center"/>
        </w:trPr>
        <w:tc>
          <w:tcPr>
            <w:tcW w:w="0" w:type="auto"/>
            <w:gridSpan w:val="3"/>
            <w:shd w:val="clear" w:color="auto" w:fill="CCEEFF"/>
            <w:tcMar>
              <w:top w:w="40" w:type="dxa"/>
              <w:left w:w="20" w:type="dxa"/>
              <w:bottom w:w="40" w:type="dxa"/>
              <w:right w:w="20" w:type="dxa"/>
            </w:tcMar>
            <w:vAlign w:val="center"/>
          </w:tcPr>
          <w:p w14:paraId="7E785B80" w14:textId="77777777" w:rsidR="00A82082" w:rsidRDefault="00E946F9">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tcPr>
          <w:p w14:paraId="7E785B81"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82" w14:textId="77777777" w:rsidR="00A82082" w:rsidRDefault="00E946F9">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7E785B83" w14:textId="77777777" w:rsidR="00A82082" w:rsidRDefault="00A82082">
            <w:pPr>
              <w:jc w:val="right"/>
              <w:rPr>
                <w:rFonts w:ascii="宋体"/>
              </w:rPr>
            </w:pPr>
          </w:p>
        </w:tc>
        <w:tc>
          <w:tcPr>
            <w:tcW w:w="0" w:type="auto"/>
            <w:shd w:val="clear" w:color="auto" w:fill="auto"/>
          </w:tcPr>
          <w:p w14:paraId="7E785B84" w14:textId="77777777" w:rsidR="00A82082" w:rsidRDefault="00A82082">
            <w:pPr>
              <w:rPr>
                <w:rFonts w:ascii="宋体"/>
                <w:vanish/>
              </w:rPr>
            </w:pPr>
          </w:p>
        </w:tc>
        <w:tc>
          <w:tcPr>
            <w:tcW w:w="0" w:type="auto"/>
            <w:shd w:val="clear" w:color="auto" w:fill="auto"/>
          </w:tcPr>
          <w:p w14:paraId="7E785B85"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86" w14:textId="77777777" w:rsidR="00A82082" w:rsidRDefault="00E946F9">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7E785B8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B8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B89" w14:textId="77777777" w:rsidR="00A82082" w:rsidRDefault="00E946F9">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7E785B8A" w14:textId="77777777" w:rsidR="00A82082" w:rsidRDefault="00A82082">
            <w:pPr>
              <w:jc w:val="right"/>
              <w:rPr>
                <w:rFonts w:ascii="宋体"/>
              </w:rPr>
            </w:pPr>
          </w:p>
        </w:tc>
        <w:tc>
          <w:tcPr>
            <w:tcW w:w="0" w:type="auto"/>
            <w:gridSpan w:val="3"/>
            <w:shd w:val="clear" w:color="auto" w:fill="auto"/>
          </w:tcPr>
          <w:p w14:paraId="7E785B8B" w14:textId="77777777" w:rsidR="00A82082" w:rsidRDefault="00A82082">
            <w:pPr>
              <w:rPr>
                <w:rFonts w:ascii="宋体"/>
                <w:vanish/>
              </w:rPr>
            </w:pPr>
          </w:p>
        </w:tc>
        <w:tc>
          <w:tcPr>
            <w:tcW w:w="0" w:type="auto"/>
            <w:gridSpan w:val="3"/>
            <w:shd w:val="clear" w:color="auto" w:fill="auto"/>
          </w:tcPr>
          <w:p w14:paraId="7E785B8C"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B8D" w14:textId="77777777" w:rsidR="00A82082" w:rsidRDefault="00E946F9">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7E785B8E" w14:textId="77777777" w:rsidR="00A82082" w:rsidRDefault="00A82082">
            <w:pPr>
              <w:jc w:val="right"/>
              <w:rPr>
                <w:rFonts w:ascii="宋体"/>
              </w:rPr>
            </w:pPr>
          </w:p>
        </w:tc>
      </w:tr>
    </w:tbl>
    <w:p w14:paraId="7E785B90" w14:textId="77777777" w:rsidR="00A82082" w:rsidRDefault="00E946F9">
      <w:pPr>
        <w:spacing w:before="100"/>
      </w:pPr>
      <w:r>
        <w:rPr>
          <w:rFonts w:ascii="Times New Roman" w:eastAsia="宋体" w:hAnsi="Times New Roman"/>
          <w:color w:val="000000"/>
          <w:sz w:val="20"/>
          <w:szCs w:val="20"/>
        </w:rPr>
        <w:t>Net sales for the Walmart U.S. segment increased $5.2 billion or 6.2% and $21.6 billion or 8.7% for the three and nine months ended October 31, 2020, respectively, when compared to the same periods in the prev</w:t>
      </w:r>
      <w:r>
        <w:rPr>
          <w:rFonts w:ascii="Times New Roman" w:eastAsia="宋体" w:hAnsi="Times New Roman"/>
          <w:color w:val="000000"/>
          <w:sz w:val="20"/>
          <w:szCs w:val="20"/>
        </w:rPr>
        <w:t>ious fiscal year. The increases were due to comparable sales of 6.6% and 8.9% for the three and nine months ended October 31, 2020, respectively, driven by growth in average ticket primarily resulting from increased demand due to economic conditions relate</w:t>
      </w:r>
      <w:r>
        <w:rPr>
          <w:rFonts w:ascii="Times New Roman" w:eastAsia="宋体" w:hAnsi="Times New Roman"/>
          <w:color w:val="000000"/>
          <w:sz w:val="20"/>
          <w:szCs w:val="20"/>
        </w:rPr>
        <w:t>d to the COVID-19 pandemic. Customers continued to consolidate shopping trips and purchase larger baskets which contributed to the growth in average ticket while transactions decreased. With the shift in purchasing behavior, Walmart U.S. eCommerce sales po</w:t>
      </w:r>
      <w:r>
        <w:rPr>
          <w:rFonts w:ascii="Times New Roman" w:eastAsia="宋体" w:hAnsi="Times New Roman"/>
          <w:color w:val="000000"/>
          <w:sz w:val="20"/>
          <w:szCs w:val="20"/>
        </w:rPr>
        <w:t xml:space="preserve">sitively contributed approximately 5.6% and 5.2% to comparable sales during the three and nine months ended October 31, 2020, respectively, and was primarily driven by store pickup and delivery and walmart.com. </w:t>
      </w:r>
    </w:p>
    <w:p w14:paraId="7E785B91" w14:textId="77777777" w:rsidR="00A82082" w:rsidRDefault="00E946F9">
      <w:pPr>
        <w:spacing w:before="100"/>
      </w:pPr>
      <w:r>
        <w:rPr>
          <w:rFonts w:ascii="Times New Roman" w:eastAsia="宋体" w:hAnsi="Times New Roman"/>
          <w:color w:val="000000"/>
          <w:sz w:val="20"/>
          <w:szCs w:val="20"/>
        </w:rPr>
        <w:t xml:space="preserve">Gross profit rate increased 33 basis points </w:t>
      </w:r>
      <w:r>
        <w:rPr>
          <w:rFonts w:ascii="Times New Roman" w:eastAsia="宋体" w:hAnsi="Times New Roman"/>
          <w:color w:val="000000"/>
          <w:sz w:val="20"/>
          <w:szCs w:val="20"/>
        </w:rPr>
        <w:t>for the three months ended October 31, 2020, when compared to the same period in the previous fiscal year due to strategic sourcing initiatives and fewer markdowns, partially offset by the carryover of prior year price investment. Gross profit rate decreas</w:t>
      </w:r>
      <w:r>
        <w:rPr>
          <w:rFonts w:ascii="Times New Roman" w:eastAsia="宋体" w:hAnsi="Times New Roman"/>
          <w:color w:val="000000"/>
          <w:sz w:val="20"/>
          <w:szCs w:val="20"/>
        </w:rPr>
        <w:t>ed 12 basis points for the nine months ended October 31, 2020, when compared to the same period in the previous fiscal year due to carryover of prior year price investment as well the temporary closure of our Auto Care Centers and Vision Centers in respons</w:t>
      </w:r>
      <w:r>
        <w:rPr>
          <w:rFonts w:ascii="Times New Roman" w:eastAsia="宋体" w:hAnsi="Times New Roman"/>
          <w:color w:val="000000"/>
          <w:sz w:val="20"/>
          <w:szCs w:val="20"/>
        </w:rPr>
        <w:t>e to the COVID-19 pandemic, partially offset by strategic sourcing initiatives and fewer markdowns.</w:t>
      </w:r>
    </w:p>
    <w:p w14:paraId="7E785B92" w14:textId="77777777" w:rsidR="00A82082" w:rsidRDefault="00E946F9">
      <w:pPr>
        <w:spacing w:before="100"/>
      </w:pPr>
      <w:r>
        <w:rPr>
          <w:rFonts w:ascii="Times New Roman" w:eastAsia="宋体" w:hAnsi="Times New Roman"/>
          <w:color w:val="000000"/>
          <w:sz w:val="20"/>
          <w:szCs w:val="20"/>
        </w:rPr>
        <w:t>Despite the increase in net sales, operating expenses as a percentage of net sales increased 9 basis points for the three months ended October 31, 2020 when</w:t>
      </w:r>
      <w:r>
        <w:rPr>
          <w:rFonts w:ascii="Times New Roman" w:eastAsia="宋体" w:hAnsi="Times New Roman"/>
          <w:color w:val="000000"/>
          <w:sz w:val="20"/>
          <w:szCs w:val="20"/>
        </w:rPr>
        <w:t xml:space="preserve"> compared to the same period in the previous fiscal year primarily due to $0.4 billion of incremental costs related to the COVID-19 pandemic, which included additional costs associated with outfitting our stores and associates with masks, gloves and saniti</w:t>
      </w:r>
      <w:r>
        <w:rPr>
          <w:rFonts w:ascii="Times New Roman" w:eastAsia="宋体" w:hAnsi="Times New Roman"/>
          <w:color w:val="000000"/>
          <w:sz w:val="20"/>
          <w:szCs w:val="20"/>
        </w:rPr>
        <w:t>zer, expanded cleaning practices, and expanded sick and emergency leave pay.</w:t>
      </w:r>
    </w:p>
    <w:p w14:paraId="7E785B93" w14:textId="77777777" w:rsidR="00A82082" w:rsidRDefault="00E946F9">
      <w:pPr>
        <w:spacing w:before="100"/>
      </w:pPr>
      <w:r>
        <w:rPr>
          <w:rFonts w:ascii="Times New Roman" w:eastAsia="宋体" w:hAnsi="Times New Roman"/>
          <w:color w:val="000000"/>
          <w:sz w:val="20"/>
          <w:szCs w:val="20"/>
        </w:rPr>
        <w:t xml:space="preserve">Operating expenses as a percentage of net sales decreased 13 basis points for the nine months ended October 31, 2020 when compared to the same period in the previous fiscal year, </w:t>
      </w:r>
      <w:r>
        <w:rPr>
          <w:rFonts w:ascii="Times New Roman" w:eastAsia="宋体" w:hAnsi="Times New Roman"/>
          <w:color w:val="000000"/>
          <w:sz w:val="20"/>
          <w:szCs w:val="20"/>
        </w:rPr>
        <w:t>primarily due to strong sales, which were partially offset by $2.3 billion of incremental costs related to the COVID-19 pandemic including special bonuses in the first and second quarter, the incremental COVID-19 costs described above, as well as a $0.4 bi</w:t>
      </w:r>
      <w:r>
        <w:rPr>
          <w:rFonts w:ascii="Times New Roman" w:eastAsia="宋体" w:hAnsi="Times New Roman"/>
          <w:color w:val="000000"/>
          <w:sz w:val="20"/>
          <w:szCs w:val="20"/>
        </w:rPr>
        <w:t>llion business restructuring charge recorded in the second quarter of fiscal 2021 resulting from changes to Walmart U.S. support teams to better support its omni-channel strategy.</w:t>
      </w:r>
    </w:p>
    <w:p w14:paraId="7E785B94" w14:textId="77777777" w:rsidR="00A82082" w:rsidRDefault="00E946F9">
      <w:pPr>
        <w:spacing w:before="100"/>
      </w:pPr>
      <w:r>
        <w:rPr>
          <w:rFonts w:ascii="Times New Roman" w:eastAsia="宋体" w:hAnsi="Times New Roman"/>
          <w:color w:val="000000"/>
          <w:sz w:val="20"/>
          <w:szCs w:val="20"/>
        </w:rPr>
        <w:t xml:space="preserve">As a result of the factors discussed above, operating income increased $0.4 </w:t>
      </w:r>
      <w:r>
        <w:rPr>
          <w:rFonts w:ascii="Times New Roman" w:eastAsia="宋体" w:hAnsi="Times New Roman"/>
          <w:color w:val="000000"/>
          <w:sz w:val="20"/>
          <w:szCs w:val="20"/>
        </w:rPr>
        <w:t xml:space="preserve">billion and $1.0 billion for the three and nine months ended October 31, 2020, respectively, when compared to the same periods in the previous fiscal year. </w:t>
      </w:r>
    </w:p>
    <w:p w14:paraId="7E785B95" w14:textId="77777777" w:rsidR="00A82082" w:rsidRDefault="00E946F9">
      <w:pPr>
        <w:spacing w:before="240"/>
      </w:pPr>
      <w:r>
        <w:rPr>
          <w:rFonts w:ascii="Times New Roman" w:eastAsia="宋体" w:hAnsi="Times New Roman"/>
          <w:b/>
          <w:bCs/>
          <w:i/>
          <w:iCs/>
          <w:color w:val="000000"/>
          <w:sz w:val="20"/>
          <w:szCs w:val="20"/>
        </w:rPr>
        <w:t>Walmart International Segment</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00"/>
        <w:gridCol w:w="728"/>
        <w:gridCol w:w="154"/>
        <w:gridCol w:w="36"/>
        <w:gridCol w:w="46"/>
        <w:gridCol w:w="100"/>
        <w:gridCol w:w="798"/>
        <w:gridCol w:w="154"/>
        <w:gridCol w:w="36"/>
        <w:gridCol w:w="36"/>
        <w:gridCol w:w="36"/>
        <w:gridCol w:w="100"/>
        <w:gridCol w:w="703"/>
        <w:gridCol w:w="154"/>
        <w:gridCol w:w="36"/>
        <w:gridCol w:w="36"/>
        <w:gridCol w:w="36"/>
        <w:gridCol w:w="36"/>
        <w:gridCol w:w="36"/>
        <w:gridCol w:w="36"/>
        <w:gridCol w:w="100"/>
        <w:gridCol w:w="798"/>
        <w:gridCol w:w="154"/>
      </w:tblGrid>
      <w:tr w:rsidR="00A82082" w14:paraId="7E785BAF" w14:textId="77777777">
        <w:trPr>
          <w:jc w:val="center"/>
        </w:trPr>
        <w:tc>
          <w:tcPr>
            <w:tcW w:w="50" w:type="pct"/>
            <w:shd w:val="clear" w:color="auto" w:fill="auto"/>
          </w:tcPr>
          <w:p w14:paraId="7E785B96" w14:textId="77777777" w:rsidR="00A82082" w:rsidRDefault="00A82082">
            <w:pPr>
              <w:rPr>
                <w:rFonts w:ascii="宋体"/>
              </w:rPr>
            </w:pPr>
          </w:p>
        </w:tc>
        <w:tc>
          <w:tcPr>
            <w:tcW w:w="2389" w:type="pct"/>
            <w:shd w:val="clear" w:color="auto" w:fill="auto"/>
          </w:tcPr>
          <w:p w14:paraId="7E785B97" w14:textId="77777777" w:rsidR="00A82082" w:rsidRDefault="00A82082">
            <w:pPr>
              <w:rPr>
                <w:rFonts w:ascii="宋体"/>
              </w:rPr>
            </w:pPr>
          </w:p>
        </w:tc>
        <w:tc>
          <w:tcPr>
            <w:tcW w:w="5" w:type="pct"/>
            <w:shd w:val="clear" w:color="auto" w:fill="auto"/>
          </w:tcPr>
          <w:p w14:paraId="7E785B98" w14:textId="77777777" w:rsidR="00A82082" w:rsidRDefault="00A82082">
            <w:pPr>
              <w:rPr>
                <w:rFonts w:ascii="宋体"/>
              </w:rPr>
            </w:pPr>
          </w:p>
        </w:tc>
        <w:tc>
          <w:tcPr>
            <w:tcW w:w="5" w:type="pct"/>
            <w:shd w:val="clear" w:color="auto" w:fill="auto"/>
          </w:tcPr>
          <w:p w14:paraId="7E785B99" w14:textId="77777777" w:rsidR="00A82082" w:rsidRDefault="00A82082">
            <w:pPr>
              <w:rPr>
                <w:rFonts w:ascii="宋体"/>
              </w:rPr>
            </w:pPr>
          </w:p>
        </w:tc>
        <w:tc>
          <w:tcPr>
            <w:tcW w:w="41" w:type="pct"/>
            <w:shd w:val="clear" w:color="auto" w:fill="auto"/>
          </w:tcPr>
          <w:p w14:paraId="7E785B9A" w14:textId="77777777" w:rsidR="00A82082" w:rsidRDefault="00A82082">
            <w:pPr>
              <w:rPr>
                <w:rFonts w:ascii="宋体"/>
              </w:rPr>
            </w:pPr>
          </w:p>
        </w:tc>
        <w:tc>
          <w:tcPr>
            <w:tcW w:w="5" w:type="pct"/>
            <w:shd w:val="clear" w:color="auto" w:fill="auto"/>
          </w:tcPr>
          <w:p w14:paraId="7E785B9B" w14:textId="77777777" w:rsidR="00A82082" w:rsidRDefault="00A82082">
            <w:pPr>
              <w:rPr>
                <w:rFonts w:ascii="宋体"/>
              </w:rPr>
            </w:pPr>
          </w:p>
        </w:tc>
        <w:tc>
          <w:tcPr>
            <w:tcW w:w="50" w:type="pct"/>
            <w:shd w:val="clear" w:color="auto" w:fill="auto"/>
          </w:tcPr>
          <w:p w14:paraId="7E785B9C" w14:textId="77777777" w:rsidR="00A82082" w:rsidRDefault="00A82082">
            <w:pPr>
              <w:rPr>
                <w:rFonts w:ascii="宋体"/>
              </w:rPr>
            </w:pPr>
          </w:p>
        </w:tc>
        <w:tc>
          <w:tcPr>
            <w:tcW w:w="561" w:type="pct"/>
            <w:shd w:val="clear" w:color="auto" w:fill="auto"/>
          </w:tcPr>
          <w:p w14:paraId="7E785B9D" w14:textId="77777777" w:rsidR="00A82082" w:rsidRDefault="00A82082">
            <w:pPr>
              <w:rPr>
                <w:rFonts w:ascii="宋体"/>
              </w:rPr>
            </w:pPr>
          </w:p>
        </w:tc>
        <w:tc>
          <w:tcPr>
            <w:tcW w:w="5" w:type="pct"/>
            <w:shd w:val="clear" w:color="auto" w:fill="auto"/>
          </w:tcPr>
          <w:p w14:paraId="7E785B9E" w14:textId="77777777" w:rsidR="00A82082" w:rsidRDefault="00A82082">
            <w:pPr>
              <w:rPr>
                <w:rFonts w:ascii="宋体"/>
              </w:rPr>
            </w:pPr>
          </w:p>
        </w:tc>
        <w:tc>
          <w:tcPr>
            <w:tcW w:w="0" w:type="auto"/>
            <w:shd w:val="clear" w:color="auto" w:fill="auto"/>
          </w:tcPr>
          <w:p w14:paraId="7E785B9F" w14:textId="77777777" w:rsidR="00A82082" w:rsidRDefault="00A82082">
            <w:pPr>
              <w:rPr>
                <w:rFonts w:ascii="宋体"/>
                <w:vanish/>
              </w:rPr>
            </w:pPr>
          </w:p>
        </w:tc>
        <w:tc>
          <w:tcPr>
            <w:tcW w:w="0" w:type="auto"/>
            <w:shd w:val="clear" w:color="auto" w:fill="auto"/>
          </w:tcPr>
          <w:p w14:paraId="7E785BA0" w14:textId="77777777" w:rsidR="00A82082" w:rsidRDefault="00A82082">
            <w:pPr>
              <w:rPr>
                <w:rFonts w:ascii="宋体"/>
                <w:vanish/>
              </w:rPr>
            </w:pPr>
          </w:p>
        </w:tc>
        <w:tc>
          <w:tcPr>
            <w:tcW w:w="50" w:type="pct"/>
            <w:shd w:val="clear" w:color="auto" w:fill="auto"/>
          </w:tcPr>
          <w:p w14:paraId="7E785BA1" w14:textId="77777777" w:rsidR="00A82082" w:rsidRDefault="00A82082">
            <w:pPr>
              <w:rPr>
                <w:rFonts w:ascii="宋体"/>
              </w:rPr>
            </w:pPr>
          </w:p>
        </w:tc>
        <w:tc>
          <w:tcPr>
            <w:tcW w:w="561" w:type="pct"/>
            <w:shd w:val="clear" w:color="auto" w:fill="auto"/>
          </w:tcPr>
          <w:p w14:paraId="7E785BA2" w14:textId="77777777" w:rsidR="00A82082" w:rsidRDefault="00A82082">
            <w:pPr>
              <w:rPr>
                <w:rFonts w:ascii="宋体"/>
              </w:rPr>
            </w:pPr>
          </w:p>
        </w:tc>
        <w:tc>
          <w:tcPr>
            <w:tcW w:w="5" w:type="pct"/>
            <w:shd w:val="clear" w:color="auto" w:fill="auto"/>
          </w:tcPr>
          <w:p w14:paraId="7E785BA3" w14:textId="77777777" w:rsidR="00A82082" w:rsidRDefault="00A82082">
            <w:pPr>
              <w:rPr>
                <w:rFonts w:ascii="宋体"/>
              </w:rPr>
            </w:pPr>
          </w:p>
        </w:tc>
        <w:tc>
          <w:tcPr>
            <w:tcW w:w="5" w:type="pct"/>
            <w:shd w:val="clear" w:color="auto" w:fill="auto"/>
          </w:tcPr>
          <w:p w14:paraId="7E785BA4" w14:textId="77777777" w:rsidR="00A82082" w:rsidRDefault="00A82082">
            <w:pPr>
              <w:rPr>
                <w:rFonts w:ascii="宋体"/>
              </w:rPr>
            </w:pPr>
          </w:p>
        </w:tc>
        <w:tc>
          <w:tcPr>
            <w:tcW w:w="26" w:type="pct"/>
            <w:shd w:val="clear" w:color="auto" w:fill="auto"/>
          </w:tcPr>
          <w:p w14:paraId="7E785BA5" w14:textId="77777777" w:rsidR="00A82082" w:rsidRDefault="00A82082">
            <w:pPr>
              <w:rPr>
                <w:rFonts w:ascii="宋体"/>
              </w:rPr>
            </w:pPr>
          </w:p>
        </w:tc>
        <w:tc>
          <w:tcPr>
            <w:tcW w:w="5" w:type="pct"/>
            <w:shd w:val="clear" w:color="auto" w:fill="auto"/>
          </w:tcPr>
          <w:p w14:paraId="7E785BA6" w14:textId="77777777" w:rsidR="00A82082" w:rsidRDefault="00A82082">
            <w:pPr>
              <w:rPr>
                <w:rFonts w:ascii="宋体"/>
              </w:rPr>
            </w:pPr>
          </w:p>
        </w:tc>
        <w:tc>
          <w:tcPr>
            <w:tcW w:w="50" w:type="pct"/>
            <w:shd w:val="clear" w:color="auto" w:fill="auto"/>
          </w:tcPr>
          <w:p w14:paraId="7E785BA7" w14:textId="77777777" w:rsidR="00A82082" w:rsidRDefault="00A82082">
            <w:pPr>
              <w:rPr>
                <w:rFonts w:ascii="宋体"/>
              </w:rPr>
            </w:pPr>
          </w:p>
        </w:tc>
        <w:tc>
          <w:tcPr>
            <w:tcW w:w="561" w:type="pct"/>
            <w:shd w:val="clear" w:color="auto" w:fill="auto"/>
          </w:tcPr>
          <w:p w14:paraId="7E785BA8" w14:textId="77777777" w:rsidR="00A82082" w:rsidRDefault="00A82082">
            <w:pPr>
              <w:rPr>
                <w:rFonts w:ascii="宋体"/>
              </w:rPr>
            </w:pPr>
          </w:p>
        </w:tc>
        <w:tc>
          <w:tcPr>
            <w:tcW w:w="5" w:type="pct"/>
            <w:shd w:val="clear" w:color="auto" w:fill="auto"/>
          </w:tcPr>
          <w:p w14:paraId="7E785BA9" w14:textId="77777777" w:rsidR="00A82082" w:rsidRDefault="00A82082">
            <w:pPr>
              <w:rPr>
                <w:rFonts w:ascii="宋体"/>
              </w:rPr>
            </w:pPr>
          </w:p>
        </w:tc>
        <w:tc>
          <w:tcPr>
            <w:tcW w:w="0" w:type="auto"/>
            <w:gridSpan w:val="3"/>
            <w:shd w:val="clear" w:color="auto" w:fill="auto"/>
          </w:tcPr>
          <w:p w14:paraId="7E785BAA" w14:textId="77777777" w:rsidR="00A82082" w:rsidRDefault="00A82082">
            <w:pPr>
              <w:rPr>
                <w:rFonts w:ascii="宋体"/>
                <w:vanish/>
              </w:rPr>
            </w:pPr>
          </w:p>
        </w:tc>
        <w:tc>
          <w:tcPr>
            <w:tcW w:w="0" w:type="auto"/>
            <w:gridSpan w:val="3"/>
            <w:shd w:val="clear" w:color="auto" w:fill="auto"/>
          </w:tcPr>
          <w:p w14:paraId="7E785BAB" w14:textId="77777777" w:rsidR="00A82082" w:rsidRDefault="00A82082">
            <w:pPr>
              <w:rPr>
                <w:rFonts w:ascii="宋体"/>
                <w:vanish/>
              </w:rPr>
            </w:pPr>
          </w:p>
        </w:tc>
        <w:tc>
          <w:tcPr>
            <w:tcW w:w="50" w:type="pct"/>
            <w:shd w:val="clear" w:color="auto" w:fill="auto"/>
          </w:tcPr>
          <w:p w14:paraId="7E785BAC" w14:textId="77777777" w:rsidR="00A82082" w:rsidRDefault="00A82082">
            <w:pPr>
              <w:rPr>
                <w:rFonts w:ascii="宋体"/>
              </w:rPr>
            </w:pPr>
          </w:p>
        </w:tc>
        <w:tc>
          <w:tcPr>
            <w:tcW w:w="561" w:type="pct"/>
            <w:shd w:val="clear" w:color="auto" w:fill="auto"/>
          </w:tcPr>
          <w:p w14:paraId="7E785BAD" w14:textId="77777777" w:rsidR="00A82082" w:rsidRDefault="00A82082">
            <w:pPr>
              <w:rPr>
                <w:rFonts w:ascii="宋体"/>
              </w:rPr>
            </w:pPr>
          </w:p>
        </w:tc>
        <w:tc>
          <w:tcPr>
            <w:tcW w:w="5" w:type="pct"/>
            <w:shd w:val="clear" w:color="auto" w:fill="auto"/>
          </w:tcPr>
          <w:p w14:paraId="7E785BAE" w14:textId="77777777" w:rsidR="00A82082" w:rsidRDefault="00A82082">
            <w:pPr>
              <w:rPr>
                <w:rFonts w:ascii="宋体"/>
              </w:rPr>
            </w:pPr>
          </w:p>
        </w:tc>
      </w:tr>
      <w:tr w:rsidR="00A82082" w14:paraId="7E785BC1" w14:textId="77777777">
        <w:trPr>
          <w:jc w:val="center"/>
        </w:trPr>
        <w:tc>
          <w:tcPr>
            <w:tcW w:w="0" w:type="auto"/>
            <w:gridSpan w:val="3"/>
            <w:shd w:val="clear" w:color="auto" w:fill="auto"/>
            <w:tcMar>
              <w:top w:w="40" w:type="dxa"/>
              <w:left w:w="20" w:type="dxa"/>
              <w:bottom w:w="40" w:type="dxa"/>
              <w:right w:w="20" w:type="dxa"/>
            </w:tcMar>
            <w:vAlign w:val="center"/>
          </w:tcPr>
          <w:p w14:paraId="7E785BB0"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BB1" w14:textId="77777777" w:rsidR="00A82082" w:rsidRDefault="00A82082">
            <w:pPr>
              <w:rPr>
                <w:rFonts w:ascii="宋体"/>
              </w:rPr>
            </w:pPr>
          </w:p>
        </w:tc>
        <w:tc>
          <w:tcPr>
            <w:tcW w:w="0" w:type="auto"/>
            <w:gridSpan w:val="4"/>
            <w:shd w:val="clear" w:color="auto" w:fill="auto"/>
            <w:tcMar>
              <w:top w:w="40" w:type="dxa"/>
              <w:left w:w="20" w:type="dxa"/>
              <w:bottom w:w="40" w:type="dxa"/>
              <w:right w:w="20" w:type="dxa"/>
            </w:tcMar>
            <w:vAlign w:val="center"/>
          </w:tcPr>
          <w:p w14:paraId="7E785BB2" w14:textId="77777777" w:rsidR="00A82082" w:rsidRDefault="00E946F9">
            <w:pPr>
              <w:jc w:val="center"/>
              <w:textAlignment w:val="center"/>
            </w:pPr>
            <w:r>
              <w:rPr>
                <w:rFonts w:ascii="Times New Roman" w:eastAsia="宋体" w:hAnsi="Times New Roman"/>
                <w:b/>
                <w:bCs/>
                <w:color w:val="000000"/>
                <w:sz w:val="16"/>
                <w:szCs w:val="16"/>
              </w:rPr>
              <w:t>Three Months Ended October 31,</w:t>
            </w:r>
          </w:p>
        </w:tc>
        <w:tc>
          <w:tcPr>
            <w:tcW w:w="0" w:type="auto"/>
            <w:shd w:val="clear" w:color="auto" w:fill="auto"/>
            <w:tcMar>
              <w:top w:w="0" w:type="dxa"/>
              <w:left w:w="20" w:type="dxa"/>
              <w:bottom w:w="0" w:type="dxa"/>
              <w:right w:w="20" w:type="dxa"/>
            </w:tcMar>
          </w:tcPr>
          <w:p w14:paraId="7E785BB3" w14:textId="77777777" w:rsidR="00A82082" w:rsidRDefault="00A82082">
            <w:pPr>
              <w:rPr>
                <w:rFonts w:ascii="宋体"/>
              </w:rPr>
            </w:pPr>
          </w:p>
        </w:tc>
        <w:tc>
          <w:tcPr>
            <w:tcW w:w="0" w:type="auto"/>
            <w:gridSpan w:val="6"/>
            <w:shd w:val="clear" w:color="auto" w:fill="auto"/>
            <w:tcMar>
              <w:top w:w="40" w:type="dxa"/>
              <w:left w:w="20" w:type="dxa"/>
              <w:bottom w:w="40" w:type="dxa"/>
              <w:right w:w="20" w:type="dxa"/>
            </w:tcMar>
            <w:vAlign w:val="center"/>
          </w:tcPr>
          <w:p w14:paraId="7E785BB4" w14:textId="77777777" w:rsidR="00A82082" w:rsidRDefault="00E946F9">
            <w:pPr>
              <w:jc w:val="center"/>
              <w:textAlignment w:val="center"/>
            </w:pPr>
            <w:r>
              <w:rPr>
                <w:rFonts w:ascii="Times New Roman" w:eastAsia="宋体" w:hAnsi="Times New Roman"/>
                <w:b/>
                <w:bCs/>
                <w:color w:val="000000"/>
                <w:sz w:val="16"/>
                <w:szCs w:val="16"/>
              </w:rPr>
              <w:t>Nine Months Ended October 31,</w:t>
            </w:r>
          </w:p>
        </w:tc>
        <w:tc>
          <w:tcPr>
            <w:tcW w:w="0" w:type="auto"/>
            <w:shd w:val="clear" w:color="auto" w:fill="auto"/>
          </w:tcPr>
          <w:p w14:paraId="7E785BB5" w14:textId="77777777" w:rsidR="00A82082" w:rsidRDefault="00A82082">
            <w:pPr>
              <w:rPr>
                <w:rFonts w:ascii="宋体"/>
              </w:rPr>
            </w:pPr>
          </w:p>
        </w:tc>
        <w:tc>
          <w:tcPr>
            <w:tcW w:w="0" w:type="auto"/>
            <w:shd w:val="clear" w:color="auto" w:fill="auto"/>
          </w:tcPr>
          <w:p w14:paraId="7E785BB6" w14:textId="77777777" w:rsidR="00A82082" w:rsidRDefault="00A82082">
            <w:pPr>
              <w:rPr>
                <w:rFonts w:ascii="宋体"/>
              </w:rPr>
            </w:pPr>
          </w:p>
        </w:tc>
        <w:tc>
          <w:tcPr>
            <w:tcW w:w="0" w:type="auto"/>
            <w:shd w:val="clear" w:color="auto" w:fill="auto"/>
          </w:tcPr>
          <w:p w14:paraId="7E785BB7" w14:textId="77777777" w:rsidR="00A82082" w:rsidRDefault="00A82082">
            <w:pPr>
              <w:rPr>
                <w:rFonts w:ascii="宋体"/>
              </w:rPr>
            </w:pPr>
          </w:p>
        </w:tc>
        <w:tc>
          <w:tcPr>
            <w:tcW w:w="0" w:type="auto"/>
            <w:shd w:val="clear" w:color="auto" w:fill="auto"/>
          </w:tcPr>
          <w:p w14:paraId="7E785BB8" w14:textId="77777777" w:rsidR="00A82082" w:rsidRDefault="00A82082">
            <w:pPr>
              <w:rPr>
                <w:rFonts w:ascii="宋体"/>
              </w:rPr>
            </w:pPr>
          </w:p>
        </w:tc>
        <w:tc>
          <w:tcPr>
            <w:tcW w:w="0" w:type="auto"/>
            <w:shd w:val="clear" w:color="auto" w:fill="auto"/>
          </w:tcPr>
          <w:p w14:paraId="7E785BB9" w14:textId="77777777" w:rsidR="00A82082" w:rsidRDefault="00A82082">
            <w:pPr>
              <w:rPr>
                <w:rFonts w:ascii="宋体"/>
              </w:rPr>
            </w:pPr>
          </w:p>
        </w:tc>
        <w:tc>
          <w:tcPr>
            <w:tcW w:w="0" w:type="auto"/>
            <w:shd w:val="clear" w:color="auto" w:fill="auto"/>
          </w:tcPr>
          <w:p w14:paraId="7E785BBA" w14:textId="77777777" w:rsidR="00A82082" w:rsidRDefault="00A82082">
            <w:pPr>
              <w:rPr>
                <w:rFonts w:ascii="宋体"/>
              </w:rPr>
            </w:pPr>
          </w:p>
        </w:tc>
        <w:tc>
          <w:tcPr>
            <w:tcW w:w="0" w:type="auto"/>
            <w:shd w:val="clear" w:color="auto" w:fill="auto"/>
          </w:tcPr>
          <w:p w14:paraId="7E785BBB" w14:textId="77777777" w:rsidR="00A82082" w:rsidRDefault="00A82082">
            <w:pPr>
              <w:rPr>
                <w:rFonts w:ascii="宋体"/>
              </w:rPr>
            </w:pPr>
          </w:p>
        </w:tc>
        <w:tc>
          <w:tcPr>
            <w:tcW w:w="0" w:type="auto"/>
            <w:shd w:val="clear" w:color="auto" w:fill="auto"/>
          </w:tcPr>
          <w:p w14:paraId="7E785BBC" w14:textId="77777777" w:rsidR="00A82082" w:rsidRDefault="00A82082">
            <w:pPr>
              <w:rPr>
                <w:rFonts w:ascii="宋体"/>
              </w:rPr>
            </w:pPr>
          </w:p>
        </w:tc>
        <w:tc>
          <w:tcPr>
            <w:tcW w:w="0" w:type="auto"/>
            <w:shd w:val="clear" w:color="auto" w:fill="auto"/>
          </w:tcPr>
          <w:p w14:paraId="7E785BBD" w14:textId="77777777" w:rsidR="00A82082" w:rsidRDefault="00A82082">
            <w:pPr>
              <w:rPr>
                <w:rFonts w:ascii="宋体"/>
              </w:rPr>
            </w:pPr>
          </w:p>
        </w:tc>
        <w:tc>
          <w:tcPr>
            <w:tcW w:w="0" w:type="auto"/>
            <w:shd w:val="clear" w:color="auto" w:fill="auto"/>
          </w:tcPr>
          <w:p w14:paraId="7E785BBE" w14:textId="77777777" w:rsidR="00A82082" w:rsidRDefault="00A82082">
            <w:pPr>
              <w:rPr>
                <w:rFonts w:ascii="宋体"/>
              </w:rPr>
            </w:pPr>
          </w:p>
        </w:tc>
        <w:tc>
          <w:tcPr>
            <w:tcW w:w="0" w:type="auto"/>
            <w:shd w:val="clear" w:color="auto" w:fill="auto"/>
          </w:tcPr>
          <w:p w14:paraId="7E785BBF" w14:textId="77777777" w:rsidR="00A82082" w:rsidRDefault="00A82082">
            <w:pPr>
              <w:rPr>
                <w:rFonts w:ascii="宋体"/>
              </w:rPr>
            </w:pPr>
          </w:p>
        </w:tc>
        <w:tc>
          <w:tcPr>
            <w:tcW w:w="0" w:type="auto"/>
            <w:shd w:val="clear" w:color="auto" w:fill="auto"/>
          </w:tcPr>
          <w:p w14:paraId="7E785BC0" w14:textId="77777777" w:rsidR="00A82082" w:rsidRDefault="00A82082">
            <w:pPr>
              <w:rPr>
                <w:rFonts w:ascii="宋体"/>
              </w:rPr>
            </w:pPr>
          </w:p>
        </w:tc>
      </w:tr>
      <w:tr w:rsidR="00A82082" w14:paraId="7E785BCD" w14:textId="77777777">
        <w:trPr>
          <w:jc w:val="center"/>
        </w:trPr>
        <w:tc>
          <w:tcPr>
            <w:tcW w:w="0" w:type="auto"/>
            <w:gridSpan w:val="3"/>
            <w:shd w:val="clear" w:color="auto" w:fill="auto"/>
            <w:tcMar>
              <w:top w:w="40" w:type="dxa"/>
              <w:left w:w="20" w:type="dxa"/>
              <w:bottom w:w="40" w:type="dxa"/>
              <w:right w:w="20" w:type="dxa"/>
            </w:tcMar>
            <w:vAlign w:val="center"/>
          </w:tcPr>
          <w:p w14:paraId="7E785BC2" w14:textId="77777777" w:rsidR="00A82082" w:rsidRDefault="00E946F9">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7E785BC3"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C4"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shd w:val="clear" w:color="auto" w:fill="auto"/>
          </w:tcPr>
          <w:p w14:paraId="7E785BC5" w14:textId="77777777" w:rsidR="00A82082" w:rsidRDefault="00A82082">
            <w:pPr>
              <w:rPr>
                <w:rFonts w:ascii="宋体"/>
                <w:vanish/>
              </w:rPr>
            </w:pPr>
          </w:p>
        </w:tc>
        <w:tc>
          <w:tcPr>
            <w:tcW w:w="0" w:type="auto"/>
            <w:shd w:val="clear" w:color="auto" w:fill="auto"/>
          </w:tcPr>
          <w:p w14:paraId="7E785BC6"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C7"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BC8"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C9"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Pr>
          <w:p w14:paraId="7E785BCA" w14:textId="77777777" w:rsidR="00A82082" w:rsidRDefault="00A82082">
            <w:pPr>
              <w:rPr>
                <w:rFonts w:ascii="宋体"/>
                <w:vanish/>
              </w:rPr>
            </w:pPr>
          </w:p>
        </w:tc>
        <w:tc>
          <w:tcPr>
            <w:tcW w:w="0" w:type="auto"/>
            <w:gridSpan w:val="3"/>
            <w:shd w:val="clear" w:color="auto" w:fill="auto"/>
          </w:tcPr>
          <w:p w14:paraId="7E785BCB"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BCC" w14:textId="77777777" w:rsidR="00A82082" w:rsidRDefault="00E946F9">
            <w:pPr>
              <w:jc w:val="center"/>
              <w:textAlignment w:val="center"/>
            </w:pPr>
            <w:r>
              <w:rPr>
                <w:rFonts w:ascii="Times New Roman" w:eastAsia="宋体" w:hAnsi="Times New Roman"/>
                <w:b/>
                <w:bCs/>
                <w:color w:val="000000"/>
                <w:sz w:val="16"/>
                <w:szCs w:val="16"/>
              </w:rPr>
              <w:t>2019</w:t>
            </w:r>
          </w:p>
        </w:tc>
      </w:tr>
      <w:tr w:rsidR="00A82082" w14:paraId="7E785BE1" w14:textId="77777777">
        <w:trPr>
          <w:jc w:val="center"/>
        </w:trPr>
        <w:tc>
          <w:tcPr>
            <w:tcW w:w="0" w:type="auto"/>
            <w:gridSpan w:val="3"/>
            <w:shd w:val="clear" w:color="auto" w:fill="CCEEFF"/>
            <w:tcMar>
              <w:top w:w="40" w:type="dxa"/>
              <w:left w:w="20" w:type="dxa"/>
              <w:bottom w:w="40" w:type="dxa"/>
              <w:right w:w="20" w:type="dxa"/>
            </w:tcMar>
            <w:vAlign w:val="center"/>
          </w:tcPr>
          <w:p w14:paraId="7E785BCE"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5BCF"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D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D1" w14:textId="77777777" w:rsidR="00A82082" w:rsidRDefault="00E946F9">
            <w:pPr>
              <w:jc w:val="right"/>
              <w:textAlignment w:val="center"/>
            </w:pPr>
            <w:r>
              <w:rPr>
                <w:rFonts w:ascii="Times New Roman" w:eastAsia="宋体" w:hAnsi="Times New Roman"/>
                <w:color w:val="000000"/>
                <w:sz w:val="16"/>
                <w:szCs w:val="16"/>
              </w:rPr>
              <w:t>29,554 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D2" w14:textId="77777777" w:rsidR="00A82082" w:rsidRDefault="00A82082">
            <w:pPr>
              <w:jc w:val="right"/>
              <w:rPr>
                <w:rFonts w:ascii="宋体"/>
              </w:rPr>
            </w:pPr>
          </w:p>
        </w:tc>
        <w:tc>
          <w:tcPr>
            <w:tcW w:w="0" w:type="auto"/>
            <w:shd w:val="clear" w:color="auto" w:fill="auto"/>
          </w:tcPr>
          <w:p w14:paraId="7E785BD3" w14:textId="77777777" w:rsidR="00A82082" w:rsidRDefault="00A82082">
            <w:pPr>
              <w:rPr>
                <w:rFonts w:ascii="宋体"/>
                <w:vanish/>
              </w:rPr>
            </w:pPr>
          </w:p>
        </w:tc>
        <w:tc>
          <w:tcPr>
            <w:tcW w:w="0" w:type="auto"/>
            <w:shd w:val="clear" w:color="auto" w:fill="auto"/>
          </w:tcPr>
          <w:p w14:paraId="7E785BD4"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D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D6" w14:textId="77777777" w:rsidR="00A82082" w:rsidRDefault="00E946F9">
            <w:pPr>
              <w:jc w:val="right"/>
              <w:textAlignment w:val="center"/>
            </w:pPr>
            <w:r>
              <w:rPr>
                <w:rFonts w:ascii="Times New Roman" w:eastAsia="宋体" w:hAnsi="Times New Roman"/>
                <w:color w:val="000000"/>
                <w:sz w:val="16"/>
                <w:szCs w:val="16"/>
              </w:rPr>
              <w:t>29,167 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D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BD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D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DA" w14:textId="77777777" w:rsidR="00A82082" w:rsidRDefault="00E946F9">
            <w:pPr>
              <w:jc w:val="right"/>
              <w:textAlignment w:val="center"/>
            </w:pPr>
            <w:r>
              <w:rPr>
                <w:rFonts w:ascii="Times New Roman" w:eastAsia="宋体" w:hAnsi="Times New Roman"/>
                <w:color w:val="000000"/>
                <w:sz w:val="16"/>
                <w:szCs w:val="16"/>
              </w:rPr>
              <w:t>86,487 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DB" w14:textId="77777777" w:rsidR="00A82082" w:rsidRDefault="00A82082">
            <w:pPr>
              <w:jc w:val="right"/>
              <w:rPr>
                <w:rFonts w:ascii="宋体"/>
              </w:rPr>
            </w:pPr>
          </w:p>
        </w:tc>
        <w:tc>
          <w:tcPr>
            <w:tcW w:w="0" w:type="auto"/>
            <w:gridSpan w:val="3"/>
            <w:shd w:val="clear" w:color="auto" w:fill="auto"/>
          </w:tcPr>
          <w:p w14:paraId="7E785BDC" w14:textId="77777777" w:rsidR="00A82082" w:rsidRDefault="00A82082">
            <w:pPr>
              <w:rPr>
                <w:rFonts w:ascii="宋体"/>
                <w:vanish/>
              </w:rPr>
            </w:pPr>
          </w:p>
        </w:tc>
        <w:tc>
          <w:tcPr>
            <w:tcW w:w="0" w:type="auto"/>
            <w:gridSpan w:val="3"/>
            <w:shd w:val="clear" w:color="auto" w:fill="auto"/>
          </w:tcPr>
          <w:p w14:paraId="7E785BDD"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BD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BDF" w14:textId="77777777" w:rsidR="00A82082" w:rsidRDefault="00E946F9">
            <w:pPr>
              <w:jc w:val="right"/>
              <w:textAlignment w:val="center"/>
            </w:pPr>
            <w:r>
              <w:rPr>
                <w:rFonts w:ascii="Times New Roman" w:eastAsia="宋体" w:hAnsi="Times New Roman"/>
                <w:color w:val="000000"/>
                <w:sz w:val="16"/>
                <w:szCs w:val="16"/>
              </w:rPr>
              <w:t>87,081 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BE0" w14:textId="77777777" w:rsidR="00A82082" w:rsidRDefault="00A82082">
            <w:pPr>
              <w:jc w:val="right"/>
              <w:rPr>
                <w:rFonts w:ascii="宋体"/>
              </w:rPr>
            </w:pPr>
          </w:p>
        </w:tc>
      </w:tr>
      <w:tr w:rsidR="00A82082" w14:paraId="7E785BF1" w14:textId="77777777">
        <w:trPr>
          <w:jc w:val="center"/>
        </w:trPr>
        <w:tc>
          <w:tcPr>
            <w:tcW w:w="0" w:type="auto"/>
            <w:gridSpan w:val="3"/>
            <w:shd w:val="clear" w:color="auto" w:fill="FFFFFF"/>
            <w:tcMar>
              <w:top w:w="40" w:type="dxa"/>
              <w:left w:w="20" w:type="dxa"/>
              <w:bottom w:w="40" w:type="dxa"/>
              <w:right w:w="20" w:type="dxa"/>
            </w:tcMar>
            <w:vAlign w:val="center"/>
          </w:tcPr>
          <w:p w14:paraId="7E785BE2"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BE3"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E4"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7E785BE5" w14:textId="77777777" w:rsidR="00A82082" w:rsidRDefault="00E946F9">
            <w:pPr>
              <w:jc w:val="right"/>
              <w:textAlignment w:val="center"/>
            </w:pPr>
            <w:r>
              <w:rPr>
                <w:rFonts w:ascii="Times New Roman" w:eastAsia="宋体" w:hAnsi="Times New Roman"/>
                <w:color w:val="000000"/>
                <w:sz w:val="16"/>
                <w:szCs w:val="16"/>
              </w:rPr>
              <w:t>%</w:t>
            </w:r>
          </w:p>
        </w:tc>
        <w:tc>
          <w:tcPr>
            <w:tcW w:w="0" w:type="auto"/>
            <w:shd w:val="clear" w:color="auto" w:fill="auto"/>
          </w:tcPr>
          <w:p w14:paraId="7E785BE6" w14:textId="77777777" w:rsidR="00A82082" w:rsidRDefault="00A82082">
            <w:pPr>
              <w:rPr>
                <w:rFonts w:ascii="宋体"/>
                <w:vanish/>
              </w:rPr>
            </w:pPr>
          </w:p>
        </w:tc>
        <w:tc>
          <w:tcPr>
            <w:tcW w:w="0" w:type="auto"/>
            <w:shd w:val="clear" w:color="auto" w:fill="auto"/>
          </w:tcPr>
          <w:p w14:paraId="7E785BE7"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E8"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7E785BE9"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BE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BEB" w14:textId="77777777" w:rsidR="00A82082" w:rsidRDefault="00E946F9">
            <w:pPr>
              <w:jc w:val="right"/>
              <w:textAlignment w:val="center"/>
            </w:pPr>
            <w:r>
              <w:rPr>
                <w:rFonts w:ascii="Times New Roman" w:eastAsia="宋体" w:hAnsi="Times New Roman"/>
                <w:color w:val="000000"/>
                <w:sz w:val="16"/>
                <w:szCs w:val="16"/>
              </w:rPr>
              <w:t>(0.7)</w:t>
            </w:r>
          </w:p>
        </w:tc>
        <w:tc>
          <w:tcPr>
            <w:tcW w:w="0" w:type="auto"/>
            <w:shd w:val="clear" w:color="auto" w:fill="FFFFFF"/>
            <w:tcMar>
              <w:top w:w="40" w:type="dxa"/>
              <w:left w:w="0" w:type="dxa"/>
              <w:bottom w:w="40" w:type="dxa"/>
              <w:right w:w="20" w:type="dxa"/>
            </w:tcMar>
            <w:vAlign w:val="center"/>
          </w:tcPr>
          <w:p w14:paraId="7E785BEC"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auto"/>
          </w:tcPr>
          <w:p w14:paraId="7E785BED" w14:textId="77777777" w:rsidR="00A82082" w:rsidRDefault="00A82082">
            <w:pPr>
              <w:rPr>
                <w:rFonts w:ascii="宋体"/>
                <w:vanish/>
              </w:rPr>
            </w:pPr>
          </w:p>
        </w:tc>
        <w:tc>
          <w:tcPr>
            <w:tcW w:w="0" w:type="auto"/>
            <w:gridSpan w:val="3"/>
            <w:shd w:val="clear" w:color="auto" w:fill="auto"/>
          </w:tcPr>
          <w:p w14:paraId="7E785BEE"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BEF" w14:textId="77777777" w:rsidR="00A82082" w:rsidRDefault="00E946F9">
            <w:pPr>
              <w:jc w:val="right"/>
              <w:textAlignment w:val="center"/>
            </w:pPr>
            <w:r>
              <w:rPr>
                <w:rFonts w:ascii="Times New Roman" w:eastAsia="宋体" w:hAnsi="Times New Roman"/>
                <w:color w:val="000000"/>
                <w:sz w:val="16"/>
                <w:szCs w:val="16"/>
              </w:rPr>
              <w:t>(1.6)</w:t>
            </w:r>
          </w:p>
        </w:tc>
        <w:tc>
          <w:tcPr>
            <w:tcW w:w="0" w:type="auto"/>
            <w:shd w:val="clear" w:color="auto" w:fill="FFFFFF"/>
            <w:tcMar>
              <w:top w:w="40" w:type="dxa"/>
              <w:left w:w="0" w:type="dxa"/>
              <w:bottom w:w="40" w:type="dxa"/>
              <w:right w:w="20" w:type="dxa"/>
            </w:tcMar>
            <w:vAlign w:val="center"/>
          </w:tcPr>
          <w:p w14:paraId="7E785BF0"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C05" w14:textId="77777777">
        <w:trPr>
          <w:jc w:val="center"/>
        </w:trPr>
        <w:tc>
          <w:tcPr>
            <w:tcW w:w="0" w:type="auto"/>
            <w:gridSpan w:val="3"/>
            <w:shd w:val="clear" w:color="auto" w:fill="CCEEFF"/>
            <w:tcMar>
              <w:top w:w="40" w:type="dxa"/>
              <w:left w:w="20" w:type="dxa"/>
              <w:bottom w:w="40" w:type="dxa"/>
              <w:right w:w="20" w:type="dxa"/>
            </w:tcMar>
            <w:vAlign w:val="center"/>
          </w:tcPr>
          <w:p w14:paraId="7E785BF2"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7E785BF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BF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BF5" w14:textId="77777777" w:rsidR="00A82082" w:rsidRDefault="00E946F9">
            <w:pPr>
              <w:jc w:val="right"/>
              <w:textAlignment w:val="center"/>
            </w:pPr>
            <w:r>
              <w:rPr>
                <w:rFonts w:ascii="Times New Roman" w:eastAsia="宋体" w:hAnsi="Times New Roman"/>
                <w:color w:val="000000"/>
                <w:sz w:val="16"/>
                <w:szCs w:val="16"/>
              </w:rPr>
              <w:t>1,078 </w:t>
            </w:r>
          </w:p>
        </w:tc>
        <w:tc>
          <w:tcPr>
            <w:tcW w:w="0" w:type="auto"/>
            <w:shd w:val="clear" w:color="auto" w:fill="CCEEFF"/>
            <w:tcMar>
              <w:top w:w="40" w:type="dxa"/>
              <w:left w:w="0" w:type="dxa"/>
              <w:bottom w:w="40" w:type="dxa"/>
              <w:right w:w="20" w:type="dxa"/>
            </w:tcMar>
            <w:vAlign w:val="center"/>
          </w:tcPr>
          <w:p w14:paraId="7E785BF6" w14:textId="77777777" w:rsidR="00A82082" w:rsidRDefault="00A82082">
            <w:pPr>
              <w:jc w:val="right"/>
              <w:rPr>
                <w:rFonts w:ascii="宋体"/>
              </w:rPr>
            </w:pPr>
          </w:p>
        </w:tc>
        <w:tc>
          <w:tcPr>
            <w:tcW w:w="0" w:type="auto"/>
            <w:shd w:val="clear" w:color="auto" w:fill="auto"/>
          </w:tcPr>
          <w:p w14:paraId="7E785BF7" w14:textId="77777777" w:rsidR="00A82082" w:rsidRDefault="00A82082">
            <w:pPr>
              <w:rPr>
                <w:rFonts w:ascii="宋体"/>
                <w:vanish/>
              </w:rPr>
            </w:pPr>
          </w:p>
        </w:tc>
        <w:tc>
          <w:tcPr>
            <w:tcW w:w="0" w:type="auto"/>
            <w:shd w:val="clear" w:color="auto" w:fill="auto"/>
          </w:tcPr>
          <w:p w14:paraId="7E785BF8"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BF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BFA" w14:textId="77777777" w:rsidR="00A82082" w:rsidRDefault="00E946F9">
            <w:pPr>
              <w:jc w:val="right"/>
              <w:textAlignment w:val="center"/>
            </w:pPr>
            <w:r>
              <w:rPr>
                <w:rFonts w:ascii="Times New Roman" w:eastAsia="宋体" w:hAnsi="Times New Roman"/>
                <w:color w:val="000000"/>
                <w:sz w:val="16"/>
                <w:szCs w:val="16"/>
              </w:rPr>
              <w:t>634 </w:t>
            </w:r>
          </w:p>
        </w:tc>
        <w:tc>
          <w:tcPr>
            <w:tcW w:w="0" w:type="auto"/>
            <w:shd w:val="clear" w:color="auto" w:fill="CCEEFF"/>
            <w:tcMar>
              <w:top w:w="40" w:type="dxa"/>
              <w:left w:w="0" w:type="dxa"/>
              <w:bottom w:w="40" w:type="dxa"/>
              <w:right w:w="20" w:type="dxa"/>
            </w:tcMar>
            <w:vAlign w:val="center"/>
          </w:tcPr>
          <w:p w14:paraId="7E785BF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BFC"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BF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BFE" w14:textId="77777777" w:rsidR="00A82082" w:rsidRDefault="00E946F9">
            <w:pPr>
              <w:jc w:val="right"/>
              <w:textAlignment w:val="center"/>
            </w:pPr>
            <w:r>
              <w:rPr>
                <w:rFonts w:ascii="Times New Roman" w:eastAsia="宋体" w:hAnsi="Times New Roman"/>
                <w:color w:val="000000"/>
                <w:sz w:val="16"/>
                <w:szCs w:val="16"/>
              </w:rPr>
              <w:t>2,696 </w:t>
            </w:r>
          </w:p>
        </w:tc>
        <w:tc>
          <w:tcPr>
            <w:tcW w:w="0" w:type="auto"/>
            <w:shd w:val="clear" w:color="auto" w:fill="CCEEFF"/>
            <w:tcMar>
              <w:top w:w="40" w:type="dxa"/>
              <w:left w:w="0" w:type="dxa"/>
              <w:bottom w:w="40" w:type="dxa"/>
              <w:right w:w="20" w:type="dxa"/>
            </w:tcMar>
            <w:vAlign w:val="center"/>
          </w:tcPr>
          <w:p w14:paraId="7E785BFF" w14:textId="77777777" w:rsidR="00A82082" w:rsidRDefault="00A82082">
            <w:pPr>
              <w:jc w:val="right"/>
              <w:rPr>
                <w:rFonts w:ascii="宋体"/>
              </w:rPr>
            </w:pPr>
          </w:p>
        </w:tc>
        <w:tc>
          <w:tcPr>
            <w:tcW w:w="0" w:type="auto"/>
            <w:gridSpan w:val="3"/>
            <w:shd w:val="clear" w:color="auto" w:fill="auto"/>
          </w:tcPr>
          <w:p w14:paraId="7E785C00" w14:textId="77777777" w:rsidR="00A82082" w:rsidRDefault="00A82082">
            <w:pPr>
              <w:rPr>
                <w:rFonts w:ascii="宋体"/>
                <w:vanish/>
              </w:rPr>
            </w:pPr>
          </w:p>
        </w:tc>
        <w:tc>
          <w:tcPr>
            <w:tcW w:w="0" w:type="auto"/>
            <w:gridSpan w:val="3"/>
            <w:shd w:val="clear" w:color="auto" w:fill="auto"/>
          </w:tcPr>
          <w:p w14:paraId="7E785C01"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C02"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C03" w14:textId="77777777" w:rsidR="00A82082" w:rsidRDefault="00E946F9">
            <w:pPr>
              <w:jc w:val="right"/>
              <w:textAlignment w:val="center"/>
            </w:pPr>
            <w:r>
              <w:rPr>
                <w:rFonts w:ascii="Times New Roman" w:eastAsia="宋体" w:hAnsi="Times New Roman"/>
                <w:color w:val="000000"/>
                <w:sz w:val="16"/>
                <w:szCs w:val="16"/>
              </w:rPr>
              <w:t>2,265 </w:t>
            </w:r>
          </w:p>
        </w:tc>
        <w:tc>
          <w:tcPr>
            <w:tcW w:w="0" w:type="auto"/>
            <w:shd w:val="clear" w:color="auto" w:fill="CCEEFF"/>
            <w:tcMar>
              <w:top w:w="40" w:type="dxa"/>
              <w:left w:w="0" w:type="dxa"/>
              <w:bottom w:w="40" w:type="dxa"/>
              <w:right w:w="20" w:type="dxa"/>
            </w:tcMar>
            <w:vAlign w:val="center"/>
          </w:tcPr>
          <w:p w14:paraId="7E785C04" w14:textId="77777777" w:rsidR="00A82082" w:rsidRDefault="00A82082">
            <w:pPr>
              <w:jc w:val="right"/>
              <w:rPr>
                <w:rFonts w:ascii="宋体"/>
              </w:rPr>
            </w:pPr>
          </w:p>
        </w:tc>
      </w:tr>
      <w:tr w:rsidR="00A82082" w14:paraId="7E785C15" w14:textId="77777777">
        <w:trPr>
          <w:jc w:val="center"/>
        </w:trPr>
        <w:tc>
          <w:tcPr>
            <w:tcW w:w="0" w:type="auto"/>
            <w:gridSpan w:val="3"/>
            <w:shd w:val="clear" w:color="auto" w:fill="FFFFFF"/>
            <w:tcMar>
              <w:top w:w="40" w:type="dxa"/>
              <w:left w:w="20" w:type="dxa"/>
              <w:bottom w:w="40" w:type="dxa"/>
              <w:right w:w="20" w:type="dxa"/>
            </w:tcMar>
            <w:vAlign w:val="center"/>
          </w:tcPr>
          <w:p w14:paraId="7E785C06" w14:textId="77777777" w:rsidR="00A82082" w:rsidRDefault="00E946F9">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7E785C0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08" w14:textId="77777777" w:rsidR="00A82082" w:rsidRDefault="00E946F9">
            <w:pPr>
              <w:jc w:val="right"/>
              <w:textAlignment w:val="center"/>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center"/>
          </w:tcPr>
          <w:p w14:paraId="7E785C09" w14:textId="77777777" w:rsidR="00A82082" w:rsidRDefault="00E946F9">
            <w:pPr>
              <w:jc w:val="right"/>
              <w:textAlignment w:val="center"/>
            </w:pPr>
            <w:r>
              <w:rPr>
                <w:rFonts w:ascii="Times New Roman" w:eastAsia="宋体" w:hAnsi="Times New Roman"/>
                <w:color w:val="000000"/>
                <w:sz w:val="16"/>
                <w:szCs w:val="16"/>
              </w:rPr>
              <w:t>%</w:t>
            </w:r>
          </w:p>
        </w:tc>
        <w:tc>
          <w:tcPr>
            <w:tcW w:w="0" w:type="auto"/>
            <w:shd w:val="clear" w:color="auto" w:fill="auto"/>
          </w:tcPr>
          <w:p w14:paraId="7E785C0A" w14:textId="77777777" w:rsidR="00A82082" w:rsidRDefault="00A82082">
            <w:pPr>
              <w:rPr>
                <w:rFonts w:ascii="宋体"/>
                <w:vanish/>
              </w:rPr>
            </w:pPr>
          </w:p>
        </w:tc>
        <w:tc>
          <w:tcPr>
            <w:tcW w:w="0" w:type="auto"/>
            <w:shd w:val="clear" w:color="auto" w:fill="auto"/>
          </w:tcPr>
          <w:p w14:paraId="7E785C0B"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0C" w14:textId="77777777" w:rsidR="00A82082" w:rsidRDefault="00E946F9">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7E785C0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C0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0F" w14:textId="77777777" w:rsidR="00A82082" w:rsidRDefault="00E946F9">
            <w:pPr>
              <w:jc w:val="right"/>
              <w:textAlignment w:val="center"/>
            </w:pPr>
            <w:r>
              <w:rPr>
                <w:rFonts w:ascii="Times New Roman" w:eastAsia="宋体" w:hAnsi="Times New Roman"/>
                <w:color w:val="000000"/>
                <w:sz w:val="16"/>
                <w:szCs w:val="16"/>
              </w:rPr>
              <w:t>3.1 </w:t>
            </w:r>
          </w:p>
        </w:tc>
        <w:tc>
          <w:tcPr>
            <w:tcW w:w="0" w:type="auto"/>
            <w:shd w:val="clear" w:color="auto" w:fill="FFFFFF"/>
            <w:tcMar>
              <w:top w:w="40" w:type="dxa"/>
              <w:left w:w="0" w:type="dxa"/>
              <w:bottom w:w="40" w:type="dxa"/>
              <w:right w:w="20" w:type="dxa"/>
            </w:tcMar>
            <w:vAlign w:val="center"/>
          </w:tcPr>
          <w:p w14:paraId="7E785C1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auto"/>
          </w:tcPr>
          <w:p w14:paraId="7E785C11" w14:textId="77777777" w:rsidR="00A82082" w:rsidRDefault="00A82082">
            <w:pPr>
              <w:rPr>
                <w:rFonts w:ascii="宋体"/>
                <w:vanish/>
              </w:rPr>
            </w:pPr>
          </w:p>
        </w:tc>
        <w:tc>
          <w:tcPr>
            <w:tcW w:w="0" w:type="auto"/>
            <w:gridSpan w:val="3"/>
            <w:shd w:val="clear" w:color="auto" w:fill="auto"/>
          </w:tcPr>
          <w:p w14:paraId="7E785C12"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13" w14:textId="77777777" w:rsidR="00A82082" w:rsidRDefault="00E946F9">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7E785C14"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C25" w14:textId="77777777">
        <w:trPr>
          <w:jc w:val="center"/>
        </w:trPr>
        <w:tc>
          <w:tcPr>
            <w:tcW w:w="0" w:type="auto"/>
            <w:gridSpan w:val="3"/>
            <w:shd w:val="clear" w:color="auto" w:fill="CCEEFF"/>
            <w:tcMar>
              <w:top w:w="40" w:type="dxa"/>
              <w:left w:w="20" w:type="dxa"/>
              <w:bottom w:w="40" w:type="dxa"/>
              <w:right w:w="20" w:type="dxa"/>
            </w:tcMar>
            <w:vAlign w:val="center"/>
          </w:tcPr>
          <w:p w14:paraId="7E785C16" w14:textId="77777777" w:rsidR="00A82082" w:rsidRDefault="00E946F9">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7E785C1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18" w14:textId="77777777" w:rsidR="00A82082" w:rsidRDefault="00E946F9">
            <w:pPr>
              <w:jc w:val="right"/>
              <w:textAlignment w:val="center"/>
            </w:pPr>
            <w:r>
              <w:rPr>
                <w:rFonts w:ascii="Times New Roman" w:eastAsia="宋体" w:hAnsi="Times New Roman"/>
                <w:color w:val="000000"/>
                <w:sz w:val="16"/>
                <w:szCs w:val="16"/>
              </w:rPr>
              <w:t>6,163 </w:t>
            </w:r>
          </w:p>
        </w:tc>
        <w:tc>
          <w:tcPr>
            <w:tcW w:w="0" w:type="auto"/>
            <w:shd w:val="clear" w:color="auto" w:fill="CCEEFF"/>
            <w:tcMar>
              <w:top w:w="40" w:type="dxa"/>
              <w:left w:w="0" w:type="dxa"/>
              <w:bottom w:w="40" w:type="dxa"/>
              <w:right w:w="20" w:type="dxa"/>
            </w:tcMar>
            <w:vAlign w:val="center"/>
          </w:tcPr>
          <w:p w14:paraId="7E785C19" w14:textId="77777777" w:rsidR="00A82082" w:rsidRDefault="00A82082">
            <w:pPr>
              <w:jc w:val="right"/>
              <w:rPr>
                <w:rFonts w:ascii="宋体"/>
              </w:rPr>
            </w:pPr>
          </w:p>
        </w:tc>
        <w:tc>
          <w:tcPr>
            <w:tcW w:w="0" w:type="auto"/>
            <w:shd w:val="clear" w:color="auto" w:fill="auto"/>
          </w:tcPr>
          <w:p w14:paraId="7E785C1A" w14:textId="77777777" w:rsidR="00A82082" w:rsidRDefault="00A82082">
            <w:pPr>
              <w:rPr>
                <w:rFonts w:ascii="宋体"/>
                <w:vanish/>
              </w:rPr>
            </w:pPr>
          </w:p>
        </w:tc>
        <w:tc>
          <w:tcPr>
            <w:tcW w:w="0" w:type="auto"/>
            <w:shd w:val="clear" w:color="auto" w:fill="auto"/>
          </w:tcPr>
          <w:p w14:paraId="7E785C1B"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1C" w14:textId="77777777" w:rsidR="00A82082" w:rsidRDefault="00E946F9">
            <w:pPr>
              <w:jc w:val="right"/>
              <w:textAlignment w:val="center"/>
            </w:pPr>
            <w:r>
              <w:rPr>
                <w:rFonts w:ascii="Times New Roman" w:eastAsia="宋体" w:hAnsi="Times New Roman"/>
                <w:color w:val="000000"/>
                <w:sz w:val="16"/>
                <w:szCs w:val="16"/>
              </w:rPr>
              <w:t>6,080 </w:t>
            </w:r>
          </w:p>
        </w:tc>
        <w:tc>
          <w:tcPr>
            <w:tcW w:w="0" w:type="auto"/>
            <w:shd w:val="clear" w:color="auto" w:fill="CCEEFF"/>
            <w:tcMar>
              <w:top w:w="40" w:type="dxa"/>
              <w:left w:w="0" w:type="dxa"/>
              <w:bottom w:w="40" w:type="dxa"/>
              <w:right w:w="20" w:type="dxa"/>
            </w:tcMar>
            <w:vAlign w:val="center"/>
          </w:tcPr>
          <w:p w14:paraId="7E785C1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1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1F" w14:textId="77777777" w:rsidR="00A82082" w:rsidRDefault="00E946F9">
            <w:pPr>
              <w:jc w:val="right"/>
              <w:textAlignment w:val="center"/>
            </w:pPr>
            <w:r>
              <w:rPr>
                <w:rFonts w:ascii="Times New Roman" w:eastAsia="宋体" w:hAnsi="Times New Roman"/>
                <w:color w:val="000000"/>
                <w:sz w:val="16"/>
                <w:szCs w:val="16"/>
              </w:rPr>
              <w:t>6,163 </w:t>
            </w:r>
          </w:p>
        </w:tc>
        <w:tc>
          <w:tcPr>
            <w:tcW w:w="0" w:type="auto"/>
            <w:shd w:val="clear" w:color="auto" w:fill="CCEEFF"/>
            <w:tcMar>
              <w:top w:w="40" w:type="dxa"/>
              <w:left w:w="0" w:type="dxa"/>
              <w:bottom w:w="40" w:type="dxa"/>
              <w:right w:w="20" w:type="dxa"/>
            </w:tcMar>
            <w:vAlign w:val="center"/>
          </w:tcPr>
          <w:p w14:paraId="7E785C20" w14:textId="77777777" w:rsidR="00A82082" w:rsidRDefault="00A82082">
            <w:pPr>
              <w:jc w:val="right"/>
              <w:rPr>
                <w:rFonts w:ascii="宋体"/>
              </w:rPr>
            </w:pPr>
          </w:p>
        </w:tc>
        <w:tc>
          <w:tcPr>
            <w:tcW w:w="0" w:type="auto"/>
            <w:gridSpan w:val="3"/>
            <w:shd w:val="clear" w:color="auto" w:fill="auto"/>
          </w:tcPr>
          <w:p w14:paraId="7E785C21" w14:textId="77777777" w:rsidR="00A82082" w:rsidRDefault="00A82082">
            <w:pPr>
              <w:rPr>
                <w:rFonts w:ascii="宋体"/>
                <w:vanish/>
              </w:rPr>
            </w:pPr>
          </w:p>
        </w:tc>
        <w:tc>
          <w:tcPr>
            <w:tcW w:w="0" w:type="auto"/>
            <w:gridSpan w:val="3"/>
            <w:shd w:val="clear" w:color="auto" w:fill="auto"/>
          </w:tcPr>
          <w:p w14:paraId="7E785C22"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23" w14:textId="77777777" w:rsidR="00A82082" w:rsidRDefault="00E946F9">
            <w:pPr>
              <w:jc w:val="right"/>
              <w:textAlignment w:val="center"/>
            </w:pPr>
            <w:r>
              <w:rPr>
                <w:rFonts w:ascii="Times New Roman" w:eastAsia="宋体" w:hAnsi="Times New Roman"/>
                <w:color w:val="000000"/>
                <w:sz w:val="16"/>
                <w:szCs w:val="16"/>
              </w:rPr>
              <w:t>6,080 </w:t>
            </w:r>
          </w:p>
        </w:tc>
        <w:tc>
          <w:tcPr>
            <w:tcW w:w="0" w:type="auto"/>
            <w:shd w:val="clear" w:color="auto" w:fill="CCEEFF"/>
            <w:tcMar>
              <w:top w:w="40" w:type="dxa"/>
              <w:left w:w="0" w:type="dxa"/>
              <w:bottom w:w="40" w:type="dxa"/>
              <w:right w:w="20" w:type="dxa"/>
            </w:tcMar>
            <w:vAlign w:val="center"/>
          </w:tcPr>
          <w:p w14:paraId="7E785C24" w14:textId="77777777" w:rsidR="00A82082" w:rsidRDefault="00A82082">
            <w:pPr>
              <w:jc w:val="right"/>
              <w:rPr>
                <w:rFonts w:ascii="宋体"/>
              </w:rPr>
            </w:pPr>
          </w:p>
        </w:tc>
      </w:tr>
      <w:tr w:rsidR="00A82082" w14:paraId="7E785C35" w14:textId="77777777">
        <w:trPr>
          <w:jc w:val="center"/>
        </w:trPr>
        <w:tc>
          <w:tcPr>
            <w:tcW w:w="0" w:type="auto"/>
            <w:gridSpan w:val="3"/>
            <w:shd w:val="clear" w:color="auto" w:fill="FFFFFF"/>
            <w:tcMar>
              <w:top w:w="40" w:type="dxa"/>
              <w:left w:w="20" w:type="dxa"/>
              <w:bottom w:w="40" w:type="dxa"/>
              <w:right w:w="20" w:type="dxa"/>
            </w:tcMar>
            <w:vAlign w:val="center"/>
          </w:tcPr>
          <w:p w14:paraId="7E785C26" w14:textId="77777777" w:rsidR="00A82082" w:rsidRDefault="00E946F9">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7E785C2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28" w14:textId="77777777" w:rsidR="00A82082" w:rsidRDefault="00E946F9">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7E785C29" w14:textId="77777777" w:rsidR="00A82082" w:rsidRDefault="00A82082">
            <w:pPr>
              <w:jc w:val="right"/>
              <w:rPr>
                <w:rFonts w:ascii="宋体"/>
              </w:rPr>
            </w:pPr>
          </w:p>
        </w:tc>
        <w:tc>
          <w:tcPr>
            <w:tcW w:w="0" w:type="auto"/>
            <w:shd w:val="clear" w:color="auto" w:fill="auto"/>
          </w:tcPr>
          <w:p w14:paraId="7E785C2A" w14:textId="77777777" w:rsidR="00A82082" w:rsidRDefault="00A82082">
            <w:pPr>
              <w:rPr>
                <w:rFonts w:ascii="宋体"/>
                <w:vanish/>
              </w:rPr>
            </w:pPr>
          </w:p>
        </w:tc>
        <w:tc>
          <w:tcPr>
            <w:tcW w:w="0" w:type="auto"/>
            <w:shd w:val="clear" w:color="auto" w:fill="auto"/>
          </w:tcPr>
          <w:p w14:paraId="7E785C2B"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2C" w14:textId="77777777" w:rsidR="00A82082" w:rsidRDefault="00E946F9">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7E785C2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2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2F" w14:textId="77777777" w:rsidR="00A82082" w:rsidRDefault="00E946F9">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7E785C30" w14:textId="77777777" w:rsidR="00A82082" w:rsidRDefault="00A82082">
            <w:pPr>
              <w:jc w:val="right"/>
              <w:rPr>
                <w:rFonts w:ascii="宋体"/>
              </w:rPr>
            </w:pPr>
          </w:p>
        </w:tc>
        <w:tc>
          <w:tcPr>
            <w:tcW w:w="0" w:type="auto"/>
            <w:gridSpan w:val="3"/>
            <w:shd w:val="clear" w:color="auto" w:fill="auto"/>
          </w:tcPr>
          <w:p w14:paraId="7E785C31" w14:textId="77777777" w:rsidR="00A82082" w:rsidRDefault="00A82082">
            <w:pPr>
              <w:rPr>
                <w:rFonts w:ascii="宋体"/>
                <w:vanish/>
              </w:rPr>
            </w:pPr>
          </w:p>
        </w:tc>
        <w:tc>
          <w:tcPr>
            <w:tcW w:w="0" w:type="auto"/>
            <w:gridSpan w:val="3"/>
            <w:shd w:val="clear" w:color="auto" w:fill="auto"/>
          </w:tcPr>
          <w:p w14:paraId="7E785C32"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33" w14:textId="77777777" w:rsidR="00A82082" w:rsidRDefault="00E946F9">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7E785C34" w14:textId="77777777" w:rsidR="00A82082" w:rsidRDefault="00A82082">
            <w:pPr>
              <w:jc w:val="right"/>
              <w:rPr>
                <w:rFonts w:ascii="宋体"/>
              </w:rPr>
            </w:pPr>
          </w:p>
        </w:tc>
      </w:tr>
    </w:tbl>
    <w:p w14:paraId="7E785C36" w14:textId="77777777" w:rsidR="00A82082" w:rsidRDefault="00E946F9">
      <w:pPr>
        <w:spacing w:before="160"/>
      </w:pPr>
      <w:r>
        <w:rPr>
          <w:rFonts w:ascii="Times New Roman" w:eastAsia="宋体" w:hAnsi="Times New Roman"/>
          <w:color w:val="000000"/>
          <w:sz w:val="20"/>
          <w:szCs w:val="20"/>
        </w:rPr>
        <w:t>Net sales for the Walmart International segment increased $0.4 billion or 1.3% for the three months ended October 31, 2020 when compared to the same periods in the previous fiscal year. The increase was primar</w:t>
      </w:r>
      <w:r>
        <w:rPr>
          <w:rFonts w:ascii="Times New Roman" w:eastAsia="宋体" w:hAnsi="Times New Roman"/>
          <w:color w:val="000000"/>
          <w:sz w:val="20"/>
          <w:szCs w:val="20"/>
        </w:rPr>
        <w:t>ily due to positive comparable sales growth in the majority of our markets driven by changes in consumer behavior in response to the COVID-19 pandemic, which was partially offset by negative fluctuations in currency exchange rates of $1.1 billion.</w:t>
      </w:r>
    </w:p>
    <w:p w14:paraId="7E785C37" w14:textId="77777777" w:rsidR="00A82082" w:rsidRDefault="00E946F9">
      <w:pPr>
        <w:jc w:val="center"/>
      </w:pPr>
      <w:r>
        <w:rPr>
          <w:rFonts w:ascii="Times New Roman" w:eastAsia="宋体" w:hAnsi="Times New Roman"/>
          <w:color w:val="000000"/>
          <w:sz w:val="20"/>
          <w:szCs w:val="20"/>
        </w:rPr>
        <w:t>23</w:t>
      </w:r>
    </w:p>
    <w:p w14:paraId="7E785C38" w14:textId="77777777" w:rsidR="00A82082" w:rsidRDefault="00E946F9">
      <w:r>
        <w:pict w14:anchorId="7E78615F">
          <v:rect id="_x0000_i1047" style="width:415.3pt;height:1.5pt" o:hralign="center" o:hrstd="t" o:hr="t" fillcolor="#a0a0a0" stroked="f"/>
        </w:pict>
      </w:r>
    </w:p>
    <w:p w14:paraId="7E785C39" w14:textId="77777777" w:rsidR="00A82082" w:rsidRDefault="00E946F9">
      <w:hyperlink r:id="rId92" w:anchor="i5c815528a95c4409b9043de534639b9a_7" w:history="1">
        <w:r>
          <w:rPr>
            <w:rStyle w:val="a5"/>
            <w:rFonts w:ascii="Times New Roman" w:eastAsia="宋体" w:hAnsi="Times New Roman"/>
            <w:sz w:val="20"/>
            <w:szCs w:val="20"/>
          </w:rPr>
          <w:t>Table of C</w:t>
        </w:r>
      </w:hyperlink>
      <w:hyperlink r:id="rId93" w:anchor="i5c815528a95c4409b9043de534639b9a_7" w:history="1">
        <w:r>
          <w:rPr>
            <w:rStyle w:val="a5"/>
            <w:rFonts w:ascii="Times New Roman" w:eastAsia="宋体" w:hAnsi="Times New Roman"/>
            <w:sz w:val="20"/>
            <w:szCs w:val="20"/>
          </w:rPr>
          <w:t>ontents</w:t>
        </w:r>
      </w:hyperlink>
    </w:p>
    <w:p w14:paraId="7E785C3A" w14:textId="77777777" w:rsidR="00A82082" w:rsidRDefault="00E946F9">
      <w:pPr>
        <w:spacing w:before="160"/>
      </w:pPr>
      <w:r>
        <w:rPr>
          <w:rFonts w:ascii="Times New Roman" w:eastAsia="宋体" w:hAnsi="Times New Roman"/>
          <w:color w:val="000000"/>
          <w:sz w:val="20"/>
          <w:szCs w:val="20"/>
        </w:rPr>
        <w:t>Net sales for the Walmart International segment decreased $0.6 billion or 0.7% for the nine months ended October 31, 2020 when compared to the same period in the previous fiscal year. The decre</w:t>
      </w:r>
      <w:r>
        <w:rPr>
          <w:rFonts w:ascii="Times New Roman" w:eastAsia="宋体" w:hAnsi="Times New Roman"/>
          <w:color w:val="000000"/>
          <w:sz w:val="20"/>
          <w:szCs w:val="20"/>
        </w:rPr>
        <w:t>ase was primarily due to negative fluctuations in currency exchange rates of $4.8 billion, which was partially offset by positive comparable sales growth in the majority of our markets driven by changes in consumer behavior in response to the COVID-19 pand</w:t>
      </w:r>
      <w:r>
        <w:rPr>
          <w:rFonts w:ascii="Times New Roman" w:eastAsia="宋体" w:hAnsi="Times New Roman"/>
          <w:color w:val="000000"/>
          <w:sz w:val="20"/>
          <w:szCs w:val="20"/>
        </w:rPr>
        <w:t>emic.</w:t>
      </w:r>
    </w:p>
    <w:p w14:paraId="7E785C3B" w14:textId="77777777" w:rsidR="00A82082" w:rsidRDefault="00E946F9">
      <w:pPr>
        <w:spacing w:before="100"/>
      </w:pPr>
      <w:r>
        <w:rPr>
          <w:rFonts w:ascii="Times New Roman" w:eastAsia="宋体" w:hAnsi="Times New Roman"/>
          <w:color w:val="000000"/>
          <w:sz w:val="20"/>
          <w:szCs w:val="20"/>
        </w:rPr>
        <w:t>As a result of the COVID-19 pandemic, we experienced significant economic pressures, and channel and mix shifts due to changes in consumer behavior, including accelerated growth in eCommerce in several markets. While several of our markets experienced exte</w:t>
      </w:r>
      <w:r>
        <w:rPr>
          <w:rFonts w:ascii="Times New Roman" w:eastAsia="宋体" w:hAnsi="Times New Roman"/>
          <w:color w:val="000000"/>
          <w:sz w:val="20"/>
          <w:szCs w:val="20"/>
        </w:rPr>
        <w:t xml:space="preserve">nsive store and operational closures in the second quarter as a result of government mandates, most closed stores and warehouses had resumed operations by the third quarter. </w:t>
      </w:r>
    </w:p>
    <w:p w14:paraId="7E785C3C" w14:textId="77777777" w:rsidR="00A82082" w:rsidRDefault="00E946F9">
      <w:pPr>
        <w:spacing w:before="100"/>
      </w:pPr>
      <w:r>
        <w:rPr>
          <w:rFonts w:ascii="Times New Roman" w:eastAsia="宋体" w:hAnsi="Times New Roman"/>
          <w:color w:val="000000"/>
          <w:sz w:val="20"/>
          <w:szCs w:val="20"/>
        </w:rPr>
        <w:t xml:space="preserve">Gross profit rate increased 90 and 56 basis points for the three and nine months </w:t>
      </w:r>
      <w:r>
        <w:rPr>
          <w:rFonts w:ascii="Times New Roman" w:eastAsia="宋体" w:hAnsi="Times New Roman"/>
          <w:color w:val="000000"/>
          <w:sz w:val="20"/>
          <w:szCs w:val="20"/>
        </w:rPr>
        <w:t xml:space="preserve">ended October 31, 2020, respectively, when compared to the same periods in the previous fiscal year, primarily due to Flipkart's improved margin mix and reduced fuel sales in the U.K. </w:t>
      </w:r>
    </w:p>
    <w:p w14:paraId="7E785C3D" w14:textId="77777777" w:rsidR="00A82082" w:rsidRDefault="00E946F9">
      <w:pPr>
        <w:spacing w:before="100"/>
      </w:pPr>
      <w:r>
        <w:rPr>
          <w:rFonts w:ascii="Times New Roman" w:eastAsia="宋体" w:hAnsi="Times New Roman"/>
          <w:color w:val="000000"/>
          <w:sz w:val="20"/>
          <w:szCs w:val="20"/>
        </w:rPr>
        <w:t>Operating expenses as a percentage of net sales decreased 73 and 8 basi</w:t>
      </w:r>
      <w:r>
        <w:rPr>
          <w:rFonts w:ascii="Times New Roman" w:eastAsia="宋体" w:hAnsi="Times New Roman"/>
          <w:color w:val="000000"/>
          <w:sz w:val="20"/>
          <w:szCs w:val="20"/>
        </w:rPr>
        <w:t>s points for the three and nine months ended October 31, 2020, respectively, when compared to the same periods in the previous fiscal year. The decreases were primarily due to lapping a $0.3 billion non-cash impairment charge in the previous fiscal year as</w:t>
      </w:r>
      <w:r>
        <w:rPr>
          <w:rFonts w:ascii="Times New Roman" w:eastAsia="宋体" w:hAnsi="Times New Roman"/>
          <w:color w:val="000000"/>
          <w:sz w:val="20"/>
          <w:szCs w:val="20"/>
        </w:rPr>
        <w:t xml:space="preserve"> well as the current period impact of a twelve-month property tax abatement in the U.K. and were partially offset by $0.1 billion and $0.4 billion of incremental costs related to the COVID-19 pandemic for the three and nine months ended October 31, 2020, r</w:t>
      </w:r>
      <w:r>
        <w:rPr>
          <w:rFonts w:ascii="Times New Roman" w:eastAsia="宋体" w:hAnsi="Times New Roman"/>
          <w:color w:val="000000"/>
          <w:sz w:val="20"/>
          <w:szCs w:val="20"/>
        </w:rPr>
        <w:t>espectively.</w:t>
      </w:r>
    </w:p>
    <w:p w14:paraId="7E785C3E" w14:textId="77777777" w:rsidR="00A82082" w:rsidRDefault="00E946F9">
      <w:pPr>
        <w:spacing w:before="100"/>
      </w:pPr>
      <w:r>
        <w:rPr>
          <w:rFonts w:ascii="Times New Roman" w:eastAsia="宋体" w:hAnsi="Times New Roman"/>
          <w:color w:val="000000"/>
          <w:sz w:val="20"/>
          <w:szCs w:val="20"/>
        </w:rPr>
        <w:t xml:space="preserve">As a result of the factors discussed above, operating income increased $0.4 billion for both the three and nine months ended October 31, 2020, when compared to the same periods in the previous fiscal year. </w:t>
      </w:r>
    </w:p>
    <w:p w14:paraId="7E785C3F" w14:textId="77777777" w:rsidR="00A82082" w:rsidRDefault="00E946F9">
      <w:pPr>
        <w:spacing w:before="240"/>
      </w:pPr>
      <w:r>
        <w:rPr>
          <w:rFonts w:ascii="Times New Roman" w:eastAsia="宋体" w:hAnsi="Times New Roman"/>
          <w:b/>
          <w:bCs/>
          <w:i/>
          <w:iCs/>
          <w:color w:val="000000"/>
          <w:sz w:val="20"/>
          <w:szCs w:val="20"/>
        </w:rPr>
        <w:t>Sam's Club Segment</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977"/>
        <w:gridCol w:w="37"/>
        <w:gridCol w:w="36"/>
        <w:gridCol w:w="36"/>
        <w:gridCol w:w="36"/>
        <w:gridCol w:w="100"/>
        <w:gridCol w:w="669"/>
        <w:gridCol w:w="154"/>
        <w:gridCol w:w="36"/>
        <w:gridCol w:w="36"/>
        <w:gridCol w:w="36"/>
        <w:gridCol w:w="36"/>
        <w:gridCol w:w="100"/>
        <w:gridCol w:w="669"/>
        <w:gridCol w:w="154"/>
        <w:gridCol w:w="36"/>
        <w:gridCol w:w="36"/>
        <w:gridCol w:w="36"/>
        <w:gridCol w:w="100"/>
        <w:gridCol w:w="671"/>
        <w:gridCol w:w="154"/>
        <w:gridCol w:w="36"/>
        <w:gridCol w:w="36"/>
        <w:gridCol w:w="36"/>
        <w:gridCol w:w="36"/>
        <w:gridCol w:w="36"/>
        <w:gridCol w:w="36"/>
        <w:gridCol w:w="100"/>
        <w:gridCol w:w="671"/>
        <w:gridCol w:w="154"/>
      </w:tblGrid>
      <w:tr w:rsidR="00A82082" w14:paraId="7E785C5D" w14:textId="77777777">
        <w:trPr>
          <w:jc w:val="center"/>
        </w:trPr>
        <w:tc>
          <w:tcPr>
            <w:tcW w:w="50" w:type="pct"/>
            <w:shd w:val="clear" w:color="auto" w:fill="auto"/>
          </w:tcPr>
          <w:p w14:paraId="7E785C40" w14:textId="77777777" w:rsidR="00A82082" w:rsidRDefault="00A82082">
            <w:pPr>
              <w:rPr>
                <w:rFonts w:ascii="宋体"/>
              </w:rPr>
            </w:pPr>
          </w:p>
        </w:tc>
        <w:tc>
          <w:tcPr>
            <w:tcW w:w="2514" w:type="pct"/>
            <w:shd w:val="clear" w:color="auto" w:fill="auto"/>
          </w:tcPr>
          <w:p w14:paraId="7E785C41" w14:textId="77777777" w:rsidR="00A82082" w:rsidRDefault="00A82082">
            <w:pPr>
              <w:rPr>
                <w:rFonts w:ascii="宋体"/>
              </w:rPr>
            </w:pPr>
          </w:p>
        </w:tc>
        <w:tc>
          <w:tcPr>
            <w:tcW w:w="5" w:type="pct"/>
            <w:shd w:val="clear" w:color="auto" w:fill="auto"/>
          </w:tcPr>
          <w:p w14:paraId="7E785C42" w14:textId="77777777" w:rsidR="00A82082" w:rsidRDefault="00A82082">
            <w:pPr>
              <w:rPr>
                <w:rFonts w:ascii="宋体"/>
              </w:rPr>
            </w:pPr>
          </w:p>
        </w:tc>
        <w:tc>
          <w:tcPr>
            <w:tcW w:w="5" w:type="pct"/>
            <w:shd w:val="clear" w:color="auto" w:fill="auto"/>
          </w:tcPr>
          <w:p w14:paraId="7E785C43" w14:textId="77777777" w:rsidR="00A82082" w:rsidRDefault="00A82082">
            <w:pPr>
              <w:rPr>
                <w:rFonts w:ascii="宋体"/>
              </w:rPr>
            </w:pPr>
          </w:p>
        </w:tc>
        <w:tc>
          <w:tcPr>
            <w:tcW w:w="26" w:type="pct"/>
            <w:shd w:val="clear" w:color="auto" w:fill="auto"/>
          </w:tcPr>
          <w:p w14:paraId="7E785C44" w14:textId="77777777" w:rsidR="00A82082" w:rsidRDefault="00A82082">
            <w:pPr>
              <w:rPr>
                <w:rFonts w:ascii="宋体"/>
              </w:rPr>
            </w:pPr>
          </w:p>
        </w:tc>
        <w:tc>
          <w:tcPr>
            <w:tcW w:w="5" w:type="pct"/>
            <w:shd w:val="clear" w:color="auto" w:fill="auto"/>
          </w:tcPr>
          <w:p w14:paraId="7E785C45" w14:textId="77777777" w:rsidR="00A82082" w:rsidRDefault="00A82082">
            <w:pPr>
              <w:rPr>
                <w:rFonts w:ascii="宋体"/>
              </w:rPr>
            </w:pPr>
          </w:p>
        </w:tc>
        <w:tc>
          <w:tcPr>
            <w:tcW w:w="50" w:type="pct"/>
            <w:shd w:val="clear" w:color="auto" w:fill="auto"/>
          </w:tcPr>
          <w:p w14:paraId="7E785C46" w14:textId="77777777" w:rsidR="00A82082" w:rsidRDefault="00A82082">
            <w:pPr>
              <w:rPr>
                <w:rFonts w:ascii="宋体"/>
              </w:rPr>
            </w:pPr>
          </w:p>
        </w:tc>
        <w:tc>
          <w:tcPr>
            <w:tcW w:w="516" w:type="pct"/>
            <w:shd w:val="clear" w:color="auto" w:fill="auto"/>
          </w:tcPr>
          <w:p w14:paraId="7E785C47" w14:textId="77777777" w:rsidR="00A82082" w:rsidRDefault="00A82082">
            <w:pPr>
              <w:rPr>
                <w:rFonts w:ascii="宋体"/>
              </w:rPr>
            </w:pPr>
          </w:p>
        </w:tc>
        <w:tc>
          <w:tcPr>
            <w:tcW w:w="5" w:type="pct"/>
            <w:shd w:val="clear" w:color="auto" w:fill="auto"/>
          </w:tcPr>
          <w:p w14:paraId="7E785C48" w14:textId="77777777" w:rsidR="00A82082" w:rsidRDefault="00A82082">
            <w:pPr>
              <w:rPr>
                <w:rFonts w:ascii="宋体"/>
              </w:rPr>
            </w:pPr>
          </w:p>
        </w:tc>
        <w:tc>
          <w:tcPr>
            <w:tcW w:w="5" w:type="pct"/>
            <w:shd w:val="clear" w:color="auto" w:fill="auto"/>
          </w:tcPr>
          <w:p w14:paraId="7E785C49" w14:textId="77777777" w:rsidR="00A82082" w:rsidRDefault="00A82082">
            <w:pPr>
              <w:rPr>
                <w:rFonts w:ascii="宋体"/>
              </w:rPr>
            </w:pPr>
          </w:p>
        </w:tc>
        <w:tc>
          <w:tcPr>
            <w:tcW w:w="26" w:type="pct"/>
            <w:shd w:val="clear" w:color="auto" w:fill="auto"/>
          </w:tcPr>
          <w:p w14:paraId="7E785C4A" w14:textId="77777777" w:rsidR="00A82082" w:rsidRDefault="00A82082">
            <w:pPr>
              <w:rPr>
                <w:rFonts w:ascii="宋体"/>
              </w:rPr>
            </w:pPr>
          </w:p>
        </w:tc>
        <w:tc>
          <w:tcPr>
            <w:tcW w:w="5" w:type="pct"/>
            <w:shd w:val="clear" w:color="auto" w:fill="auto"/>
          </w:tcPr>
          <w:p w14:paraId="7E785C4B" w14:textId="77777777" w:rsidR="00A82082" w:rsidRDefault="00A82082">
            <w:pPr>
              <w:rPr>
                <w:rFonts w:ascii="宋体"/>
              </w:rPr>
            </w:pPr>
          </w:p>
        </w:tc>
        <w:tc>
          <w:tcPr>
            <w:tcW w:w="0" w:type="auto"/>
            <w:shd w:val="clear" w:color="auto" w:fill="auto"/>
          </w:tcPr>
          <w:p w14:paraId="7E785C4C" w14:textId="77777777" w:rsidR="00A82082" w:rsidRDefault="00A82082">
            <w:pPr>
              <w:rPr>
                <w:rFonts w:ascii="宋体"/>
                <w:vanish/>
              </w:rPr>
            </w:pPr>
          </w:p>
        </w:tc>
        <w:tc>
          <w:tcPr>
            <w:tcW w:w="50" w:type="pct"/>
            <w:shd w:val="clear" w:color="auto" w:fill="auto"/>
          </w:tcPr>
          <w:p w14:paraId="7E785C4D" w14:textId="77777777" w:rsidR="00A82082" w:rsidRDefault="00A82082">
            <w:pPr>
              <w:rPr>
                <w:rFonts w:ascii="宋体"/>
              </w:rPr>
            </w:pPr>
          </w:p>
        </w:tc>
        <w:tc>
          <w:tcPr>
            <w:tcW w:w="516" w:type="pct"/>
            <w:shd w:val="clear" w:color="auto" w:fill="auto"/>
          </w:tcPr>
          <w:p w14:paraId="7E785C4E" w14:textId="77777777" w:rsidR="00A82082" w:rsidRDefault="00A82082">
            <w:pPr>
              <w:rPr>
                <w:rFonts w:ascii="宋体"/>
              </w:rPr>
            </w:pPr>
          </w:p>
        </w:tc>
        <w:tc>
          <w:tcPr>
            <w:tcW w:w="5" w:type="pct"/>
            <w:shd w:val="clear" w:color="auto" w:fill="auto"/>
          </w:tcPr>
          <w:p w14:paraId="7E785C4F" w14:textId="77777777" w:rsidR="00A82082" w:rsidRDefault="00A82082">
            <w:pPr>
              <w:rPr>
                <w:rFonts w:ascii="宋体"/>
              </w:rPr>
            </w:pPr>
          </w:p>
        </w:tc>
        <w:tc>
          <w:tcPr>
            <w:tcW w:w="5" w:type="pct"/>
            <w:shd w:val="clear" w:color="auto" w:fill="auto"/>
          </w:tcPr>
          <w:p w14:paraId="7E785C50" w14:textId="77777777" w:rsidR="00A82082" w:rsidRDefault="00A82082">
            <w:pPr>
              <w:rPr>
                <w:rFonts w:ascii="宋体"/>
              </w:rPr>
            </w:pPr>
          </w:p>
        </w:tc>
        <w:tc>
          <w:tcPr>
            <w:tcW w:w="26" w:type="pct"/>
            <w:shd w:val="clear" w:color="auto" w:fill="auto"/>
          </w:tcPr>
          <w:p w14:paraId="7E785C51" w14:textId="77777777" w:rsidR="00A82082" w:rsidRDefault="00A82082">
            <w:pPr>
              <w:rPr>
                <w:rFonts w:ascii="宋体"/>
              </w:rPr>
            </w:pPr>
          </w:p>
        </w:tc>
        <w:tc>
          <w:tcPr>
            <w:tcW w:w="5" w:type="pct"/>
            <w:shd w:val="clear" w:color="auto" w:fill="auto"/>
          </w:tcPr>
          <w:p w14:paraId="7E785C52" w14:textId="77777777" w:rsidR="00A82082" w:rsidRDefault="00A82082">
            <w:pPr>
              <w:rPr>
                <w:rFonts w:ascii="宋体"/>
              </w:rPr>
            </w:pPr>
          </w:p>
        </w:tc>
        <w:tc>
          <w:tcPr>
            <w:tcW w:w="50" w:type="pct"/>
            <w:shd w:val="clear" w:color="auto" w:fill="auto"/>
          </w:tcPr>
          <w:p w14:paraId="7E785C53" w14:textId="77777777" w:rsidR="00A82082" w:rsidRDefault="00A82082">
            <w:pPr>
              <w:rPr>
                <w:rFonts w:ascii="宋体"/>
              </w:rPr>
            </w:pPr>
          </w:p>
        </w:tc>
        <w:tc>
          <w:tcPr>
            <w:tcW w:w="516" w:type="pct"/>
            <w:shd w:val="clear" w:color="auto" w:fill="auto"/>
          </w:tcPr>
          <w:p w14:paraId="7E785C54" w14:textId="77777777" w:rsidR="00A82082" w:rsidRDefault="00A82082">
            <w:pPr>
              <w:rPr>
                <w:rFonts w:ascii="宋体"/>
              </w:rPr>
            </w:pPr>
          </w:p>
        </w:tc>
        <w:tc>
          <w:tcPr>
            <w:tcW w:w="5" w:type="pct"/>
            <w:shd w:val="clear" w:color="auto" w:fill="auto"/>
          </w:tcPr>
          <w:p w14:paraId="7E785C55" w14:textId="77777777" w:rsidR="00A82082" w:rsidRDefault="00A82082">
            <w:pPr>
              <w:rPr>
                <w:rFonts w:ascii="宋体"/>
              </w:rPr>
            </w:pPr>
          </w:p>
        </w:tc>
        <w:tc>
          <w:tcPr>
            <w:tcW w:w="5" w:type="pct"/>
            <w:shd w:val="clear" w:color="auto" w:fill="auto"/>
          </w:tcPr>
          <w:p w14:paraId="7E785C56" w14:textId="77777777" w:rsidR="00A82082" w:rsidRDefault="00A82082">
            <w:pPr>
              <w:rPr>
                <w:rFonts w:ascii="宋体"/>
              </w:rPr>
            </w:pPr>
          </w:p>
        </w:tc>
        <w:tc>
          <w:tcPr>
            <w:tcW w:w="26" w:type="pct"/>
            <w:shd w:val="clear" w:color="auto" w:fill="auto"/>
          </w:tcPr>
          <w:p w14:paraId="7E785C57" w14:textId="77777777" w:rsidR="00A82082" w:rsidRDefault="00A82082">
            <w:pPr>
              <w:rPr>
                <w:rFonts w:ascii="宋体"/>
              </w:rPr>
            </w:pPr>
          </w:p>
        </w:tc>
        <w:tc>
          <w:tcPr>
            <w:tcW w:w="5" w:type="pct"/>
            <w:shd w:val="clear" w:color="auto" w:fill="auto"/>
          </w:tcPr>
          <w:p w14:paraId="7E785C58" w14:textId="77777777" w:rsidR="00A82082" w:rsidRDefault="00A82082">
            <w:pPr>
              <w:rPr>
                <w:rFonts w:ascii="宋体"/>
              </w:rPr>
            </w:pPr>
          </w:p>
        </w:tc>
        <w:tc>
          <w:tcPr>
            <w:tcW w:w="0" w:type="auto"/>
            <w:gridSpan w:val="3"/>
            <w:shd w:val="clear" w:color="auto" w:fill="auto"/>
          </w:tcPr>
          <w:p w14:paraId="7E785C59" w14:textId="77777777" w:rsidR="00A82082" w:rsidRDefault="00A82082">
            <w:pPr>
              <w:rPr>
                <w:rFonts w:ascii="宋体"/>
                <w:vanish/>
              </w:rPr>
            </w:pPr>
          </w:p>
        </w:tc>
        <w:tc>
          <w:tcPr>
            <w:tcW w:w="50" w:type="pct"/>
            <w:shd w:val="clear" w:color="auto" w:fill="auto"/>
          </w:tcPr>
          <w:p w14:paraId="7E785C5A" w14:textId="77777777" w:rsidR="00A82082" w:rsidRDefault="00A82082">
            <w:pPr>
              <w:rPr>
                <w:rFonts w:ascii="宋体"/>
              </w:rPr>
            </w:pPr>
          </w:p>
        </w:tc>
        <w:tc>
          <w:tcPr>
            <w:tcW w:w="516" w:type="pct"/>
            <w:shd w:val="clear" w:color="auto" w:fill="auto"/>
          </w:tcPr>
          <w:p w14:paraId="7E785C5B" w14:textId="77777777" w:rsidR="00A82082" w:rsidRDefault="00A82082">
            <w:pPr>
              <w:rPr>
                <w:rFonts w:ascii="宋体"/>
              </w:rPr>
            </w:pPr>
          </w:p>
        </w:tc>
        <w:tc>
          <w:tcPr>
            <w:tcW w:w="5" w:type="pct"/>
            <w:shd w:val="clear" w:color="auto" w:fill="auto"/>
          </w:tcPr>
          <w:p w14:paraId="7E785C5C" w14:textId="77777777" w:rsidR="00A82082" w:rsidRDefault="00A82082">
            <w:pPr>
              <w:rPr>
                <w:rFonts w:ascii="宋体"/>
              </w:rPr>
            </w:pPr>
          </w:p>
        </w:tc>
      </w:tr>
      <w:tr w:rsidR="00A82082" w14:paraId="7E785C69" w14:textId="77777777">
        <w:trPr>
          <w:jc w:val="center"/>
        </w:trPr>
        <w:tc>
          <w:tcPr>
            <w:tcW w:w="0" w:type="auto"/>
            <w:gridSpan w:val="3"/>
            <w:shd w:val="clear" w:color="auto" w:fill="auto"/>
            <w:tcMar>
              <w:top w:w="40" w:type="dxa"/>
              <w:left w:w="20" w:type="dxa"/>
              <w:bottom w:w="40" w:type="dxa"/>
              <w:right w:w="20" w:type="dxa"/>
            </w:tcMar>
            <w:vAlign w:val="bottom"/>
          </w:tcPr>
          <w:p w14:paraId="7E785C5E"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C5F" w14:textId="77777777" w:rsidR="00A82082" w:rsidRDefault="00A82082">
            <w:pPr>
              <w:rPr>
                <w:rFonts w:ascii="宋体"/>
              </w:rPr>
            </w:pPr>
          </w:p>
        </w:tc>
        <w:tc>
          <w:tcPr>
            <w:tcW w:w="0" w:type="auto"/>
            <w:gridSpan w:val="7"/>
            <w:shd w:val="clear" w:color="auto" w:fill="auto"/>
            <w:tcMar>
              <w:top w:w="40" w:type="dxa"/>
              <w:left w:w="20" w:type="dxa"/>
              <w:bottom w:w="40" w:type="dxa"/>
              <w:right w:w="20" w:type="dxa"/>
            </w:tcMar>
            <w:vAlign w:val="center"/>
          </w:tcPr>
          <w:p w14:paraId="7E785C60" w14:textId="77777777" w:rsidR="00A82082" w:rsidRDefault="00E946F9">
            <w:pPr>
              <w:jc w:val="center"/>
              <w:textAlignment w:val="center"/>
            </w:pPr>
            <w:r>
              <w:rPr>
                <w:rFonts w:ascii="Times New Roman" w:eastAsia="宋体" w:hAnsi="Times New Roman"/>
                <w:b/>
                <w:bCs/>
                <w:color w:val="000000"/>
                <w:sz w:val="16"/>
                <w:szCs w:val="16"/>
              </w:rPr>
              <w:t>Three Months Ended October 31,</w:t>
            </w:r>
          </w:p>
        </w:tc>
        <w:tc>
          <w:tcPr>
            <w:tcW w:w="0" w:type="auto"/>
            <w:gridSpan w:val="3"/>
            <w:shd w:val="clear" w:color="auto" w:fill="auto"/>
            <w:tcMar>
              <w:top w:w="0" w:type="dxa"/>
              <w:left w:w="20" w:type="dxa"/>
              <w:bottom w:w="0" w:type="dxa"/>
              <w:right w:w="20" w:type="dxa"/>
            </w:tcMar>
          </w:tcPr>
          <w:p w14:paraId="7E785C61" w14:textId="77777777" w:rsidR="00A82082" w:rsidRDefault="00A82082">
            <w:pPr>
              <w:rPr>
                <w:rFonts w:ascii="宋体"/>
              </w:rPr>
            </w:pPr>
          </w:p>
        </w:tc>
        <w:tc>
          <w:tcPr>
            <w:tcW w:w="0" w:type="auto"/>
            <w:gridSpan w:val="9"/>
            <w:shd w:val="clear" w:color="auto" w:fill="auto"/>
            <w:tcMar>
              <w:top w:w="40" w:type="dxa"/>
              <w:left w:w="20" w:type="dxa"/>
              <w:bottom w:w="40" w:type="dxa"/>
              <w:right w:w="20" w:type="dxa"/>
            </w:tcMar>
            <w:vAlign w:val="center"/>
          </w:tcPr>
          <w:p w14:paraId="7E785C62" w14:textId="77777777" w:rsidR="00A82082" w:rsidRDefault="00E946F9">
            <w:pPr>
              <w:jc w:val="center"/>
              <w:textAlignment w:val="center"/>
            </w:pPr>
            <w:r>
              <w:rPr>
                <w:rFonts w:ascii="Times New Roman" w:eastAsia="宋体" w:hAnsi="Times New Roman"/>
                <w:b/>
                <w:bCs/>
                <w:color w:val="000000"/>
                <w:sz w:val="16"/>
                <w:szCs w:val="16"/>
              </w:rPr>
              <w:t>Nine Months Ended October 31,</w:t>
            </w:r>
          </w:p>
        </w:tc>
        <w:tc>
          <w:tcPr>
            <w:tcW w:w="0" w:type="auto"/>
            <w:shd w:val="clear" w:color="auto" w:fill="auto"/>
          </w:tcPr>
          <w:p w14:paraId="7E785C63" w14:textId="77777777" w:rsidR="00A82082" w:rsidRDefault="00A82082">
            <w:pPr>
              <w:rPr>
                <w:rFonts w:ascii="宋体"/>
              </w:rPr>
            </w:pPr>
          </w:p>
        </w:tc>
        <w:tc>
          <w:tcPr>
            <w:tcW w:w="0" w:type="auto"/>
            <w:shd w:val="clear" w:color="auto" w:fill="auto"/>
          </w:tcPr>
          <w:p w14:paraId="7E785C64" w14:textId="77777777" w:rsidR="00A82082" w:rsidRDefault="00A82082">
            <w:pPr>
              <w:rPr>
                <w:rFonts w:ascii="宋体"/>
              </w:rPr>
            </w:pPr>
          </w:p>
        </w:tc>
        <w:tc>
          <w:tcPr>
            <w:tcW w:w="0" w:type="auto"/>
            <w:shd w:val="clear" w:color="auto" w:fill="auto"/>
          </w:tcPr>
          <w:p w14:paraId="7E785C65" w14:textId="77777777" w:rsidR="00A82082" w:rsidRDefault="00A82082">
            <w:pPr>
              <w:rPr>
                <w:rFonts w:ascii="宋体"/>
              </w:rPr>
            </w:pPr>
          </w:p>
        </w:tc>
        <w:tc>
          <w:tcPr>
            <w:tcW w:w="0" w:type="auto"/>
            <w:shd w:val="clear" w:color="auto" w:fill="auto"/>
          </w:tcPr>
          <w:p w14:paraId="7E785C66" w14:textId="77777777" w:rsidR="00A82082" w:rsidRDefault="00A82082">
            <w:pPr>
              <w:rPr>
                <w:rFonts w:ascii="宋体"/>
              </w:rPr>
            </w:pPr>
          </w:p>
        </w:tc>
        <w:tc>
          <w:tcPr>
            <w:tcW w:w="0" w:type="auto"/>
            <w:shd w:val="clear" w:color="auto" w:fill="auto"/>
          </w:tcPr>
          <w:p w14:paraId="7E785C67" w14:textId="77777777" w:rsidR="00A82082" w:rsidRDefault="00A82082">
            <w:pPr>
              <w:rPr>
                <w:rFonts w:ascii="宋体"/>
              </w:rPr>
            </w:pPr>
          </w:p>
        </w:tc>
        <w:tc>
          <w:tcPr>
            <w:tcW w:w="0" w:type="auto"/>
            <w:shd w:val="clear" w:color="auto" w:fill="auto"/>
          </w:tcPr>
          <w:p w14:paraId="7E785C68" w14:textId="77777777" w:rsidR="00A82082" w:rsidRDefault="00A82082">
            <w:pPr>
              <w:rPr>
                <w:rFonts w:ascii="宋体"/>
              </w:rPr>
            </w:pPr>
          </w:p>
        </w:tc>
      </w:tr>
      <w:tr w:rsidR="00A82082" w14:paraId="7E785C75" w14:textId="77777777">
        <w:trPr>
          <w:jc w:val="center"/>
        </w:trPr>
        <w:tc>
          <w:tcPr>
            <w:tcW w:w="0" w:type="auto"/>
            <w:gridSpan w:val="3"/>
            <w:shd w:val="clear" w:color="auto" w:fill="auto"/>
            <w:tcMar>
              <w:top w:w="40" w:type="dxa"/>
              <w:left w:w="20" w:type="dxa"/>
              <w:bottom w:w="40" w:type="dxa"/>
              <w:right w:w="20" w:type="dxa"/>
            </w:tcMar>
            <w:vAlign w:val="bottom"/>
          </w:tcPr>
          <w:p w14:paraId="7E785C6A" w14:textId="77777777" w:rsidR="00A82082" w:rsidRDefault="00E946F9">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7E785C6B"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C6C"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C6D" w14:textId="77777777" w:rsidR="00A82082" w:rsidRDefault="00A82082">
            <w:pPr>
              <w:rPr>
                <w:rFonts w:ascii="宋体"/>
              </w:rPr>
            </w:pPr>
          </w:p>
        </w:tc>
        <w:tc>
          <w:tcPr>
            <w:tcW w:w="0" w:type="auto"/>
            <w:shd w:val="clear" w:color="auto" w:fill="auto"/>
          </w:tcPr>
          <w:p w14:paraId="7E785C6E"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C6F" w14:textId="77777777" w:rsidR="00A82082" w:rsidRDefault="00E946F9">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tcPr>
          <w:p w14:paraId="7E785C7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C71"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C72" w14:textId="77777777" w:rsidR="00A82082" w:rsidRDefault="00A82082">
            <w:pPr>
              <w:rPr>
                <w:rFonts w:ascii="宋体"/>
              </w:rPr>
            </w:pPr>
          </w:p>
        </w:tc>
        <w:tc>
          <w:tcPr>
            <w:tcW w:w="0" w:type="auto"/>
            <w:gridSpan w:val="3"/>
            <w:shd w:val="clear" w:color="auto" w:fill="auto"/>
          </w:tcPr>
          <w:p w14:paraId="7E785C73"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C74"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C81" w14:textId="77777777">
        <w:trPr>
          <w:jc w:val="center"/>
        </w:trPr>
        <w:tc>
          <w:tcPr>
            <w:tcW w:w="0" w:type="auto"/>
            <w:gridSpan w:val="3"/>
            <w:shd w:val="clear" w:color="auto" w:fill="auto"/>
            <w:tcMar>
              <w:top w:w="40" w:type="dxa"/>
              <w:left w:w="20" w:type="dxa"/>
              <w:bottom w:w="40" w:type="dxa"/>
              <w:right w:w="20" w:type="dxa"/>
            </w:tcMar>
            <w:vAlign w:val="center"/>
          </w:tcPr>
          <w:p w14:paraId="7E785C76" w14:textId="77777777" w:rsidR="00A82082" w:rsidRDefault="00E946F9">
            <w:pPr>
              <w:textAlignment w:val="center"/>
            </w:pPr>
            <w:r>
              <w:rPr>
                <w:rFonts w:ascii="Times New Roman" w:eastAsia="宋体" w:hAnsi="Times New Roman"/>
                <w:b/>
                <w:bCs/>
                <w:i/>
                <w:iCs/>
                <w:color w:val="000000"/>
                <w:sz w:val="16"/>
                <w:szCs w:val="16"/>
              </w:rPr>
              <w:t>Including F</w:t>
            </w:r>
            <w:r>
              <w:rPr>
                <w:rFonts w:ascii="Times New Roman" w:eastAsia="宋体" w:hAnsi="Times New Roman"/>
                <w:b/>
                <w:bCs/>
                <w:i/>
                <w:iCs/>
                <w:color w:val="000000"/>
                <w:sz w:val="16"/>
                <w:szCs w:val="16"/>
              </w:rPr>
              <w:t>uel</w:t>
            </w:r>
          </w:p>
        </w:tc>
        <w:tc>
          <w:tcPr>
            <w:tcW w:w="0" w:type="auto"/>
            <w:gridSpan w:val="3"/>
            <w:shd w:val="clear" w:color="auto" w:fill="auto"/>
            <w:tcMar>
              <w:top w:w="0" w:type="dxa"/>
              <w:left w:w="20" w:type="dxa"/>
              <w:bottom w:w="0" w:type="dxa"/>
              <w:right w:w="20" w:type="dxa"/>
            </w:tcMar>
          </w:tcPr>
          <w:p w14:paraId="7E785C77"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C78"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C79" w14:textId="77777777" w:rsidR="00A82082" w:rsidRDefault="00A82082">
            <w:pPr>
              <w:rPr>
                <w:rFonts w:ascii="宋体"/>
              </w:rPr>
            </w:pPr>
          </w:p>
        </w:tc>
        <w:tc>
          <w:tcPr>
            <w:tcW w:w="0" w:type="auto"/>
            <w:shd w:val="clear" w:color="auto" w:fill="auto"/>
          </w:tcPr>
          <w:p w14:paraId="7E785C7A" w14:textId="77777777" w:rsidR="00A82082" w:rsidRDefault="00A8208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C7B"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C7C" w14:textId="77777777" w:rsidR="00A82082" w:rsidRDefault="00A8208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C7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5C7E" w14:textId="77777777" w:rsidR="00A82082" w:rsidRDefault="00A82082">
            <w:pPr>
              <w:rPr>
                <w:rFonts w:ascii="宋体"/>
              </w:rPr>
            </w:pPr>
          </w:p>
        </w:tc>
        <w:tc>
          <w:tcPr>
            <w:tcW w:w="0" w:type="auto"/>
            <w:gridSpan w:val="3"/>
            <w:shd w:val="clear" w:color="auto" w:fill="auto"/>
          </w:tcPr>
          <w:p w14:paraId="7E785C7F" w14:textId="77777777" w:rsidR="00A82082" w:rsidRDefault="00A8208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7E785C80" w14:textId="77777777" w:rsidR="00A82082" w:rsidRDefault="00A82082">
            <w:pPr>
              <w:rPr>
                <w:rFonts w:ascii="宋体"/>
              </w:rPr>
            </w:pPr>
          </w:p>
        </w:tc>
      </w:tr>
      <w:tr w:rsidR="00A82082" w14:paraId="7E785C95" w14:textId="77777777">
        <w:trPr>
          <w:jc w:val="center"/>
        </w:trPr>
        <w:tc>
          <w:tcPr>
            <w:tcW w:w="0" w:type="auto"/>
            <w:gridSpan w:val="3"/>
            <w:shd w:val="clear" w:color="auto" w:fill="CCEEFF"/>
            <w:tcMar>
              <w:top w:w="40" w:type="dxa"/>
              <w:left w:w="245" w:type="dxa"/>
              <w:bottom w:w="40" w:type="dxa"/>
              <w:right w:w="20" w:type="dxa"/>
            </w:tcMar>
            <w:vAlign w:val="center"/>
          </w:tcPr>
          <w:p w14:paraId="7E785C82"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7E785C83"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C8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C85" w14:textId="77777777" w:rsidR="00A82082" w:rsidRDefault="00E946F9">
            <w:pPr>
              <w:jc w:val="right"/>
              <w:textAlignment w:val="center"/>
            </w:pPr>
            <w:r>
              <w:rPr>
                <w:rFonts w:ascii="Times New Roman" w:eastAsia="宋体" w:hAnsi="Times New Roman"/>
                <w:color w:val="000000"/>
                <w:sz w:val="16"/>
                <w:szCs w:val="16"/>
              </w:rPr>
              <w:t>15,845 </w:t>
            </w:r>
          </w:p>
        </w:tc>
        <w:tc>
          <w:tcPr>
            <w:tcW w:w="0" w:type="auto"/>
            <w:shd w:val="clear" w:color="auto" w:fill="CCEEFF"/>
            <w:tcMar>
              <w:top w:w="40" w:type="dxa"/>
              <w:left w:w="0" w:type="dxa"/>
              <w:bottom w:w="40" w:type="dxa"/>
              <w:right w:w="20" w:type="dxa"/>
            </w:tcMar>
            <w:vAlign w:val="center"/>
          </w:tcPr>
          <w:p w14:paraId="7E785C86"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87" w14:textId="77777777" w:rsidR="00A82082" w:rsidRDefault="00A82082">
            <w:pPr>
              <w:rPr>
                <w:rFonts w:ascii="宋体"/>
              </w:rPr>
            </w:pPr>
          </w:p>
        </w:tc>
        <w:tc>
          <w:tcPr>
            <w:tcW w:w="0" w:type="auto"/>
            <w:shd w:val="clear" w:color="auto" w:fill="auto"/>
          </w:tcPr>
          <w:p w14:paraId="7E785C88"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C8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C8A" w14:textId="77777777" w:rsidR="00A82082" w:rsidRDefault="00E946F9">
            <w:pPr>
              <w:jc w:val="right"/>
              <w:textAlignment w:val="center"/>
            </w:pPr>
            <w:r>
              <w:rPr>
                <w:rFonts w:ascii="Times New Roman" w:eastAsia="宋体" w:hAnsi="Times New Roman"/>
                <w:color w:val="000000"/>
                <w:sz w:val="16"/>
                <w:szCs w:val="16"/>
              </w:rPr>
              <w:t>14,625 </w:t>
            </w:r>
          </w:p>
        </w:tc>
        <w:tc>
          <w:tcPr>
            <w:tcW w:w="0" w:type="auto"/>
            <w:shd w:val="clear" w:color="auto" w:fill="CCEEFF"/>
            <w:tcMar>
              <w:top w:w="40" w:type="dxa"/>
              <w:left w:w="0" w:type="dxa"/>
              <w:bottom w:w="40" w:type="dxa"/>
              <w:right w:w="20" w:type="dxa"/>
            </w:tcMar>
            <w:vAlign w:val="center"/>
          </w:tcPr>
          <w:p w14:paraId="7E785C8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8C"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C8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C8E" w14:textId="77777777" w:rsidR="00A82082" w:rsidRDefault="00E946F9">
            <w:pPr>
              <w:jc w:val="right"/>
              <w:textAlignment w:val="center"/>
            </w:pPr>
            <w:r>
              <w:rPr>
                <w:rFonts w:ascii="Times New Roman" w:eastAsia="宋体" w:hAnsi="Times New Roman"/>
                <w:color w:val="000000"/>
                <w:sz w:val="16"/>
                <w:szCs w:val="16"/>
              </w:rPr>
              <w:t>47,383 </w:t>
            </w:r>
          </w:p>
        </w:tc>
        <w:tc>
          <w:tcPr>
            <w:tcW w:w="0" w:type="auto"/>
            <w:shd w:val="clear" w:color="auto" w:fill="CCEEFF"/>
            <w:tcMar>
              <w:top w:w="40" w:type="dxa"/>
              <w:left w:w="0" w:type="dxa"/>
              <w:bottom w:w="40" w:type="dxa"/>
              <w:right w:w="20" w:type="dxa"/>
            </w:tcMar>
            <w:vAlign w:val="center"/>
          </w:tcPr>
          <w:p w14:paraId="7E785C8F"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90" w14:textId="77777777" w:rsidR="00A82082" w:rsidRDefault="00A82082">
            <w:pPr>
              <w:rPr>
                <w:rFonts w:ascii="宋体"/>
              </w:rPr>
            </w:pPr>
          </w:p>
        </w:tc>
        <w:tc>
          <w:tcPr>
            <w:tcW w:w="0" w:type="auto"/>
            <w:gridSpan w:val="3"/>
            <w:shd w:val="clear" w:color="auto" w:fill="auto"/>
          </w:tcPr>
          <w:p w14:paraId="7E785C91"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C92"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C93" w14:textId="77777777" w:rsidR="00A82082" w:rsidRDefault="00E946F9">
            <w:pPr>
              <w:jc w:val="right"/>
              <w:textAlignment w:val="center"/>
            </w:pPr>
            <w:r>
              <w:rPr>
                <w:rFonts w:ascii="Times New Roman" w:eastAsia="宋体" w:hAnsi="Times New Roman"/>
                <w:color w:val="000000"/>
                <w:sz w:val="16"/>
                <w:szCs w:val="16"/>
              </w:rPr>
              <w:t>43,504 </w:t>
            </w:r>
          </w:p>
        </w:tc>
        <w:tc>
          <w:tcPr>
            <w:tcW w:w="0" w:type="auto"/>
            <w:shd w:val="clear" w:color="auto" w:fill="CCEEFF"/>
            <w:tcMar>
              <w:top w:w="40" w:type="dxa"/>
              <w:left w:w="0" w:type="dxa"/>
              <w:bottom w:w="40" w:type="dxa"/>
              <w:right w:w="20" w:type="dxa"/>
            </w:tcMar>
            <w:vAlign w:val="center"/>
          </w:tcPr>
          <w:p w14:paraId="7E785C94" w14:textId="77777777" w:rsidR="00A82082" w:rsidRDefault="00A82082">
            <w:pPr>
              <w:jc w:val="right"/>
              <w:rPr>
                <w:rFonts w:ascii="宋体"/>
              </w:rPr>
            </w:pPr>
          </w:p>
        </w:tc>
      </w:tr>
      <w:tr w:rsidR="00A82082" w14:paraId="7E785CA5" w14:textId="77777777">
        <w:trPr>
          <w:jc w:val="center"/>
        </w:trPr>
        <w:tc>
          <w:tcPr>
            <w:tcW w:w="0" w:type="auto"/>
            <w:gridSpan w:val="3"/>
            <w:shd w:val="clear" w:color="auto" w:fill="FFFFFF"/>
            <w:tcMar>
              <w:top w:w="40" w:type="dxa"/>
              <w:left w:w="245" w:type="dxa"/>
              <w:bottom w:w="40" w:type="dxa"/>
              <w:right w:w="20" w:type="dxa"/>
            </w:tcMar>
            <w:vAlign w:val="center"/>
          </w:tcPr>
          <w:p w14:paraId="7E785C96"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7E785C9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98" w14:textId="77777777" w:rsidR="00A82082" w:rsidRDefault="00E946F9">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7E785C99"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C9A" w14:textId="77777777" w:rsidR="00A82082" w:rsidRDefault="00A82082">
            <w:pPr>
              <w:rPr>
                <w:rFonts w:ascii="宋体"/>
              </w:rPr>
            </w:pPr>
          </w:p>
        </w:tc>
        <w:tc>
          <w:tcPr>
            <w:tcW w:w="0" w:type="auto"/>
            <w:shd w:val="clear" w:color="auto" w:fill="auto"/>
          </w:tcPr>
          <w:p w14:paraId="7E785C9B"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9C" w14:textId="77777777" w:rsidR="00A82082" w:rsidRDefault="00E946F9">
            <w:pPr>
              <w:jc w:val="right"/>
              <w:textAlignment w:val="center"/>
            </w:pPr>
            <w:r>
              <w:rPr>
                <w:rFonts w:ascii="Times New Roman" w:eastAsia="宋体" w:hAnsi="Times New Roman"/>
                <w:color w:val="000000"/>
                <w:sz w:val="16"/>
                <w:szCs w:val="16"/>
              </w:rPr>
              <w:t>0.7 </w:t>
            </w:r>
          </w:p>
        </w:tc>
        <w:tc>
          <w:tcPr>
            <w:tcW w:w="0" w:type="auto"/>
            <w:shd w:val="clear" w:color="auto" w:fill="FFFFFF"/>
            <w:tcMar>
              <w:top w:w="40" w:type="dxa"/>
              <w:left w:w="0" w:type="dxa"/>
              <w:bottom w:w="40" w:type="dxa"/>
              <w:right w:w="20" w:type="dxa"/>
            </w:tcMar>
            <w:vAlign w:val="center"/>
          </w:tcPr>
          <w:p w14:paraId="7E785C9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C9E"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9F" w14:textId="77777777" w:rsidR="00A82082" w:rsidRDefault="00E946F9">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7E785CA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7E785CA1" w14:textId="77777777" w:rsidR="00A82082" w:rsidRDefault="00A82082">
            <w:pPr>
              <w:rPr>
                <w:rFonts w:ascii="宋体"/>
              </w:rPr>
            </w:pPr>
          </w:p>
        </w:tc>
        <w:tc>
          <w:tcPr>
            <w:tcW w:w="0" w:type="auto"/>
            <w:gridSpan w:val="3"/>
            <w:shd w:val="clear" w:color="auto" w:fill="auto"/>
          </w:tcPr>
          <w:p w14:paraId="7E785CA2"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A3"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7E785CA4"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CB5" w14:textId="77777777">
        <w:trPr>
          <w:jc w:val="center"/>
        </w:trPr>
        <w:tc>
          <w:tcPr>
            <w:tcW w:w="0" w:type="auto"/>
            <w:gridSpan w:val="3"/>
            <w:shd w:val="clear" w:color="auto" w:fill="CCEEFF"/>
            <w:tcMar>
              <w:top w:w="40" w:type="dxa"/>
              <w:left w:w="245" w:type="dxa"/>
              <w:bottom w:w="40" w:type="dxa"/>
              <w:right w:w="20" w:type="dxa"/>
            </w:tcMar>
            <w:vAlign w:val="center"/>
          </w:tcPr>
          <w:p w14:paraId="7E785CA6" w14:textId="77777777" w:rsidR="00A82082" w:rsidRDefault="00E946F9">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7E785CA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A8" w14:textId="77777777" w:rsidR="00A82082" w:rsidRDefault="00E946F9">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7E785CA9"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AA" w14:textId="77777777" w:rsidR="00A82082" w:rsidRDefault="00A82082">
            <w:pPr>
              <w:rPr>
                <w:rFonts w:ascii="宋体"/>
              </w:rPr>
            </w:pPr>
          </w:p>
        </w:tc>
        <w:tc>
          <w:tcPr>
            <w:tcW w:w="0" w:type="auto"/>
            <w:shd w:val="clear" w:color="auto" w:fill="auto"/>
          </w:tcPr>
          <w:p w14:paraId="7E785CAB"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AC" w14:textId="77777777" w:rsidR="00A82082" w:rsidRDefault="00E946F9">
            <w:pPr>
              <w:jc w:val="right"/>
              <w:textAlignment w:val="center"/>
            </w:pPr>
            <w:r>
              <w:rPr>
                <w:rFonts w:ascii="Times New Roman" w:eastAsia="宋体" w:hAnsi="Times New Roman"/>
                <w:color w:val="000000"/>
                <w:sz w:val="16"/>
                <w:szCs w:val="16"/>
              </w:rPr>
              <w:t>0.6 </w:t>
            </w:r>
          </w:p>
        </w:tc>
        <w:tc>
          <w:tcPr>
            <w:tcW w:w="0" w:type="auto"/>
            <w:shd w:val="clear" w:color="auto" w:fill="CCEEFF"/>
            <w:tcMar>
              <w:top w:w="40" w:type="dxa"/>
              <w:left w:w="0" w:type="dxa"/>
              <w:bottom w:w="40" w:type="dxa"/>
              <w:right w:w="20" w:type="dxa"/>
            </w:tcMar>
            <w:vAlign w:val="center"/>
          </w:tcPr>
          <w:p w14:paraId="7E785CA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A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AF" w14:textId="77777777" w:rsidR="00A82082" w:rsidRDefault="00E946F9">
            <w:pPr>
              <w:jc w:val="right"/>
              <w:textAlignment w:val="center"/>
            </w:pPr>
            <w:r>
              <w:rPr>
                <w:rFonts w:ascii="Times New Roman" w:eastAsia="宋体" w:hAnsi="Times New Roman"/>
                <w:color w:val="000000"/>
                <w:sz w:val="16"/>
                <w:szCs w:val="16"/>
              </w:rPr>
              <w:t>8.9 </w:t>
            </w:r>
          </w:p>
        </w:tc>
        <w:tc>
          <w:tcPr>
            <w:tcW w:w="0" w:type="auto"/>
            <w:shd w:val="clear" w:color="auto" w:fill="CCEEFF"/>
            <w:tcMar>
              <w:top w:w="40" w:type="dxa"/>
              <w:left w:w="0" w:type="dxa"/>
              <w:bottom w:w="40" w:type="dxa"/>
              <w:right w:w="20" w:type="dxa"/>
            </w:tcMar>
            <w:vAlign w:val="center"/>
          </w:tcPr>
          <w:p w14:paraId="7E785CB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B1" w14:textId="77777777" w:rsidR="00A82082" w:rsidRDefault="00A82082">
            <w:pPr>
              <w:rPr>
                <w:rFonts w:ascii="宋体"/>
              </w:rPr>
            </w:pPr>
          </w:p>
        </w:tc>
        <w:tc>
          <w:tcPr>
            <w:tcW w:w="0" w:type="auto"/>
            <w:gridSpan w:val="3"/>
            <w:shd w:val="clear" w:color="auto" w:fill="auto"/>
          </w:tcPr>
          <w:p w14:paraId="7E785CB2"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B3" w14:textId="77777777" w:rsidR="00A82082" w:rsidRDefault="00E946F9">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7E785CB4"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CC9" w14:textId="77777777">
        <w:trPr>
          <w:jc w:val="center"/>
        </w:trPr>
        <w:tc>
          <w:tcPr>
            <w:tcW w:w="0" w:type="auto"/>
            <w:gridSpan w:val="3"/>
            <w:shd w:val="clear" w:color="auto" w:fill="FFFFFF"/>
            <w:tcMar>
              <w:top w:w="40" w:type="dxa"/>
              <w:left w:w="245" w:type="dxa"/>
              <w:bottom w:w="40" w:type="dxa"/>
              <w:right w:w="20" w:type="dxa"/>
            </w:tcMar>
            <w:vAlign w:val="center"/>
          </w:tcPr>
          <w:p w14:paraId="7E785CB6"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7E785CB7"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CB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CB9" w14:textId="77777777" w:rsidR="00A82082" w:rsidRDefault="00E946F9">
            <w:pPr>
              <w:jc w:val="right"/>
              <w:textAlignment w:val="center"/>
            </w:pPr>
            <w:r>
              <w:rPr>
                <w:rFonts w:ascii="Times New Roman" w:eastAsia="宋体" w:hAnsi="Times New Roman"/>
                <w:color w:val="000000"/>
                <w:sz w:val="16"/>
                <w:szCs w:val="16"/>
              </w:rPr>
              <w:t>431 </w:t>
            </w:r>
          </w:p>
        </w:tc>
        <w:tc>
          <w:tcPr>
            <w:tcW w:w="0" w:type="auto"/>
            <w:shd w:val="clear" w:color="auto" w:fill="FFFFFF"/>
            <w:tcMar>
              <w:top w:w="40" w:type="dxa"/>
              <w:left w:w="0" w:type="dxa"/>
              <w:bottom w:w="40" w:type="dxa"/>
              <w:right w:w="20" w:type="dxa"/>
            </w:tcMar>
            <w:vAlign w:val="center"/>
          </w:tcPr>
          <w:p w14:paraId="7E785CB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BB" w14:textId="77777777" w:rsidR="00A82082" w:rsidRDefault="00A82082">
            <w:pPr>
              <w:rPr>
                <w:rFonts w:ascii="宋体"/>
              </w:rPr>
            </w:pPr>
          </w:p>
        </w:tc>
        <w:tc>
          <w:tcPr>
            <w:tcW w:w="0" w:type="auto"/>
            <w:shd w:val="clear" w:color="auto" w:fill="auto"/>
          </w:tcPr>
          <w:p w14:paraId="7E785CBC"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CB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CBE" w14:textId="77777777" w:rsidR="00A82082" w:rsidRDefault="00E946F9">
            <w:pPr>
              <w:jc w:val="right"/>
              <w:textAlignment w:val="center"/>
            </w:pPr>
            <w:r>
              <w:rPr>
                <w:rFonts w:ascii="Times New Roman" w:eastAsia="宋体" w:hAnsi="Times New Roman"/>
                <w:color w:val="000000"/>
                <w:sz w:val="16"/>
                <w:szCs w:val="16"/>
              </w:rPr>
              <w:t>327 </w:t>
            </w:r>
          </w:p>
        </w:tc>
        <w:tc>
          <w:tcPr>
            <w:tcW w:w="0" w:type="auto"/>
            <w:shd w:val="clear" w:color="auto" w:fill="FFFFFF"/>
            <w:tcMar>
              <w:top w:w="40" w:type="dxa"/>
              <w:left w:w="0" w:type="dxa"/>
              <w:bottom w:w="40" w:type="dxa"/>
              <w:right w:w="20" w:type="dxa"/>
            </w:tcMar>
            <w:vAlign w:val="center"/>
          </w:tcPr>
          <w:p w14:paraId="7E785CB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C0"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CC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CC2" w14:textId="77777777" w:rsidR="00A82082" w:rsidRDefault="00E946F9">
            <w:pPr>
              <w:jc w:val="right"/>
              <w:textAlignment w:val="center"/>
            </w:pPr>
            <w:r>
              <w:rPr>
                <w:rFonts w:ascii="Times New Roman" w:eastAsia="宋体" w:hAnsi="Times New Roman"/>
                <w:color w:val="000000"/>
                <w:sz w:val="16"/>
                <w:szCs w:val="16"/>
              </w:rPr>
              <w:t>1,517 </w:t>
            </w:r>
          </w:p>
        </w:tc>
        <w:tc>
          <w:tcPr>
            <w:tcW w:w="0" w:type="auto"/>
            <w:shd w:val="clear" w:color="auto" w:fill="FFFFFF"/>
            <w:tcMar>
              <w:top w:w="40" w:type="dxa"/>
              <w:left w:w="0" w:type="dxa"/>
              <w:bottom w:w="40" w:type="dxa"/>
              <w:right w:w="20" w:type="dxa"/>
            </w:tcMar>
            <w:vAlign w:val="center"/>
          </w:tcPr>
          <w:p w14:paraId="7E785CC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C4" w14:textId="77777777" w:rsidR="00A82082" w:rsidRDefault="00A82082">
            <w:pPr>
              <w:rPr>
                <w:rFonts w:ascii="宋体"/>
              </w:rPr>
            </w:pPr>
          </w:p>
        </w:tc>
        <w:tc>
          <w:tcPr>
            <w:tcW w:w="0" w:type="auto"/>
            <w:gridSpan w:val="3"/>
            <w:shd w:val="clear" w:color="auto" w:fill="auto"/>
          </w:tcPr>
          <w:p w14:paraId="7E785CC5"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CC6"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CC7" w14:textId="77777777" w:rsidR="00A82082" w:rsidRDefault="00E946F9">
            <w:pPr>
              <w:jc w:val="right"/>
              <w:textAlignment w:val="center"/>
            </w:pPr>
            <w:r>
              <w:rPr>
                <w:rFonts w:ascii="Times New Roman" w:eastAsia="宋体" w:hAnsi="Times New Roman"/>
                <w:color w:val="000000"/>
                <w:sz w:val="16"/>
                <w:szCs w:val="16"/>
              </w:rPr>
              <w:t>1,258 </w:t>
            </w:r>
          </w:p>
        </w:tc>
        <w:tc>
          <w:tcPr>
            <w:tcW w:w="0" w:type="auto"/>
            <w:shd w:val="clear" w:color="auto" w:fill="FFFFFF"/>
            <w:tcMar>
              <w:top w:w="40" w:type="dxa"/>
              <w:left w:w="0" w:type="dxa"/>
              <w:bottom w:w="40" w:type="dxa"/>
              <w:right w:w="20" w:type="dxa"/>
            </w:tcMar>
            <w:vAlign w:val="center"/>
          </w:tcPr>
          <w:p w14:paraId="7E785CC8" w14:textId="77777777" w:rsidR="00A82082" w:rsidRDefault="00A82082">
            <w:pPr>
              <w:jc w:val="right"/>
              <w:rPr>
                <w:rFonts w:ascii="宋体"/>
              </w:rPr>
            </w:pPr>
          </w:p>
        </w:tc>
      </w:tr>
      <w:tr w:rsidR="00A82082" w14:paraId="7E785CD9" w14:textId="77777777">
        <w:trPr>
          <w:jc w:val="center"/>
        </w:trPr>
        <w:tc>
          <w:tcPr>
            <w:tcW w:w="0" w:type="auto"/>
            <w:gridSpan w:val="3"/>
            <w:shd w:val="clear" w:color="auto" w:fill="CCEEFF"/>
            <w:tcMar>
              <w:top w:w="40" w:type="dxa"/>
              <w:left w:w="245" w:type="dxa"/>
              <w:bottom w:w="40" w:type="dxa"/>
              <w:right w:w="20" w:type="dxa"/>
            </w:tcMar>
            <w:vAlign w:val="center"/>
          </w:tcPr>
          <w:p w14:paraId="7E785CCA" w14:textId="77777777" w:rsidR="00A82082" w:rsidRDefault="00E946F9">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7E785CC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CC" w14:textId="77777777" w:rsidR="00A82082" w:rsidRDefault="00E946F9">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7E785CC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CE" w14:textId="77777777" w:rsidR="00A82082" w:rsidRDefault="00A82082">
            <w:pPr>
              <w:rPr>
                <w:rFonts w:ascii="宋体"/>
              </w:rPr>
            </w:pPr>
          </w:p>
        </w:tc>
        <w:tc>
          <w:tcPr>
            <w:tcW w:w="0" w:type="auto"/>
            <w:shd w:val="clear" w:color="auto" w:fill="auto"/>
          </w:tcPr>
          <w:p w14:paraId="7E785CCF"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D0" w14:textId="77777777" w:rsidR="00A82082" w:rsidRDefault="00E946F9">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7E785CD1"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D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D3" w14:textId="77777777" w:rsidR="00A82082" w:rsidRDefault="00E946F9">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7E785CD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CD5" w14:textId="77777777" w:rsidR="00A82082" w:rsidRDefault="00A82082">
            <w:pPr>
              <w:rPr>
                <w:rFonts w:ascii="宋体"/>
              </w:rPr>
            </w:pPr>
          </w:p>
        </w:tc>
        <w:tc>
          <w:tcPr>
            <w:tcW w:w="0" w:type="auto"/>
            <w:gridSpan w:val="3"/>
            <w:shd w:val="clear" w:color="auto" w:fill="auto"/>
          </w:tcPr>
          <w:p w14:paraId="7E785CD6"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D7" w14:textId="77777777" w:rsidR="00A82082" w:rsidRDefault="00E946F9">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7E785CD8"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CE9" w14:textId="77777777">
        <w:trPr>
          <w:jc w:val="center"/>
        </w:trPr>
        <w:tc>
          <w:tcPr>
            <w:tcW w:w="0" w:type="auto"/>
            <w:gridSpan w:val="3"/>
            <w:shd w:val="clear" w:color="auto" w:fill="FFFFFF"/>
            <w:tcMar>
              <w:top w:w="40" w:type="dxa"/>
              <w:left w:w="245" w:type="dxa"/>
              <w:bottom w:w="40" w:type="dxa"/>
              <w:right w:w="20" w:type="dxa"/>
            </w:tcMar>
            <w:vAlign w:val="center"/>
          </w:tcPr>
          <w:p w14:paraId="7E785CDA" w14:textId="77777777" w:rsidR="00A82082" w:rsidRDefault="00E946F9">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tcPr>
          <w:p w14:paraId="7E785CDB"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DC" w14:textId="77777777" w:rsidR="00A82082" w:rsidRDefault="00E946F9">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7E785CDD"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DE" w14:textId="77777777" w:rsidR="00A82082" w:rsidRDefault="00A82082">
            <w:pPr>
              <w:rPr>
                <w:rFonts w:ascii="宋体"/>
              </w:rPr>
            </w:pPr>
          </w:p>
        </w:tc>
        <w:tc>
          <w:tcPr>
            <w:tcW w:w="0" w:type="auto"/>
            <w:shd w:val="clear" w:color="auto" w:fill="auto"/>
          </w:tcPr>
          <w:p w14:paraId="7E785CDF"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E0" w14:textId="77777777" w:rsidR="00A82082" w:rsidRDefault="00E946F9">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7E785CE1"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E2"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CE3" w14:textId="77777777" w:rsidR="00A82082" w:rsidRDefault="00E946F9">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7E785CE4"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CE5" w14:textId="77777777" w:rsidR="00A82082" w:rsidRDefault="00A82082">
            <w:pPr>
              <w:rPr>
                <w:rFonts w:ascii="宋体"/>
              </w:rPr>
            </w:pPr>
          </w:p>
        </w:tc>
        <w:tc>
          <w:tcPr>
            <w:tcW w:w="0" w:type="auto"/>
            <w:gridSpan w:val="3"/>
            <w:shd w:val="clear" w:color="auto" w:fill="auto"/>
          </w:tcPr>
          <w:p w14:paraId="7E785CE6" w14:textId="77777777" w:rsidR="00A82082" w:rsidRDefault="00A82082">
            <w:pPr>
              <w:rPr>
                <w:rFonts w:ascii="宋体"/>
                <w:vanish/>
              </w:rPr>
            </w:pPr>
          </w:p>
        </w:tc>
        <w:tc>
          <w:tcPr>
            <w:tcW w:w="0" w:type="auto"/>
            <w:gridSpan w:val="2"/>
            <w:shd w:val="clear" w:color="auto" w:fill="FFFFFF"/>
            <w:tcMar>
              <w:top w:w="40" w:type="dxa"/>
              <w:left w:w="20" w:type="dxa"/>
              <w:bottom w:w="40" w:type="dxa"/>
              <w:right w:w="0" w:type="dxa"/>
            </w:tcMar>
            <w:vAlign w:val="center"/>
          </w:tcPr>
          <w:p w14:paraId="7E785CE7" w14:textId="77777777" w:rsidR="00A82082" w:rsidRDefault="00E946F9">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7E785CE8" w14:textId="77777777" w:rsidR="00A82082" w:rsidRDefault="00A82082">
            <w:pPr>
              <w:jc w:val="right"/>
              <w:rPr>
                <w:rFonts w:ascii="宋体"/>
              </w:rPr>
            </w:pPr>
          </w:p>
        </w:tc>
      </w:tr>
      <w:tr w:rsidR="00A82082" w14:paraId="7E785CF9" w14:textId="77777777">
        <w:trPr>
          <w:jc w:val="center"/>
        </w:trPr>
        <w:tc>
          <w:tcPr>
            <w:tcW w:w="0" w:type="auto"/>
            <w:gridSpan w:val="3"/>
            <w:shd w:val="clear" w:color="auto" w:fill="CCEEFF"/>
            <w:tcMar>
              <w:top w:w="40" w:type="dxa"/>
              <w:left w:w="245" w:type="dxa"/>
              <w:bottom w:w="40" w:type="dxa"/>
              <w:right w:w="20" w:type="dxa"/>
            </w:tcMar>
            <w:vAlign w:val="center"/>
          </w:tcPr>
          <w:p w14:paraId="7E785CEA" w14:textId="77777777" w:rsidR="00A82082" w:rsidRDefault="00E946F9">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tcPr>
          <w:p w14:paraId="7E785CE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EC" w14:textId="77777777" w:rsidR="00A82082" w:rsidRDefault="00E946F9">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7E785CE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EE" w14:textId="77777777" w:rsidR="00A82082" w:rsidRDefault="00A82082">
            <w:pPr>
              <w:rPr>
                <w:rFonts w:ascii="宋体"/>
              </w:rPr>
            </w:pPr>
          </w:p>
        </w:tc>
        <w:tc>
          <w:tcPr>
            <w:tcW w:w="0" w:type="auto"/>
            <w:shd w:val="clear" w:color="auto" w:fill="auto"/>
          </w:tcPr>
          <w:p w14:paraId="7E785CEF"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F0" w14:textId="77777777" w:rsidR="00A82082" w:rsidRDefault="00E946F9">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7E785CF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F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CF3" w14:textId="77777777" w:rsidR="00A82082" w:rsidRDefault="00E946F9">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7E785CF4"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CF5" w14:textId="77777777" w:rsidR="00A82082" w:rsidRDefault="00A82082">
            <w:pPr>
              <w:rPr>
                <w:rFonts w:ascii="宋体"/>
              </w:rPr>
            </w:pPr>
          </w:p>
        </w:tc>
        <w:tc>
          <w:tcPr>
            <w:tcW w:w="0" w:type="auto"/>
            <w:gridSpan w:val="3"/>
            <w:shd w:val="clear" w:color="auto" w:fill="auto"/>
          </w:tcPr>
          <w:p w14:paraId="7E785CF6"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CF7" w14:textId="77777777" w:rsidR="00A82082" w:rsidRDefault="00E946F9">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7E785CF8" w14:textId="77777777" w:rsidR="00A82082" w:rsidRDefault="00A82082">
            <w:pPr>
              <w:jc w:val="right"/>
              <w:rPr>
                <w:rFonts w:ascii="宋体"/>
              </w:rPr>
            </w:pPr>
          </w:p>
        </w:tc>
      </w:tr>
      <w:tr w:rsidR="00A82082" w14:paraId="7E785D05" w14:textId="77777777">
        <w:trPr>
          <w:trHeight w:val="220"/>
          <w:jc w:val="center"/>
        </w:trPr>
        <w:tc>
          <w:tcPr>
            <w:tcW w:w="0" w:type="auto"/>
            <w:gridSpan w:val="3"/>
            <w:shd w:val="clear" w:color="auto" w:fill="FFFFFF"/>
            <w:tcMar>
              <w:top w:w="0" w:type="dxa"/>
              <w:left w:w="20" w:type="dxa"/>
              <w:bottom w:w="0" w:type="dxa"/>
              <w:right w:w="20" w:type="dxa"/>
            </w:tcMar>
          </w:tcPr>
          <w:p w14:paraId="7E785CFA"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CF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CFC"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CFD" w14:textId="77777777" w:rsidR="00A82082" w:rsidRDefault="00A82082">
            <w:pPr>
              <w:rPr>
                <w:rFonts w:ascii="宋体"/>
              </w:rPr>
            </w:pPr>
          </w:p>
        </w:tc>
        <w:tc>
          <w:tcPr>
            <w:tcW w:w="0" w:type="auto"/>
            <w:shd w:val="clear" w:color="auto" w:fill="auto"/>
          </w:tcPr>
          <w:p w14:paraId="7E785CFE" w14:textId="77777777" w:rsidR="00A82082" w:rsidRDefault="00A82082">
            <w:pPr>
              <w:rPr>
                <w:rFonts w:ascii="宋体"/>
                <w:vanish/>
              </w:rPr>
            </w:pPr>
          </w:p>
        </w:tc>
        <w:tc>
          <w:tcPr>
            <w:tcW w:w="0" w:type="auto"/>
            <w:gridSpan w:val="3"/>
            <w:shd w:val="clear" w:color="auto" w:fill="FFFFFF"/>
            <w:tcMar>
              <w:top w:w="0" w:type="dxa"/>
              <w:left w:w="20" w:type="dxa"/>
              <w:bottom w:w="0" w:type="dxa"/>
              <w:right w:w="20" w:type="dxa"/>
            </w:tcMar>
          </w:tcPr>
          <w:p w14:paraId="7E785CFF"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D00"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D01"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D02" w14:textId="77777777" w:rsidR="00A82082" w:rsidRDefault="00A82082">
            <w:pPr>
              <w:rPr>
                <w:rFonts w:ascii="宋体"/>
              </w:rPr>
            </w:pPr>
          </w:p>
        </w:tc>
        <w:tc>
          <w:tcPr>
            <w:tcW w:w="0" w:type="auto"/>
            <w:gridSpan w:val="3"/>
            <w:shd w:val="clear" w:color="auto" w:fill="auto"/>
          </w:tcPr>
          <w:p w14:paraId="7E785D03" w14:textId="77777777" w:rsidR="00A82082" w:rsidRDefault="00A82082">
            <w:pPr>
              <w:rPr>
                <w:rFonts w:ascii="宋体"/>
                <w:vanish/>
              </w:rPr>
            </w:pPr>
          </w:p>
        </w:tc>
        <w:tc>
          <w:tcPr>
            <w:tcW w:w="0" w:type="auto"/>
            <w:gridSpan w:val="3"/>
            <w:shd w:val="clear" w:color="auto" w:fill="FFFFFF"/>
            <w:tcMar>
              <w:top w:w="0" w:type="dxa"/>
              <w:left w:w="20" w:type="dxa"/>
              <w:bottom w:w="0" w:type="dxa"/>
              <w:right w:w="20" w:type="dxa"/>
            </w:tcMar>
          </w:tcPr>
          <w:p w14:paraId="7E785D04" w14:textId="77777777" w:rsidR="00A82082" w:rsidRDefault="00A82082">
            <w:pPr>
              <w:rPr>
                <w:rFonts w:ascii="宋体"/>
              </w:rPr>
            </w:pPr>
          </w:p>
        </w:tc>
      </w:tr>
      <w:tr w:rsidR="00A82082" w14:paraId="7E785D11" w14:textId="77777777">
        <w:trPr>
          <w:jc w:val="center"/>
        </w:trPr>
        <w:tc>
          <w:tcPr>
            <w:tcW w:w="0" w:type="auto"/>
            <w:gridSpan w:val="3"/>
            <w:shd w:val="clear" w:color="auto" w:fill="CCEEFF"/>
            <w:tcMar>
              <w:top w:w="40" w:type="dxa"/>
              <w:left w:w="20" w:type="dxa"/>
              <w:bottom w:w="40" w:type="dxa"/>
              <w:right w:w="20" w:type="dxa"/>
            </w:tcMar>
            <w:vAlign w:val="center"/>
          </w:tcPr>
          <w:p w14:paraId="7E785D06" w14:textId="77777777" w:rsidR="00A82082" w:rsidRDefault="00E946F9">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tcPr>
          <w:p w14:paraId="7E785D07"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D08"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D09" w14:textId="77777777" w:rsidR="00A82082" w:rsidRDefault="00A82082">
            <w:pPr>
              <w:rPr>
                <w:rFonts w:ascii="宋体"/>
              </w:rPr>
            </w:pPr>
          </w:p>
        </w:tc>
        <w:tc>
          <w:tcPr>
            <w:tcW w:w="0" w:type="auto"/>
            <w:shd w:val="clear" w:color="auto" w:fill="auto"/>
          </w:tcPr>
          <w:p w14:paraId="7E785D0A"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D0B"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D0C"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D0D" w14:textId="77777777" w:rsidR="00A82082" w:rsidRDefault="00A82082">
            <w:pPr>
              <w:rPr>
                <w:rFonts w:ascii="宋体"/>
              </w:rPr>
            </w:pPr>
          </w:p>
        </w:tc>
        <w:tc>
          <w:tcPr>
            <w:tcW w:w="0" w:type="auto"/>
            <w:gridSpan w:val="3"/>
            <w:shd w:val="clear" w:color="auto" w:fill="CCEEFF"/>
            <w:tcMar>
              <w:top w:w="0" w:type="dxa"/>
              <w:left w:w="20" w:type="dxa"/>
              <w:bottom w:w="0" w:type="dxa"/>
              <w:right w:w="20" w:type="dxa"/>
            </w:tcMar>
          </w:tcPr>
          <w:p w14:paraId="7E785D0E" w14:textId="77777777" w:rsidR="00A82082" w:rsidRDefault="00A82082">
            <w:pPr>
              <w:rPr>
                <w:rFonts w:ascii="宋体"/>
              </w:rPr>
            </w:pPr>
          </w:p>
        </w:tc>
        <w:tc>
          <w:tcPr>
            <w:tcW w:w="0" w:type="auto"/>
            <w:gridSpan w:val="3"/>
            <w:shd w:val="clear" w:color="auto" w:fill="auto"/>
          </w:tcPr>
          <w:p w14:paraId="7E785D0F"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D10" w14:textId="77777777" w:rsidR="00A82082" w:rsidRDefault="00A82082">
            <w:pPr>
              <w:rPr>
                <w:rFonts w:ascii="宋体"/>
              </w:rPr>
            </w:pPr>
          </w:p>
        </w:tc>
      </w:tr>
      <w:tr w:rsidR="00A82082" w14:paraId="7E785D25" w14:textId="77777777">
        <w:trPr>
          <w:jc w:val="center"/>
        </w:trPr>
        <w:tc>
          <w:tcPr>
            <w:tcW w:w="0" w:type="auto"/>
            <w:gridSpan w:val="3"/>
            <w:shd w:val="clear" w:color="auto" w:fill="FFFFFF"/>
            <w:tcMar>
              <w:top w:w="40" w:type="dxa"/>
              <w:left w:w="245" w:type="dxa"/>
              <w:bottom w:w="40" w:type="dxa"/>
              <w:right w:w="20" w:type="dxa"/>
            </w:tcMar>
            <w:vAlign w:val="center"/>
          </w:tcPr>
          <w:p w14:paraId="7E785D12" w14:textId="77777777" w:rsidR="00A82082" w:rsidRDefault="00E946F9">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7E785D13"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D14"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15" w14:textId="77777777" w:rsidR="00A82082" w:rsidRDefault="00E946F9">
            <w:pPr>
              <w:jc w:val="right"/>
              <w:textAlignment w:val="center"/>
            </w:pPr>
            <w:r>
              <w:rPr>
                <w:rFonts w:ascii="Times New Roman" w:eastAsia="宋体" w:hAnsi="Times New Roman"/>
                <w:color w:val="000000"/>
                <w:sz w:val="16"/>
                <w:szCs w:val="16"/>
              </w:rPr>
              <w:t>14,596 </w:t>
            </w:r>
          </w:p>
        </w:tc>
        <w:tc>
          <w:tcPr>
            <w:tcW w:w="0" w:type="auto"/>
            <w:shd w:val="clear" w:color="auto" w:fill="FFFFFF"/>
            <w:tcMar>
              <w:top w:w="40" w:type="dxa"/>
              <w:left w:w="0" w:type="dxa"/>
              <w:bottom w:w="40" w:type="dxa"/>
              <w:right w:w="20" w:type="dxa"/>
            </w:tcMar>
            <w:vAlign w:val="center"/>
          </w:tcPr>
          <w:p w14:paraId="7E785D1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17" w14:textId="77777777" w:rsidR="00A82082" w:rsidRDefault="00A82082">
            <w:pPr>
              <w:rPr>
                <w:rFonts w:ascii="宋体"/>
              </w:rPr>
            </w:pPr>
          </w:p>
        </w:tc>
        <w:tc>
          <w:tcPr>
            <w:tcW w:w="0" w:type="auto"/>
            <w:shd w:val="clear" w:color="auto" w:fill="auto"/>
          </w:tcPr>
          <w:p w14:paraId="7E785D18"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D19"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1A" w14:textId="77777777" w:rsidR="00A82082" w:rsidRDefault="00E946F9">
            <w:pPr>
              <w:jc w:val="right"/>
              <w:textAlignment w:val="center"/>
            </w:pPr>
            <w:r>
              <w:rPr>
                <w:rFonts w:ascii="Times New Roman" w:eastAsia="宋体" w:hAnsi="Times New Roman"/>
                <w:color w:val="000000"/>
                <w:sz w:val="16"/>
                <w:szCs w:val="16"/>
              </w:rPr>
              <w:t>13,075 </w:t>
            </w:r>
          </w:p>
        </w:tc>
        <w:tc>
          <w:tcPr>
            <w:tcW w:w="0" w:type="auto"/>
            <w:shd w:val="clear" w:color="auto" w:fill="FFFFFF"/>
            <w:tcMar>
              <w:top w:w="40" w:type="dxa"/>
              <w:left w:w="0" w:type="dxa"/>
              <w:bottom w:w="40" w:type="dxa"/>
              <w:right w:w="20" w:type="dxa"/>
            </w:tcMar>
            <w:vAlign w:val="center"/>
          </w:tcPr>
          <w:p w14:paraId="7E785D1B"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1C"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D1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1E" w14:textId="77777777" w:rsidR="00A82082" w:rsidRDefault="00E946F9">
            <w:pPr>
              <w:jc w:val="right"/>
              <w:textAlignment w:val="center"/>
            </w:pPr>
            <w:r>
              <w:rPr>
                <w:rFonts w:ascii="Times New Roman" w:eastAsia="宋体" w:hAnsi="Times New Roman"/>
                <w:color w:val="000000"/>
                <w:sz w:val="16"/>
                <w:szCs w:val="16"/>
              </w:rPr>
              <w:t>43,929 </w:t>
            </w:r>
          </w:p>
        </w:tc>
        <w:tc>
          <w:tcPr>
            <w:tcW w:w="0" w:type="auto"/>
            <w:shd w:val="clear" w:color="auto" w:fill="FFFFFF"/>
            <w:tcMar>
              <w:top w:w="40" w:type="dxa"/>
              <w:left w:w="0" w:type="dxa"/>
              <w:bottom w:w="40" w:type="dxa"/>
              <w:right w:w="20" w:type="dxa"/>
            </w:tcMar>
            <w:vAlign w:val="center"/>
          </w:tcPr>
          <w:p w14:paraId="7E785D1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20" w14:textId="77777777" w:rsidR="00A82082" w:rsidRDefault="00A82082">
            <w:pPr>
              <w:rPr>
                <w:rFonts w:ascii="宋体"/>
              </w:rPr>
            </w:pPr>
          </w:p>
        </w:tc>
        <w:tc>
          <w:tcPr>
            <w:tcW w:w="0" w:type="auto"/>
            <w:gridSpan w:val="3"/>
            <w:shd w:val="clear" w:color="auto" w:fill="auto"/>
          </w:tcPr>
          <w:p w14:paraId="7E785D21"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D22"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23" w14:textId="77777777" w:rsidR="00A82082" w:rsidRDefault="00E946F9">
            <w:pPr>
              <w:jc w:val="right"/>
              <w:textAlignment w:val="center"/>
            </w:pPr>
            <w:r>
              <w:rPr>
                <w:rFonts w:ascii="Times New Roman" w:eastAsia="宋体" w:hAnsi="Times New Roman"/>
                <w:color w:val="000000"/>
                <w:sz w:val="16"/>
                <w:szCs w:val="16"/>
              </w:rPr>
              <w:t>38,979 </w:t>
            </w:r>
          </w:p>
        </w:tc>
        <w:tc>
          <w:tcPr>
            <w:tcW w:w="0" w:type="auto"/>
            <w:shd w:val="clear" w:color="auto" w:fill="FFFFFF"/>
            <w:tcMar>
              <w:top w:w="40" w:type="dxa"/>
              <w:left w:w="0" w:type="dxa"/>
              <w:bottom w:w="40" w:type="dxa"/>
              <w:right w:w="20" w:type="dxa"/>
            </w:tcMar>
            <w:vAlign w:val="center"/>
          </w:tcPr>
          <w:p w14:paraId="7E785D24" w14:textId="77777777" w:rsidR="00A82082" w:rsidRDefault="00A82082">
            <w:pPr>
              <w:jc w:val="right"/>
              <w:rPr>
                <w:rFonts w:ascii="宋体"/>
              </w:rPr>
            </w:pPr>
          </w:p>
        </w:tc>
      </w:tr>
      <w:tr w:rsidR="00A82082" w14:paraId="7E785D35" w14:textId="77777777">
        <w:trPr>
          <w:jc w:val="center"/>
        </w:trPr>
        <w:tc>
          <w:tcPr>
            <w:tcW w:w="0" w:type="auto"/>
            <w:gridSpan w:val="3"/>
            <w:shd w:val="clear" w:color="auto" w:fill="CCEEFF"/>
            <w:tcMar>
              <w:top w:w="40" w:type="dxa"/>
              <w:left w:w="245" w:type="dxa"/>
              <w:bottom w:w="40" w:type="dxa"/>
              <w:right w:w="20" w:type="dxa"/>
            </w:tcMar>
            <w:vAlign w:val="center"/>
          </w:tcPr>
          <w:p w14:paraId="7E785D26" w14:textId="77777777" w:rsidR="00A82082" w:rsidRDefault="00E946F9">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tcPr>
          <w:p w14:paraId="7E785D27"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D28" w14:textId="77777777" w:rsidR="00A82082" w:rsidRDefault="00E946F9">
            <w:pPr>
              <w:jc w:val="right"/>
              <w:textAlignment w:val="center"/>
            </w:pPr>
            <w:r>
              <w:rPr>
                <w:rFonts w:ascii="Times New Roman" w:eastAsia="宋体" w:hAnsi="Times New Roman"/>
                <w:color w:val="000000"/>
                <w:sz w:val="16"/>
                <w:szCs w:val="16"/>
              </w:rPr>
              <w:t>11.6 </w:t>
            </w:r>
          </w:p>
        </w:tc>
        <w:tc>
          <w:tcPr>
            <w:tcW w:w="0" w:type="auto"/>
            <w:shd w:val="clear" w:color="auto" w:fill="CCEEFF"/>
            <w:tcMar>
              <w:top w:w="40" w:type="dxa"/>
              <w:left w:w="0" w:type="dxa"/>
              <w:bottom w:w="40" w:type="dxa"/>
              <w:right w:w="20" w:type="dxa"/>
            </w:tcMar>
            <w:vAlign w:val="center"/>
          </w:tcPr>
          <w:p w14:paraId="7E785D29"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2A" w14:textId="77777777" w:rsidR="00A82082" w:rsidRDefault="00A82082">
            <w:pPr>
              <w:rPr>
                <w:rFonts w:ascii="宋体"/>
              </w:rPr>
            </w:pPr>
          </w:p>
        </w:tc>
        <w:tc>
          <w:tcPr>
            <w:tcW w:w="0" w:type="auto"/>
            <w:shd w:val="clear" w:color="auto" w:fill="auto"/>
          </w:tcPr>
          <w:p w14:paraId="7E785D2B"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D2C" w14:textId="77777777" w:rsidR="00A82082" w:rsidRDefault="00E946F9">
            <w:pPr>
              <w:jc w:val="right"/>
              <w:textAlignment w:val="center"/>
            </w:pPr>
            <w:r>
              <w:rPr>
                <w:rFonts w:ascii="Times New Roman" w:eastAsia="宋体" w:hAnsi="Times New Roman"/>
                <w:color w:val="000000"/>
                <w:sz w:val="16"/>
                <w:szCs w:val="16"/>
              </w:rPr>
              <w:t>0.6 </w:t>
            </w:r>
          </w:p>
        </w:tc>
        <w:tc>
          <w:tcPr>
            <w:tcW w:w="0" w:type="auto"/>
            <w:shd w:val="clear" w:color="auto" w:fill="CCEEFF"/>
            <w:tcMar>
              <w:top w:w="40" w:type="dxa"/>
              <w:left w:w="0" w:type="dxa"/>
              <w:bottom w:w="40" w:type="dxa"/>
              <w:right w:w="20" w:type="dxa"/>
            </w:tcMar>
            <w:vAlign w:val="center"/>
          </w:tcPr>
          <w:p w14:paraId="7E785D2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2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D2F" w14:textId="77777777" w:rsidR="00A82082" w:rsidRDefault="00E946F9">
            <w:pPr>
              <w:jc w:val="right"/>
              <w:textAlignment w:val="center"/>
            </w:pPr>
            <w:r>
              <w:rPr>
                <w:rFonts w:ascii="Times New Roman" w:eastAsia="宋体" w:hAnsi="Times New Roman"/>
                <w:color w:val="000000"/>
                <w:sz w:val="16"/>
                <w:szCs w:val="16"/>
              </w:rPr>
              <w:t>12.7 </w:t>
            </w:r>
          </w:p>
        </w:tc>
        <w:tc>
          <w:tcPr>
            <w:tcW w:w="0" w:type="auto"/>
            <w:shd w:val="clear" w:color="auto" w:fill="CCEEFF"/>
            <w:tcMar>
              <w:top w:w="40" w:type="dxa"/>
              <w:left w:w="0" w:type="dxa"/>
              <w:bottom w:w="40" w:type="dxa"/>
              <w:right w:w="20" w:type="dxa"/>
            </w:tcMar>
            <w:vAlign w:val="center"/>
          </w:tcPr>
          <w:p w14:paraId="7E785D30"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31" w14:textId="77777777" w:rsidR="00A82082" w:rsidRDefault="00A82082">
            <w:pPr>
              <w:rPr>
                <w:rFonts w:ascii="宋体"/>
              </w:rPr>
            </w:pPr>
          </w:p>
        </w:tc>
        <w:tc>
          <w:tcPr>
            <w:tcW w:w="0" w:type="auto"/>
            <w:gridSpan w:val="3"/>
            <w:shd w:val="clear" w:color="auto" w:fill="auto"/>
          </w:tcPr>
          <w:p w14:paraId="7E785D32"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D33" w14:textId="77777777" w:rsidR="00A82082" w:rsidRDefault="00E946F9">
            <w:pPr>
              <w:jc w:val="right"/>
              <w:textAlignment w:val="center"/>
            </w:pPr>
            <w:r>
              <w:rPr>
                <w:rFonts w:ascii="Times New Roman" w:eastAsia="宋体" w:hAnsi="Times New Roman"/>
                <w:color w:val="000000"/>
                <w:sz w:val="16"/>
                <w:szCs w:val="16"/>
              </w:rPr>
              <w:t>0.8 </w:t>
            </w:r>
          </w:p>
        </w:tc>
        <w:tc>
          <w:tcPr>
            <w:tcW w:w="0" w:type="auto"/>
            <w:shd w:val="clear" w:color="auto" w:fill="CCEEFF"/>
            <w:tcMar>
              <w:top w:w="40" w:type="dxa"/>
              <w:left w:w="0" w:type="dxa"/>
              <w:bottom w:w="40" w:type="dxa"/>
              <w:right w:w="20" w:type="dxa"/>
            </w:tcMar>
            <w:vAlign w:val="center"/>
          </w:tcPr>
          <w:p w14:paraId="7E785D34" w14:textId="77777777" w:rsidR="00A82082" w:rsidRDefault="00E946F9">
            <w:pPr>
              <w:jc w:val="right"/>
              <w:textAlignment w:val="center"/>
            </w:pPr>
            <w:r>
              <w:rPr>
                <w:rFonts w:ascii="Times New Roman" w:eastAsia="宋体" w:hAnsi="Times New Roman"/>
                <w:color w:val="000000"/>
                <w:sz w:val="16"/>
                <w:szCs w:val="16"/>
              </w:rPr>
              <w:t>%</w:t>
            </w:r>
          </w:p>
        </w:tc>
      </w:tr>
      <w:tr w:rsidR="00A82082" w14:paraId="7E785D49" w14:textId="77777777">
        <w:trPr>
          <w:jc w:val="center"/>
        </w:trPr>
        <w:tc>
          <w:tcPr>
            <w:tcW w:w="0" w:type="auto"/>
            <w:gridSpan w:val="3"/>
            <w:shd w:val="clear" w:color="auto" w:fill="FFFFFF"/>
            <w:tcMar>
              <w:top w:w="40" w:type="dxa"/>
              <w:left w:w="245" w:type="dxa"/>
              <w:bottom w:w="40" w:type="dxa"/>
              <w:right w:w="20" w:type="dxa"/>
            </w:tcMar>
            <w:vAlign w:val="center"/>
          </w:tcPr>
          <w:p w14:paraId="7E785D36" w14:textId="77777777" w:rsidR="00A82082" w:rsidRDefault="00E946F9">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7E785D37"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D3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39" w14:textId="77777777" w:rsidR="00A82082" w:rsidRDefault="00E946F9">
            <w:pPr>
              <w:jc w:val="right"/>
              <w:textAlignment w:val="center"/>
            </w:pPr>
            <w:r>
              <w:rPr>
                <w:rFonts w:ascii="Times New Roman" w:eastAsia="宋体" w:hAnsi="Times New Roman"/>
                <w:color w:val="000000"/>
                <w:sz w:val="16"/>
                <w:szCs w:val="16"/>
              </w:rPr>
              <w:t>358 </w:t>
            </w:r>
          </w:p>
        </w:tc>
        <w:tc>
          <w:tcPr>
            <w:tcW w:w="0" w:type="auto"/>
            <w:shd w:val="clear" w:color="auto" w:fill="FFFFFF"/>
            <w:tcMar>
              <w:top w:w="40" w:type="dxa"/>
              <w:left w:w="0" w:type="dxa"/>
              <w:bottom w:w="40" w:type="dxa"/>
              <w:right w:w="20" w:type="dxa"/>
            </w:tcMar>
            <w:vAlign w:val="center"/>
          </w:tcPr>
          <w:p w14:paraId="7E785D3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3B" w14:textId="77777777" w:rsidR="00A82082" w:rsidRDefault="00A82082">
            <w:pPr>
              <w:rPr>
                <w:rFonts w:ascii="宋体"/>
              </w:rPr>
            </w:pPr>
          </w:p>
        </w:tc>
        <w:tc>
          <w:tcPr>
            <w:tcW w:w="0" w:type="auto"/>
            <w:shd w:val="clear" w:color="auto" w:fill="auto"/>
          </w:tcPr>
          <w:p w14:paraId="7E785D3C"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D3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3E" w14:textId="77777777" w:rsidR="00A82082" w:rsidRDefault="00E946F9">
            <w:pPr>
              <w:jc w:val="right"/>
              <w:textAlignment w:val="center"/>
            </w:pPr>
            <w:r>
              <w:rPr>
                <w:rFonts w:ascii="Times New Roman" w:eastAsia="宋体" w:hAnsi="Times New Roman"/>
                <w:color w:val="000000"/>
                <w:sz w:val="16"/>
                <w:szCs w:val="16"/>
              </w:rPr>
              <w:t>274 </w:t>
            </w:r>
          </w:p>
        </w:tc>
        <w:tc>
          <w:tcPr>
            <w:tcW w:w="0" w:type="auto"/>
            <w:shd w:val="clear" w:color="auto" w:fill="FFFFFF"/>
            <w:tcMar>
              <w:top w:w="40" w:type="dxa"/>
              <w:left w:w="0" w:type="dxa"/>
              <w:bottom w:w="40" w:type="dxa"/>
              <w:right w:w="20" w:type="dxa"/>
            </w:tcMar>
            <w:vAlign w:val="center"/>
          </w:tcPr>
          <w:p w14:paraId="7E785D3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40"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D41"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42" w14:textId="77777777" w:rsidR="00A82082" w:rsidRDefault="00E946F9">
            <w:pPr>
              <w:jc w:val="right"/>
              <w:textAlignment w:val="center"/>
            </w:pPr>
            <w:r>
              <w:rPr>
                <w:rFonts w:ascii="Times New Roman" w:eastAsia="宋体" w:hAnsi="Times New Roman"/>
                <w:color w:val="000000"/>
                <w:sz w:val="16"/>
                <w:szCs w:val="16"/>
              </w:rPr>
              <w:t>1,283 </w:t>
            </w:r>
          </w:p>
        </w:tc>
        <w:tc>
          <w:tcPr>
            <w:tcW w:w="0" w:type="auto"/>
            <w:shd w:val="clear" w:color="auto" w:fill="FFFFFF"/>
            <w:tcMar>
              <w:top w:w="40" w:type="dxa"/>
              <w:left w:w="0" w:type="dxa"/>
              <w:bottom w:w="40" w:type="dxa"/>
              <w:right w:w="20" w:type="dxa"/>
            </w:tcMar>
            <w:vAlign w:val="center"/>
          </w:tcPr>
          <w:p w14:paraId="7E785D4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D44" w14:textId="77777777" w:rsidR="00A82082" w:rsidRDefault="00A82082">
            <w:pPr>
              <w:rPr>
                <w:rFonts w:ascii="宋体"/>
              </w:rPr>
            </w:pPr>
          </w:p>
        </w:tc>
        <w:tc>
          <w:tcPr>
            <w:tcW w:w="0" w:type="auto"/>
            <w:gridSpan w:val="3"/>
            <w:shd w:val="clear" w:color="auto" w:fill="auto"/>
          </w:tcPr>
          <w:p w14:paraId="7E785D45"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D46"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D47" w14:textId="77777777" w:rsidR="00A82082" w:rsidRDefault="00E946F9">
            <w:pPr>
              <w:jc w:val="right"/>
              <w:textAlignment w:val="center"/>
            </w:pPr>
            <w:r>
              <w:rPr>
                <w:rFonts w:ascii="Times New Roman" w:eastAsia="宋体" w:hAnsi="Times New Roman"/>
                <w:color w:val="000000"/>
                <w:sz w:val="16"/>
                <w:szCs w:val="16"/>
              </w:rPr>
              <w:t>1,141 </w:t>
            </w:r>
          </w:p>
        </w:tc>
        <w:tc>
          <w:tcPr>
            <w:tcW w:w="0" w:type="auto"/>
            <w:shd w:val="clear" w:color="auto" w:fill="FFFFFF"/>
            <w:tcMar>
              <w:top w:w="40" w:type="dxa"/>
              <w:left w:w="0" w:type="dxa"/>
              <w:bottom w:w="40" w:type="dxa"/>
              <w:right w:w="20" w:type="dxa"/>
            </w:tcMar>
            <w:vAlign w:val="center"/>
          </w:tcPr>
          <w:p w14:paraId="7E785D48" w14:textId="77777777" w:rsidR="00A82082" w:rsidRDefault="00A82082">
            <w:pPr>
              <w:jc w:val="right"/>
              <w:rPr>
                <w:rFonts w:ascii="宋体"/>
              </w:rPr>
            </w:pPr>
          </w:p>
        </w:tc>
      </w:tr>
      <w:tr w:rsidR="00A82082" w14:paraId="7E785D59" w14:textId="77777777">
        <w:trPr>
          <w:jc w:val="center"/>
        </w:trPr>
        <w:tc>
          <w:tcPr>
            <w:tcW w:w="0" w:type="auto"/>
            <w:gridSpan w:val="3"/>
            <w:shd w:val="clear" w:color="auto" w:fill="CCEEFF"/>
            <w:tcMar>
              <w:top w:w="40" w:type="dxa"/>
              <w:left w:w="245" w:type="dxa"/>
              <w:bottom w:w="40" w:type="dxa"/>
              <w:right w:w="20" w:type="dxa"/>
            </w:tcMar>
            <w:vAlign w:val="center"/>
          </w:tcPr>
          <w:p w14:paraId="7E785D4A" w14:textId="77777777" w:rsidR="00A82082" w:rsidRDefault="00E946F9">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7E785D4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D4C" w14:textId="77777777" w:rsidR="00A82082" w:rsidRDefault="00E946F9">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7E785D4D"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4E" w14:textId="77777777" w:rsidR="00A82082" w:rsidRDefault="00A82082">
            <w:pPr>
              <w:rPr>
                <w:rFonts w:ascii="宋体"/>
              </w:rPr>
            </w:pPr>
          </w:p>
        </w:tc>
        <w:tc>
          <w:tcPr>
            <w:tcW w:w="0" w:type="auto"/>
            <w:shd w:val="clear" w:color="auto" w:fill="auto"/>
          </w:tcPr>
          <w:p w14:paraId="7E785D4F"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D50" w14:textId="77777777" w:rsidR="00A82082" w:rsidRDefault="00E946F9">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7E785D51"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5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D53" w14:textId="77777777" w:rsidR="00A82082" w:rsidRDefault="00E946F9">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7E785D54" w14:textId="77777777" w:rsidR="00A82082" w:rsidRDefault="00E946F9">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7E785D55" w14:textId="77777777" w:rsidR="00A82082" w:rsidRDefault="00A82082">
            <w:pPr>
              <w:rPr>
                <w:rFonts w:ascii="宋体"/>
              </w:rPr>
            </w:pPr>
          </w:p>
        </w:tc>
        <w:tc>
          <w:tcPr>
            <w:tcW w:w="0" w:type="auto"/>
            <w:gridSpan w:val="3"/>
            <w:shd w:val="clear" w:color="auto" w:fill="auto"/>
          </w:tcPr>
          <w:p w14:paraId="7E785D56" w14:textId="77777777" w:rsidR="00A82082" w:rsidRDefault="00A82082">
            <w:pPr>
              <w:rPr>
                <w:rFonts w:ascii="宋体"/>
                <w:vanish/>
              </w:rPr>
            </w:pPr>
          </w:p>
        </w:tc>
        <w:tc>
          <w:tcPr>
            <w:tcW w:w="0" w:type="auto"/>
            <w:gridSpan w:val="2"/>
            <w:shd w:val="clear" w:color="auto" w:fill="CCEEFF"/>
            <w:tcMar>
              <w:top w:w="40" w:type="dxa"/>
              <w:left w:w="20" w:type="dxa"/>
              <w:bottom w:w="40" w:type="dxa"/>
              <w:right w:w="0" w:type="dxa"/>
            </w:tcMar>
            <w:vAlign w:val="center"/>
          </w:tcPr>
          <w:p w14:paraId="7E785D57" w14:textId="77777777" w:rsidR="00A82082" w:rsidRDefault="00E946F9">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7E785D58" w14:textId="77777777" w:rsidR="00A82082" w:rsidRDefault="00E946F9">
            <w:pPr>
              <w:jc w:val="right"/>
              <w:textAlignment w:val="center"/>
            </w:pPr>
            <w:r>
              <w:rPr>
                <w:rFonts w:ascii="Times New Roman" w:eastAsia="宋体" w:hAnsi="Times New Roman"/>
                <w:color w:val="000000"/>
                <w:sz w:val="16"/>
                <w:szCs w:val="16"/>
              </w:rPr>
              <w:t>%</w:t>
            </w:r>
          </w:p>
        </w:tc>
      </w:tr>
    </w:tbl>
    <w:p w14:paraId="7E785D5A" w14:textId="77777777" w:rsidR="00A82082" w:rsidRDefault="00E946F9">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w:t>
      </w:r>
      <w:r>
        <w:rPr>
          <w:rFonts w:ascii="Times New Roman" w:eastAsia="宋体" w:hAnsi="Times New Roman"/>
          <w:color w:val="000000"/>
          <w:sz w:val="16"/>
          <w:szCs w:val="16"/>
        </w:rPr>
        <w:t>ations, which are impacted by the volatility of fuel prices. Volatility in fuel prices may continue to impact the operating results of the Sam's Club segment in the future.</w:t>
      </w:r>
    </w:p>
    <w:p w14:paraId="7E785D5B" w14:textId="77777777" w:rsidR="00A82082" w:rsidRDefault="00E946F9">
      <w:pPr>
        <w:spacing w:before="100"/>
      </w:pPr>
      <w:r>
        <w:rPr>
          <w:rFonts w:ascii="Times New Roman" w:eastAsia="宋体" w:hAnsi="Times New Roman"/>
          <w:color w:val="000000"/>
          <w:sz w:val="20"/>
          <w:szCs w:val="20"/>
        </w:rPr>
        <w:t>Net sales for the Sam's Club segment increased $1.2 billion or 8.3% and $3.9 billio</w:t>
      </w:r>
      <w:r>
        <w:rPr>
          <w:rFonts w:ascii="Times New Roman" w:eastAsia="宋体" w:hAnsi="Times New Roman"/>
          <w:color w:val="000000"/>
          <w:sz w:val="20"/>
          <w:szCs w:val="20"/>
        </w:rPr>
        <w:t>n or 8.9% for the three and nine months ended October 31, 2020, respectively, when compared to the same periods in the previous fiscal year. The increases were primarily due to comparable sales, including fuel, of 8.3% and 8.9% for the three and nine month</w:t>
      </w:r>
      <w:r>
        <w:rPr>
          <w:rFonts w:ascii="Times New Roman" w:eastAsia="宋体" w:hAnsi="Times New Roman"/>
          <w:color w:val="000000"/>
          <w:sz w:val="20"/>
          <w:szCs w:val="20"/>
        </w:rPr>
        <w:t>s ended October 31, 2020, respectively. Comparable sales benefited from growth in transactions and average ticket resulting from the COVID-19 pandemic and partially offset by both our decision to remove tobacco from certain club locations and by lower fuel</w:t>
      </w:r>
      <w:r>
        <w:rPr>
          <w:rFonts w:ascii="Times New Roman" w:eastAsia="宋体" w:hAnsi="Times New Roman"/>
          <w:color w:val="000000"/>
          <w:sz w:val="20"/>
          <w:szCs w:val="20"/>
        </w:rPr>
        <w:t xml:space="preserve"> sales. Sam's Club eCommerce sales positively contributed approximately 2.2% and 2.0% to comparable sales for the three and nine months ended October 31, 2020, respectively. </w:t>
      </w:r>
    </w:p>
    <w:p w14:paraId="7E785D5C" w14:textId="77777777" w:rsidR="00A82082" w:rsidRDefault="00E946F9">
      <w:pPr>
        <w:spacing w:before="100"/>
      </w:pPr>
      <w:r>
        <w:rPr>
          <w:rFonts w:ascii="Times New Roman" w:eastAsia="宋体" w:hAnsi="Times New Roman"/>
          <w:color w:val="000000"/>
          <w:sz w:val="20"/>
          <w:szCs w:val="20"/>
        </w:rPr>
        <w:t xml:space="preserve">Gross profit rate increased 79 and 69 basis points for the three and nine months </w:t>
      </w:r>
      <w:r>
        <w:rPr>
          <w:rFonts w:ascii="Times New Roman" w:eastAsia="宋体" w:hAnsi="Times New Roman"/>
          <w:color w:val="000000"/>
          <w:sz w:val="20"/>
          <w:szCs w:val="20"/>
        </w:rPr>
        <w:t xml:space="preserve">ended October 31, 2020, when compared to the same period in the previous fiscal year due to higher fuel margins, reduced tobacco sales, and improvements in inventory losses. The increase in gross profit rate for the three months ended October 31, 2020 was </w:t>
      </w:r>
      <w:r>
        <w:rPr>
          <w:rFonts w:ascii="Times New Roman" w:eastAsia="宋体" w:hAnsi="Times New Roman"/>
          <w:color w:val="000000"/>
          <w:sz w:val="20"/>
          <w:szCs w:val="20"/>
        </w:rPr>
        <w:t xml:space="preserve">partially offset by higher eCommerce fulfillment costs. The increase in gross profit rate for the nine months ended October 31, 2020 was partially offset by price investment and higher eCommerce fulfillment costs. </w:t>
      </w:r>
    </w:p>
    <w:p w14:paraId="7E785D5D" w14:textId="77777777" w:rsidR="00A82082" w:rsidRDefault="00E946F9">
      <w:pPr>
        <w:spacing w:before="100"/>
      </w:pPr>
      <w:r>
        <w:rPr>
          <w:rFonts w:ascii="Times New Roman" w:eastAsia="宋体" w:hAnsi="Times New Roman"/>
          <w:color w:val="000000"/>
          <w:sz w:val="20"/>
          <w:szCs w:val="20"/>
        </w:rPr>
        <w:t>Membership and other incom</w:t>
      </w:r>
      <w:r>
        <w:rPr>
          <w:rFonts w:ascii="Times New Roman" w:eastAsia="宋体" w:hAnsi="Times New Roman"/>
          <w:color w:val="000000"/>
          <w:sz w:val="20"/>
          <w:szCs w:val="20"/>
          <w:shd w:val="clear" w:color="auto" w:fill="FFFFFF"/>
        </w:rPr>
        <w:t xml:space="preserve">e </w:t>
      </w:r>
      <w:r>
        <w:rPr>
          <w:rFonts w:ascii="Times New Roman" w:eastAsia="宋体" w:hAnsi="Times New Roman"/>
          <w:color w:val="000000"/>
          <w:sz w:val="20"/>
          <w:szCs w:val="20"/>
        </w:rPr>
        <w:t>increased 7.9</w:t>
      </w:r>
      <w:r>
        <w:rPr>
          <w:rFonts w:ascii="Times New Roman" w:eastAsia="宋体" w:hAnsi="Times New Roman"/>
          <w:color w:val="000000"/>
          <w:sz w:val="20"/>
          <w:szCs w:val="20"/>
        </w:rPr>
        <w:t>% and 5.8% for the three and nine months ended October 31, 2020, respectively, when compared to the same periods in the previous fiscal year. The increases for the three and nine months ended October 31, 2020 were due to increases in overall renewal rates,</w:t>
      </w:r>
      <w:r>
        <w:rPr>
          <w:rFonts w:ascii="Times New Roman" w:eastAsia="宋体" w:hAnsi="Times New Roman"/>
          <w:color w:val="000000"/>
          <w:sz w:val="20"/>
          <w:szCs w:val="20"/>
        </w:rPr>
        <w:t xml:space="preserve"> new member sign-ups and Plus penetration rate primarily as a result of the COVID-19 pandemic. </w:t>
      </w:r>
    </w:p>
    <w:p w14:paraId="7E785D5E" w14:textId="77777777" w:rsidR="00A82082" w:rsidRDefault="00E946F9">
      <w:pPr>
        <w:spacing w:before="100"/>
      </w:pPr>
      <w:r>
        <w:rPr>
          <w:rFonts w:ascii="Times New Roman" w:eastAsia="宋体" w:hAnsi="Times New Roman"/>
          <w:color w:val="000000"/>
          <w:sz w:val="20"/>
          <w:szCs w:val="20"/>
        </w:rPr>
        <w:t>Despite the increase in net sales from the strong demand resulting from the COVID-19 pandemic, operating expenses as a percentage of segment net sales increased</w:t>
      </w:r>
      <w:r>
        <w:rPr>
          <w:rFonts w:ascii="Times New Roman" w:eastAsia="宋体" w:hAnsi="Times New Roman"/>
          <w:color w:val="000000"/>
          <w:sz w:val="20"/>
          <w:szCs w:val="20"/>
        </w:rPr>
        <w:t xml:space="preserve"> 30 and 31 basis points for the three and nine months ended October 31, 2020, </w:t>
      </w:r>
    </w:p>
    <w:p w14:paraId="7E785D5F" w14:textId="77777777" w:rsidR="00A82082" w:rsidRDefault="00E946F9">
      <w:pPr>
        <w:jc w:val="center"/>
      </w:pPr>
      <w:r>
        <w:rPr>
          <w:rFonts w:ascii="Times New Roman" w:eastAsia="宋体" w:hAnsi="Times New Roman"/>
          <w:color w:val="000000"/>
          <w:sz w:val="20"/>
          <w:szCs w:val="20"/>
        </w:rPr>
        <w:t>24</w:t>
      </w:r>
    </w:p>
    <w:p w14:paraId="7E785D60" w14:textId="77777777" w:rsidR="00A82082" w:rsidRDefault="00E946F9">
      <w:r>
        <w:pict w14:anchorId="7E786160">
          <v:rect id="_x0000_i1048" style="width:415.3pt;height:1.5pt" o:hralign="center" o:hrstd="t" o:hr="t" fillcolor="#a0a0a0" stroked="f"/>
        </w:pict>
      </w:r>
    </w:p>
    <w:p w14:paraId="7E785D61" w14:textId="77777777" w:rsidR="00A82082" w:rsidRDefault="00E946F9">
      <w:hyperlink r:id="rId94" w:anchor="i5c815528a95c4409b9043de534639b9a_7" w:history="1">
        <w:r>
          <w:rPr>
            <w:rStyle w:val="a5"/>
            <w:rFonts w:ascii="Times New Roman" w:eastAsia="宋体" w:hAnsi="Times New Roman"/>
            <w:sz w:val="20"/>
            <w:szCs w:val="20"/>
          </w:rPr>
          <w:t>Table of C</w:t>
        </w:r>
      </w:hyperlink>
      <w:hyperlink r:id="rId95" w:anchor="i5c815528a95c4409b9043de534639b9a_7" w:history="1">
        <w:r>
          <w:rPr>
            <w:rStyle w:val="a5"/>
            <w:rFonts w:ascii="Times New Roman" w:eastAsia="宋体" w:hAnsi="Times New Roman"/>
            <w:sz w:val="20"/>
            <w:szCs w:val="20"/>
          </w:rPr>
          <w:t>ontents</w:t>
        </w:r>
      </w:hyperlink>
    </w:p>
    <w:p w14:paraId="7E785D62" w14:textId="77777777" w:rsidR="00A82082" w:rsidRDefault="00E946F9">
      <w:pPr>
        <w:spacing w:before="100"/>
      </w:pPr>
      <w:r>
        <w:rPr>
          <w:rFonts w:ascii="Times New Roman" w:eastAsia="宋体" w:hAnsi="Times New Roman"/>
          <w:color w:val="000000"/>
          <w:sz w:val="20"/>
          <w:szCs w:val="20"/>
        </w:rPr>
        <w:t>respectively, when compared to the same periods in the previous fiscal year. The increases were primarily the result of $0.1 billion and $0.3 billion of incremental costs related to the COVI</w:t>
      </w:r>
      <w:r>
        <w:rPr>
          <w:rFonts w:ascii="Times New Roman" w:eastAsia="宋体" w:hAnsi="Times New Roman"/>
          <w:color w:val="000000"/>
          <w:sz w:val="20"/>
          <w:szCs w:val="20"/>
        </w:rPr>
        <w:t>D-19 pandemic for the three and nine months ended October 31, 2020, respectively, which included additional costs such as special bonuses for club associates in the first and second quarters of fiscal 2021, expanded security and cleaning practices, expande</w:t>
      </w:r>
      <w:r>
        <w:rPr>
          <w:rFonts w:ascii="Times New Roman" w:eastAsia="宋体" w:hAnsi="Times New Roman"/>
          <w:color w:val="000000"/>
          <w:sz w:val="20"/>
          <w:szCs w:val="20"/>
        </w:rPr>
        <w:t xml:space="preserve">d sick and emergency leave pay, and outfitting our associates with masks and gloves. Additionally, the increases in operating expense as a percentage of segment net sales were affected by reduced tobacco and fuel sales. </w:t>
      </w:r>
    </w:p>
    <w:p w14:paraId="7E785D63" w14:textId="77777777" w:rsidR="00A82082" w:rsidRDefault="00E946F9">
      <w:pPr>
        <w:spacing w:before="100"/>
      </w:pPr>
      <w:r>
        <w:rPr>
          <w:rFonts w:ascii="Times New Roman" w:eastAsia="宋体" w:hAnsi="Times New Roman"/>
          <w:color w:val="000000"/>
          <w:sz w:val="20"/>
          <w:szCs w:val="20"/>
        </w:rPr>
        <w:t>As a result of the factors discusse</w:t>
      </w:r>
      <w:r>
        <w:rPr>
          <w:rFonts w:ascii="Times New Roman" w:eastAsia="宋体" w:hAnsi="Times New Roman"/>
          <w:color w:val="000000"/>
          <w:sz w:val="20"/>
          <w:szCs w:val="20"/>
        </w:rPr>
        <w:t xml:space="preserve">d above, operating income increased $0.1 billion and $0.3 billion for the three and nine months ended October 31, 2020, respectively, when compared to the same periods in the previous fiscal year. </w:t>
      </w:r>
    </w:p>
    <w:p w14:paraId="7E785D64" w14:textId="77777777" w:rsidR="00A82082" w:rsidRDefault="00A82082">
      <w:pPr>
        <w:spacing w:before="100"/>
      </w:pPr>
    </w:p>
    <w:p w14:paraId="7E785D65" w14:textId="77777777" w:rsidR="00A82082" w:rsidRDefault="00E946F9">
      <w:r>
        <w:rPr>
          <w:rFonts w:ascii="Times New Roman" w:eastAsia="宋体" w:hAnsi="Times New Roman"/>
          <w:b/>
          <w:bCs/>
          <w:color w:val="000000"/>
          <w:sz w:val="20"/>
          <w:szCs w:val="20"/>
        </w:rPr>
        <w:t>Liquidity and Capital Resources</w:t>
      </w:r>
    </w:p>
    <w:p w14:paraId="7E785D66" w14:textId="77777777" w:rsidR="00A82082" w:rsidRDefault="00E946F9">
      <w:pPr>
        <w:spacing w:before="100"/>
      </w:pPr>
      <w:r>
        <w:rPr>
          <w:rFonts w:ascii="Times New Roman" w:eastAsia="宋体" w:hAnsi="Times New Roman"/>
          <w:b/>
          <w:bCs/>
          <w:color w:val="000000"/>
          <w:sz w:val="20"/>
          <w:szCs w:val="20"/>
          <w:u w:val="single"/>
        </w:rPr>
        <w:t>Liquidity</w:t>
      </w:r>
    </w:p>
    <w:p w14:paraId="7E785D67" w14:textId="77777777" w:rsidR="00A82082" w:rsidRDefault="00E946F9">
      <w:pPr>
        <w:spacing w:before="100"/>
      </w:pPr>
      <w:r>
        <w:rPr>
          <w:rFonts w:ascii="Times New Roman" w:eastAsia="宋体" w:hAnsi="Times New Roman"/>
          <w:color w:val="000000"/>
          <w:sz w:val="20"/>
          <w:szCs w:val="20"/>
        </w:rPr>
        <w:t>The strength an</w:t>
      </w:r>
      <w:r>
        <w:rPr>
          <w:rFonts w:ascii="Times New Roman" w:eastAsia="宋体" w:hAnsi="Times New Roman"/>
          <w:color w:val="000000"/>
          <w:sz w:val="20"/>
          <w:szCs w:val="20"/>
        </w:rPr>
        <w:t>d stability of our operations have historically supplied us with a significant source of liquidity. Our cash flows provided by operating activities, supplemented with our long-term debt and short-term borrowings, have been sufficient to fund our operations</w:t>
      </w:r>
      <w:r>
        <w:rPr>
          <w:rFonts w:ascii="Times New Roman" w:eastAsia="宋体" w:hAnsi="Times New Roman"/>
          <w:color w:val="000000"/>
          <w:sz w:val="20"/>
          <w:szCs w:val="20"/>
        </w:rPr>
        <w:t xml:space="preserve"> while allowing us to invest in activities that support the long-term growth of our operations. Generally, some or all of the remaining available cash flow has been used to fund the dividends on our common stock and share repurchases. In the current enviro</w:t>
      </w:r>
      <w:r>
        <w:rPr>
          <w:rFonts w:ascii="Times New Roman" w:eastAsia="宋体" w:hAnsi="Times New Roman"/>
          <w:color w:val="000000"/>
          <w:sz w:val="20"/>
          <w:szCs w:val="20"/>
        </w:rPr>
        <w:t>nment,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we believe our sources of liquidity will continue to be adequate to fund operations, finance our global investment and expansion activities, pay dividends and fund our share repurchases for the foreseeable future. </w:t>
      </w:r>
    </w:p>
    <w:p w14:paraId="7E785D68" w14:textId="77777777" w:rsidR="00A82082" w:rsidRDefault="00E946F9">
      <w:pPr>
        <w:spacing w:before="180"/>
      </w:pPr>
      <w:r>
        <w:rPr>
          <w:rFonts w:ascii="Times New Roman" w:eastAsia="宋体" w:hAnsi="Times New Roman"/>
          <w:b/>
          <w:bCs/>
          <w:i/>
          <w:iCs/>
          <w:color w:val="000000"/>
          <w:sz w:val="20"/>
          <w:szCs w:val="20"/>
        </w:rPr>
        <w:t>Net Cash Provided by Operating Act</w:t>
      </w:r>
      <w:r>
        <w:rPr>
          <w:rFonts w:ascii="Times New Roman" w:eastAsia="宋体" w:hAnsi="Times New Roman"/>
          <w:b/>
          <w:bCs/>
          <w:i/>
          <w:iCs/>
          <w:color w:val="000000"/>
          <w:sz w:val="20"/>
          <w:szCs w:val="20"/>
        </w:rPr>
        <w: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81"/>
        <w:gridCol w:w="36"/>
        <w:gridCol w:w="36"/>
        <w:gridCol w:w="36"/>
        <w:gridCol w:w="46"/>
        <w:gridCol w:w="200"/>
        <w:gridCol w:w="200"/>
        <w:gridCol w:w="200"/>
        <w:gridCol w:w="36"/>
        <w:gridCol w:w="36"/>
        <w:gridCol w:w="36"/>
        <w:gridCol w:w="100"/>
        <w:gridCol w:w="738"/>
        <w:gridCol w:w="36"/>
        <w:gridCol w:w="36"/>
        <w:gridCol w:w="121"/>
        <w:gridCol w:w="36"/>
        <w:gridCol w:w="100"/>
        <w:gridCol w:w="753"/>
        <w:gridCol w:w="36"/>
      </w:tblGrid>
      <w:tr w:rsidR="00A82082" w14:paraId="7E785D7E" w14:textId="77777777">
        <w:trPr>
          <w:jc w:val="center"/>
        </w:trPr>
        <w:tc>
          <w:tcPr>
            <w:tcW w:w="50" w:type="pct"/>
            <w:shd w:val="clear" w:color="auto" w:fill="auto"/>
          </w:tcPr>
          <w:p w14:paraId="7E785D69" w14:textId="77777777" w:rsidR="00A82082" w:rsidRDefault="00A82082">
            <w:pPr>
              <w:rPr>
                <w:rFonts w:ascii="宋体"/>
              </w:rPr>
            </w:pPr>
          </w:p>
        </w:tc>
        <w:tc>
          <w:tcPr>
            <w:tcW w:w="3623" w:type="pct"/>
            <w:shd w:val="clear" w:color="auto" w:fill="auto"/>
          </w:tcPr>
          <w:p w14:paraId="7E785D6A" w14:textId="77777777" w:rsidR="00A82082" w:rsidRDefault="00A82082">
            <w:pPr>
              <w:rPr>
                <w:rFonts w:ascii="宋体"/>
              </w:rPr>
            </w:pPr>
          </w:p>
        </w:tc>
        <w:tc>
          <w:tcPr>
            <w:tcW w:w="5" w:type="pct"/>
            <w:shd w:val="clear" w:color="auto" w:fill="auto"/>
          </w:tcPr>
          <w:p w14:paraId="7E785D6B" w14:textId="77777777" w:rsidR="00A82082" w:rsidRDefault="00A82082">
            <w:pPr>
              <w:rPr>
                <w:rFonts w:ascii="宋体"/>
              </w:rPr>
            </w:pPr>
          </w:p>
        </w:tc>
        <w:tc>
          <w:tcPr>
            <w:tcW w:w="0" w:type="auto"/>
            <w:shd w:val="clear" w:color="auto" w:fill="auto"/>
          </w:tcPr>
          <w:p w14:paraId="7E785D6C" w14:textId="77777777" w:rsidR="00A82082" w:rsidRDefault="00A82082">
            <w:pPr>
              <w:rPr>
                <w:rFonts w:ascii="宋体"/>
                <w:vanish/>
              </w:rPr>
            </w:pPr>
          </w:p>
        </w:tc>
        <w:tc>
          <w:tcPr>
            <w:tcW w:w="0" w:type="auto"/>
            <w:shd w:val="clear" w:color="auto" w:fill="auto"/>
          </w:tcPr>
          <w:p w14:paraId="7E785D6D" w14:textId="77777777" w:rsidR="00A82082" w:rsidRDefault="00A82082">
            <w:pPr>
              <w:rPr>
                <w:rFonts w:ascii="宋体"/>
                <w:vanish/>
              </w:rPr>
            </w:pPr>
          </w:p>
        </w:tc>
        <w:tc>
          <w:tcPr>
            <w:tcW w:w="0" w:type="auto"/>
            <w:shd w:val="clear" w:color="auto" w:fill="auto"/>
          </w:tcPr>
          <w:p w14:paraId="7E785D6E" w14:textId="77777777" w:rsidR="00A82082" w:rsidRDefault="00A82082">
            <w:pPr>
              <w:rPr>
                <w:rFonts w:ascii="宋体"/>
                <w:vanish/>
              </w:rPr>
            </w:pPr>
          </w:p>
        </w:tc>
        <w:tc>
          <w:tcPr>
            <w:tcW w:w="0" w:type="auto"/>
            <w:shd w:val="clear" w:color="auto" w:fill="auto"/>
          </w:tcPr>
          <w:p w14:paraId="7E785D6F" w14:textId="77777777" w:rsidR="00A82082" w:rsidRDefault="00A82082">
            <w:pPr>
              <w:rPr>
                <w:rFonts w:ascii="宋体"/>
                <w:vanish/>
              </w:rPr>
            </w:pPr>
          </w:p>
        </w:tc>
        <w:tc>
          <w:tcPr>
            <w:tcW w:w="0" w:type="auto"/>
            <w:shd w:val="clear" w:color="auto" w:fill="auto"/>
          </w:tcPr>
          <w:p w14:paraId="7E785D70" w14:textId="77777777" w:rsidR="00A82082" w:rsidRDefault="00A82082">
            <w:pPr>
              <w:rPr>
                <w:rFonts w:ascii="宋体"/>
                <w:vanish/>
              </w:rPr>
            </w:pPr>
          </w:p>
        </w:tc>
        <w:tc>
          <w:tcPr>
            <w:tcW w:w="0" w:type="auto"/>
            <w:shd w:val="clear" w:color="auto" w:fill="auto"/>
          </w:tcPr>
          <w:p w14:paraId="7E785D71" w14:textId="77777777" w:rsidR="00A82082" w:rsidRDefault="00A82082">
            <w:pPr>
              <w:rPr>
                <w:rFonts w:ascii="宋体"/>
                <w:vanish/>
              </w:rPr>
            </w:pPr>
          </w:p>
        </w:tc>
        <w:tc>
          <w:tcPr>
            <w:tcW w:w="5" w:type="pct"/>
            <w:shd w:val="clear" w:color="auto" w:fill="auto"/>
          </w:tcPr>
          <w:p w14:paraId="7E785D72" w14:textId="77777777" w:rsidR="00A82082" w:rsidRDefault="00A82082">
            <w:pPr>
              <w:rPr>
                <w:rFonts w:ascii="宋体"/>
              </w:rPr>
            </w:pPr>
          </w:p>
        </w:tc>
        <w:tc>
          <w:tcPr>
            <w:tcW w:w="41" w:type="pct"/>
            <w:shd w:val="clear" w:color="auto" w:fill="auto"/>
          </w:tcPr>
          <w:p w14:paraId="7E785D73" w14:textId="77777777" w:rsidR="00A82082" w:rsidRDefault="00A82082">
            <w:pPr>
              <w:rPr>
                <w:rFonts w:ascii="宋体"/>
              </w:rPr>
            </w:pPr>
          </w:p>
        </w:tc>
        <w:tc>
          <w:tcPr>
            <w:tcW w:w="5" w:type="pct"/>
            <w:shd w:val="clear" w:color="auto" w:fill="auto"/>
          </w:tcPr>
          <w:p w14:paraId="7E785D74" w14:textId="77777777" w:rsidR="00A82082" w:rsidRDefault="00A82082">
            <w:pPr>
              <w:rPr>
                <w:rFonts w:ascii="宋体"/>
              </w:rPr>
            </w:pPr>
          </w:p>
        </w:tc>
        <w:tc>
          <w:tcPr>
            <w:tcW w:w="50" w:type="pct"/>
            <w:shd w:val="clear" w:color="auto" w:fill="auto"/>
          </w:tcPr>
          <w:p w14:paraId="7E785D75" w14:textId="77777777" w:rsidR="00A82082" w:rsidRDefault="00A82082">
            <w:pPr>
              <w:rPr>
                <w:rFonts w:ascii="宋体"/>
              </w:rPr>
            </w:pPr>
          </w:p>
        </w:tc>
        <w:tc>
          <w:tcPr>
            <w:tcW w:w="521" w:type="pct"/>
            <w:shd w:val="clear" w:color="auto" w:fill="auto"/>
          </w:tcPr>
          <w:p w14:paraId="7E785D76" w14:textId="77777777" w:rsidR="00A82082" w:rsidRDefault="00A82082">
            <w:pPr>
              <w:rPr>
                <w:rFonts w:ascii="宋体"/>
              </w:rPr>
            </w:pPr>
          </w:p>
        </w:tc>
        <w:tc>
          <w:tcPr>
            <w:tcW w:w="5" w:type="pct"/>
            <w:shd w:val="clear" w:color="auto" w:fill="auto"/>
          </w:tcPr>
          <w:p w14:paraId="7E785D77" w14:textId="77777777" w:rsidR="00A82082" w:rsidRDefault="00A82082">
            <w:pPr>
              <w:rPr>
                <w:rFonts w:ascii="宋体"/>
              </w:rPr>
            </w:pPr>
          </w:p>
        </w:tc>
        <w:tc>
          <w:tcPr>
            <w:tcW w:w="5" w:type="pct"/>
            <w:shd w:val="clear" w:color="auto" w:fill="auto"/>
          </w:tcPr>
          <w:p w14:paraId="7E785D78" w14:textId="77777777" w:rsidR="00A82082" w:rsidRDefault="00A82082">
            <w:pPr>
              <w:rPr>
                <w:rFonts w:ascii="宋体"/>
              </w:rPr>
            </w:pPr>
          </w:p>
        </w:tc>
        <w:tc>
          <w:tcPr>
            <w:tcW w:w="106" w:type="pct"/>
            <w:shd w:val="clear" w:color="auto" w:fill="auto"/>
          </w:tcPr>
          <w:p w14:paraId="7E785D79" w14:textId="77777777" w:rsidR="00A82082" w:rsidRDefault="00A82082">
            <w:pPr>
              <w:rPr>
                <w:rFonts w:ascii="宋体"/>
              </w:rPr>
            </w:pPr>
          </w:p>
        </w:tc>
        <w:tc>
          <w:tcPr>
            <w:tcW w:w="5" w:type="pct"/>
            <w:shd w:val="clear" w:color="auto" w:fill="auto"/>
          </w:tcPr>
          <w:p w14:paraId="7E785D7A" w14:textId="77777777" w:rsidR="00A82082" w:rsidRDefault="00A82082">
            <w:pPr>
              <w:rPr>
                <w:rFonts w:ascii="宋体"/>
              </w:rPr>
            </w:pPr>
          </w:p>
        </w:tc>
        <w:tc>
          <w:tcPr>
            <w:tcW w:w="50" w:type="pct"/>
            <w:shd w:val="clear" w:color="auto" w:fill="auto"/>
          </w:tcPr>
          <w:p w14:paraId="7E785D7B" w14:textId="77777777" w:rsidR="00A82082" w:rsidRDefault="00A82082">
            <w:pPr>
              <w:rPr>
                <w:rFonts w:ascii="宋体"/>
              </w:rPr>
            </w:pPr>
          </w:p>
        </w:tc>
        <w:tc>
          <w:tcPr>
            <w:tcW w:w="521" w:type="pct"/>
            <w:shd w:val="clear" w:color="auto" w:fill="auto"/>
          </w:tcPr>
          <w:p w14:paraId="7E785D7C" w14:textId="77777777" w:rsidR="00A82082" w:rsidRDefault="00A82082">
            <w:pPr>
              <w:rPr>
                <w:rFonts w:ascii="宋体"/>
              </w:rPr>
            </w:pPr>
          </w:p>
        </w:tc>
        <w:tc>
          <w:tcPr>
            <w:tcW w:w="5" w:type="pct"/>
            <w:shd w:val="clear" w:color="auto" w:fill="auto"/>
          </w:tcPr>
          <w:p w14:paraId="7E785D7D" w14:textId="77777777" w:rsidR="00A82082" w:rsidRDefault="00A82082">
            <w:pPr>
              <w:rPr>
                <w:rFonts w:ascii="宋体"/>
              </w:rPr>
            </w:pPr>
          </w:p>
        </w:tc>
      </w:tr>
      <w:tr w:rsidR="00A82082" w14:paraId="7E785D90" w14:textId="77777777">
        <w:trPr>
          <w:jc w:val="center"/>
        </w:trPr>
        <w:tc>
          <w:tcPr>
            <w:tcW w:w="0" w:type="auto"/>
            <w:gridSpan w:val="3"/>
            <w:shd w:val="clear" w:color="auto" w:fill="auto"/>
            <w:tcMar>
              <w:top w:w="0" w:type="dxa"/>
              <w:left w:w="20" w:type="dxa"/>
              <w:bottom w:w="0" w:type="dxa"/>
              <w:right w:w="20" w:type="dxa"/>
            </w:tcMar>
          </w:tcPr>
          <w:p w14:paraId="7E785D7F" w14:textId="77777777" w:rsidR="00A82082" w:rsidRDefault="00A82082">
            <w:pPr>
              <w:rPr>
                <w:rFonts w:ascii="宋体"/>
              </w:rPr>
            </w:pPr>
          </w:p>
        </w:tc>
        <w:tc>
          <w:tcPr>
            <w:tcW w:w="0" w:type="auto"/>
            <w:shd w:val="clear" w:color="auto" w:fill="auto"/>
          </w:tcPr>
          <w:p w14:paraId="7E785D80" w14:textId="77777777" w:rsidR="00A82082" w:rsidRDefault="00A82082">
            <w:pPr>
              <w:rPr>
                <w:rFonts w:ascii="宋体"/>
                <w:vanish/>
              </w:rPr>
            </w:pPr>
          </w:p>
        </w:tc>
        <w:tc>
          <w:tcPr>
            <w:tcW w:w="0" w:type="auto"/>
            <w:shd w:val="clear" w:color="auto" w:fill="auto"/>
          </w:tcPr>
          <w:p w14:paraId="7E785D81" w14:textId="77777777" w:rsidR="00A82082" w:rsidRDefault="00A82082">
            <w:pPr>
              <w:rPr>
                <w:rFonts w:ascii="宋体"/>
                <w:vanish/>
              </w:rPr>
            </w:pPr>
          </w:p>
        </w:tc>
        <w:tc>
          <w:tcPr>
            <w:tcW w:w="0" w:type="auto"/>
            <w:shd w:val="clear" w:color="auto" w:fill="auto"/>
            <w:tcMar>
              <w:top w:w="0" w:type="dxa"/>
              <w:left w:w="20" w:type="dxa"/>
              <w:bottom w:w="0" w:type="dxa"/>
              <w:right w:w="20" w:type="dxa"/>
            </w:tcMar>
          </w:tcPr>
          <w:p w14:paraId="7E785D82"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D83"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D84" w14:textId="77777777" w:rsidR="00A82082" w:rsidRDefault="00A82082">
            <w:pPr>
              <w:rPr>
                <w:rFonts w:ascii="宋体"/>
              </w:rPr>
            </w:pPr>
          </w:p>
        </w:tc>
        <w:tc>
          <w:tcPr>
            <w:tcW w:w="0" w:type="auto"/>
            <w:shd w:val="clear" w:color="auto" w:fill="auto"/>
          </w:tcPr>
          <w:p w14:paraId="7E785D85" w14:textId="77777777" w:rsidR="00A82082" w:rsidRDefault="00A82082">
            <w:pPr>
              <w:rPr>
                <w:rFonts w:ascii="宋体"/>
              </w:rPr>
            </w:pPr>
          </w:p>
        </w:tc>
        <w:tc>
          <w:tcPr>
            <w:tcW w:w="0" w:type="auto"/>
            <w:shd w:val="clear" w:color="auto" w:fill="auto"/>
          </w:tcPr>
          <w:p w14:paraId="7E785D86" w14:textId="77777777" w:rsidR="00A82082" w:rsidRDefault="00A82082">
            <w:pPr>
              <w:rPr>
                <w:rFonts w:ascii="宋体"/>
              </w:rPr>
            </w:pPr>
          </w:p>
        </w:tc>
        <w:tc>
          <w:tcPr>
            <w:tcW w:w="0" w:type="auto"/>
            <w:shd w:val="clear" w:color="auto" w:fill="auto"/>
          </w:tcPr>
          <w:p w14:paraId="7E785D87" w14:textId="77777777" w:rsidR="00A82082" w:rsidRDefault="00A82082">
            <w:pPr>
              <w:rPr>
                <w:rFonts w:ascii="宋体"/>
              </w:rPr>
            </w:pPr>
          </w:p>
        </w:tc>
        <w:tc>
          <w:tcPr>
            <w:tcW w:w="0" w:type="auto"/>
            <w:shd w:val="clear" w:color="auto" w:fill="auto"/>
          </w:tcPr>
          <w:p w14:paraId="7E785D88" w14:textId="77777777" w:rsidR="00A82082" w:rsidRDefault="00A82082">
            <w:pPr>
              <w:rPr>
                <w:rFonts w:ascii="宋体"/>
              </w:rPr>
            </w:pPr>
          </w:p>
        </w:tc>
        <w:tc>
          <w:tcPr>
            <w:tcW w:w="0" w:type="auto"/>
            <w:shd w:val="clear" w:color="auto" w:fill="auto"/>
          </w:tcPr>
          <w:p w14:paraId="7E785D89" w14:textId="77777777" w:rsidR="00A82082" w:rsidRDefault="00A82082">
            <w:pPr>
              <w:rPr>
                <w:rFonts w:ascii="宋体"/>
              </w:rPr>
            </w:pPr>
          </w:p>
        </w:tc>
        <w:tc>
          <w:tcPr>
            <w:tcW w:w="0" w:type="auto"/>
            <w:shd w:val="clear" w:color="auto" w:fill="auto"/>
          </w:tcPr>
          <w:p w14:paraId="7E785D8A" w14:textId="77777777" w:rsidR="00A82082" w:rsidRDefault="00A82082">
            <w:pPr>
              <w:rPr>
                <w:rFonts w:ascii="宋体"/>
              </w:rPr>
            </w:pPr>
          </w:p>
        </w:tc>
        <w:tc>
          <w:tcPr>
            <w:tcW w:w="0" w:type="auto"/>
            <w:shd w:val="clear" w:color="auto" w:fill="auto"/>
          </w:tcPr>
          <w:p w14:paraId="7E785D8B" w14:textId="77777777" w:rsidR="00A82082" w:rsidRDefault="00A82082">
            <w:pPr>
              <w:rPr>
                <w:rFonts w:ascii="宋体"/>
              </w:rPr>
            </w:pPr>
          </w:p>
        </w:tc>
        <w:tc>
          <w:tcPr>
            <w:tcW w:w="0" w:type="auto"/>
            <w:shd w:val="clear" w:color="auto" w:fill="auto"/>
          </w:tcPr>
          <w:p w14:paraId="7E785D8C" w14:textId="77777777" w:rsidR="00A82082" w:rsidRDefault="00A82082">
            <w:pPr>
              <w:rPr>
                <w:rFonts w:ascii="宋体"/>
              </w:rPr>
            </w:pPr>
          </w:p>
        </w:tc>
        <w:tc>
          <w:tcPr>
            <w:tcW w:w="0" w:type="auto"/>
            <w:shd w:val="clear" w:color="auto" w:fill="auto"/>
          </w:tcPr>
          <w:p w14:paraId="7E785D8D" w14:textId="77777777" w:rsidR="00A82082" w:rsidRDefault="00A82082">
            <w:pPr>
              <w:rPr>
                <w:rFonts w:ascii="宋体"/>
              </w:rPr>
            </w:pPr>
          </w:p>
        </w:tc>
        <w:tc>
          <w:tcPr>
            <w:tcW w:w="0" w:type="auto"/>
            <w:shd w:val="clear" w:color="auto" w:fill="auto"/>
          </w:tcPr>
          <w:p w14:paraId="7E785D8E" w14:textId="77777777" w:rsidR="00A82082" w:rsidRDefault="00A82082">
            <w:pPr>
              <w:rPr>
                <w:rFonts w:ascii="宋体"/>
              </w:rPr>
            </w:pPr>
          </w:p>
        </w:tc>
        <w:tc>
          <w:tcPr>
            <w:tcW w:w="0" w:type="auto"/>
            <w:shd w:val="clear" w:color="auto" w:fill="auto"/>
          </w:tcPr>
          <w:p w14:paraId="7E785D8F" w14:textId="77777777" w:rsidR="00A82082" w:rsidRDefault="00A82082">
            <w:pPr>
              <w:rPr>
                <w:rFonts w:ascii="宋体"/>
              </w:rPr>
            </w:pPr>
          </w:p>
        </w:tc>
      </w:tr>
      <w:tr w:rsidR="00A82082" w14:paraId="7E785D9C" w14:textId="77777777">
        <w:trPr>
          <w:jc w:val="center"/>
        </w:trPr>
        <w:tc>
          <w:tcPr>
            <w:tcW w:w="0" w:type="auto"/>
            <w:gridSpan w:val="3"/>
            <w:shd w:val="clear" w:color="auto" w:fill="auto"/>
            <w:tcMar>
              <w:top w:w="40" w:type="dxa"/>
              <w:left w:w="20" w:type="dxa"/>
              <w:bottom w:w="40" w:type="dxa"/>
              <w:right w:w="20" w:type="dxa"/>
            </w:tcMar>
            <w:vAlign w:val="center"/>
          </w:tcPr>
          <w:p w14:paraId="7E785D91" w14:textId="77777777" w:rsidR="00A82082" w:rsidRDefault="00E946F9">
            <w:pPr>
              <w:textAlignment w:val="center"/>
            </w:pPr>
            <w:r>
              <w:rPr>
                <w:rFonts w:ascii="Times New Roman" w:eastAsia="宋体" w:hAnsi="Times New Roman"/>
                <w:i/>
                <w:iCs/>
                <w:color w:val="000000"/>
                <w:sz w:val="16"/>
                <w:szCs w:val="16"/>
              </w:rPr>
              <w:t>(Amounts in millions)</w:t>
            </w:r>
          </w:p>
        </w:tc>
        <w:tc>
          <w:tcPr>
            <w:tcW w:w="0" w:type="auto"/>
            <w:shd w:val="clear" w:color="auto" w:fill="auto"/>
          </w:tcPr>
          <w:p w14:paraId="7E785D92" w14:textId="77777777" w:rsidR="00A82082" w:rsidRDefault="00A82082">
            <w:pPr>
              <w:rPr>
                <w:rFonts w:ascii="宋体"/>
                <w:vanish/>
              </w:rPr>
            </w:pPr>
          </w:p>
        </w:tc>
        <w:tc>
          <w:tcPr>
            <w:tcW w:w="0" w:type="auto"/>
            <w:shd w:val="clear" w:color="auto" w:fill="auto"/>
          </w:tcPr>
          <w:p w14:paraId="7E785D93" w14:textId="77777777" w:rsidR="00A82082" w:rsidRDefault="00A82082">
            <w:pPr>
              <w:rPr>
                <w:rFonts w:ascii="宋体"/>
                <w:vanish/>
              </w:rPr>
            </w:pPr>
          </w:p>
        </w:tc>
        <w:tc>
          <w:tcPr>
            <w:tcW w:w="0" w:type="auto"/>
            <w:shd w:val="clear" w:color="auto" w:fill="auto"/>
          </w:tcPr>
          <w:p w14:paraId="7E785D94" w14:textId="77777777" w:rsidR="00A82082" w:rsidRDefault="00A82082">
            <w:pPr>
              <w:rPr>
                <w:rFonts w:ascii="宋体"/>
                <w:vanish/>
              </w:rPr>
            </w:pPr>
          </w:p>
        </w:tc>
        <w:tc>
          <w:tcPr>
            <w:tcW w:w="0" w:type="auto"/>
            <w:shd w:val="clear" w:color="auto" w:fill="auto"/>
          </w:tcPr>
          <w:p w14:paraId="7E785D95" w14:textId="77777777" w:rsidR="00A82082" w:rsidRDefault="00A82082">
            <w:pPr>
              <w:rPr>
                <w:rFonts w:ascii="宋体"/>
                <w:vanish/>
              </w:rPr>
            </w:pPr>
          </w:p>
        </w:tc>
        <w:tc>
          <w:tcPr>
            <w:tcW w:w="0" w:type="auto"/>
            <w:shd w:val="clear" w:color="auto" w:fill="auto"/>
          </w:tcPr>
          <w:p w14:paraId="7E785D96" w14:textId="77777777" w:rsidR="00A82082" w:rsidRDefault="00A82082">
            <w:pPr>
              <w:rPr>
                <w:rFonts w:ascii="宋体"/>
                <w:vanish/>
              </w:rPr>
            </w:pPr>
          </w:p>
        </w:tc>
        <w:tc>
          <w:tcPr>
            <w:tcW w:w="0" w:type="auto"/>
            <w:shd w:val="clear" w:color="auto" w:fill="auto"/>
          </w:tcPr>
          <w:p w14:paraId="7E785D97" w14:textId="77777777" w:rsidR="00A82082" w:rsidRDefault="00A82082">
            <w:pPr>
              <w:rPr>
                <w:rFonts w:ascii="宋体"/>
                <w:vanish/>
              </w:rPr>
            </w:pPr>
          </w:p>
        </w:tc>
        <w:tc>
          <w:tcPr>
            <w:tcW w:w="0" w:type="auto"/>
            <w:gridSpan w:val="3"/>
            <w:shd w:val="clear" w:color="auto" w:fill="auto"/>
            <w:tcMar>
              <w:top w:w="0" w:type="dxa"/>
              <w:left w:w="20" w:type="dxa"/>
              <w:bottom w:w="0" w:type="dxa"/>
              <w:right w:w="20" w:type="dxa"/>
            </w:tcMar>
          </w:tcPr>
          <w:p w14:paraId="7E785D98"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D99"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D9A"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D9B"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DAC" w14:textId="77777777">
        <w:trPr>
          <w:jc w:val="center"/>
        </w:trPr>
        <w:tc>
          <w:tcPr>
            <w:tcW w:w="0" w:type="auto"/>
            <w:gridSpan w:val="3"/>
            <w:shd w:val="clear" w:color="auto" w:fill="CCEEFF"/>
            <w:tcMar>
              <w:top w:w="40" w:type="dxa"/>
              <w:left w:w="20" w:type="dxa"/>
              <w:bottom w:w="40" w:type="dxa"/>
              <w:right w:w="20" w:type="dxa"/>
            </w:tcMar>
            <w:vAlign w:val="center"/>
          </w:tcPr>
          <w:p w14:paraId="7E785D9D" w14:textId="77777777" w:rsidR="00A82082" w:rsidRDefault="00E946F9">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tcPr>
          <w:p w14:paraId="7E785D9E" w14:textId="77777777" w:rsidR="00A82082" w:rsidRDefault="00A82082">
            <w:pPr>
              <w:rPr>
                <w:rFonts w:ascii="宋体"/>
                <w:vanish/>
              </w:rPr>
            </w:pPr>
          </w:p>
        </w:tc>
        <w:tc>
          <w:tcPr>
            <w:tcW w:w="0" w:type="auto"/>
            <w:shd w:val="clear" w:color="auto" w:fill="auto"/>
          </w:tcPr>
          <w:p w14:paraId="7E785D9F" w14:textId="77777777" w:rsidR="00A82082" w:rsidRDefault="00A82082">
            <w:pPr>
              <w:rPr>
                <w:rFonts w:ascii="宋体"/>
                <w:vanish/>
              </w:rPr>
            </w:pPr>
          </w:p>
        </w:tc>
        <w:tc>
          <w:tcPr>
            <w:tcW w:w="0" w:type="auto"/>
            <w:shd w:val="clear" w:color="auto" w:fill="auto"/>
          </w:tcPr>
          <w:p w14:paraId="7E785DA0" w14:textId="77777777" w:rsidR="00A82082" w:rsidRDefault="00A82082">
            <w:pPr>
              <w:rPr>
                <w:rFonts w:ascii="宋体"/>
                <w:vanish/>
              </w:rPr>
            </w:pPr>
          </w:p>
        </w:tc>
        <w:tc>
          <w:tcPr>
            <w:tcW w:w="0" w:type="auto"/>
            <w:shd w:val="clear" w:color="auto" w:fill="auto"/>
          </w:tcPr>
          <w:p w14:paraId="7E785DA1" w14:textId="77777777" w:rsidR="00A82082" w:rsidRDefault="00A82082">
            <w:pPr>
              <w:rPr>
                <w:rFonts w:ascii="宋体"/>
                <w:vanish/>
              </w:rPr>
            </w:pPr>
          </w:p>
        </w:tc>
        <w:tc>
          <w:tcPr>
            <w:tcW w:w="0" w:type="auto"/>
            <w:shd w:val="clear" w:color="auto" w:fill="auto"/>
          </w:tcPr>
          <w:p w14:paraId="7E785DA2" w14:textId="77777777" w:rsidR="00A82082" w:rsidRDefault="00A82082">
            <w:pPr>
              <w:rPr>
                <w:rFonts w:ascii="宋体"/>
                <w:vanish/>
              </w:rPr>
            </w:pPr>
          </w:p>
        </w:tc>
        <w:tc>
          <w:tcPr>
            <w:tcW w:w="0" w:type="auto"/>
            <w:shd w:val="clear" w:color="auto" w:fill="auto"/>
          </w:tcPr>
          <w:p w14:paraId="7E785DA3"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DA4"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DA5"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DA6" w14:textId="77777777" w:rsidR="00A82082" w:rsidRDefault="00E946F9">
            <w:pPr>
              <w:jc w:val="right"/>
              <w:textAlignment w:val="center"/>
            </w:pPr>
            <w:r>
              <w:rPr>
                <w:rFonts w:ascii="Times New Roman" w:eastAsia="宋体" w:hAnsi="Times New Roman"/>
                <w:color w:val="000000"/>
                <w:sz w:val="16"/>
                <w:szCs w:val="16"/>
              </w:rPr>
              <w:t>22,880 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DA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DA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DA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DAA" w14:textId="77777777" w:rsidR="00A82082" w:rsidRDefault="00E946F9">
            <w:pPr>
              <w:jc w:val="right"/>
              <w:textAlignment w:val="center"/>
            </w:pPr>
            <w:r>
              <w:rPr>
                <w:rFonts w:ascii="Times New Roman" w:eastAsia="宋体" w:hAnsi="Times New Roman"/>
                <w:color w:val="000000"/>
                <w:sz w:val="16"/>
                <w:szCs w:val="16"/>
              </w:rPr>
              <w:t>14,539 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DAB" w14:textId="77777777" w:rsidR="00A82082" w:rsidRDefault="00A82082">
            <w:pPr>
              <w:jc w:val="right"/>
              <w:rPr>
                <w:rFonts w:ascii="宋体"/>
              </w:rPr>
            </w:pPr>
          </w:p>
        </w:tc>
      </w:tr>
    </w:tbl>
    <w:p w14:paraId="7E785DAD" w14:textId="77777777" w:rsidR="00A82082" w:rsidRDefault="00E946F9">
      <w:pPr>
        <w:spacing w:before="160"/>
      </w:pPr>
      <w:r>
        <w:rPr>
          <w:rFonts w:ascii="Times New Roman" w:eastAsia="宋体" w:hAnsi="Times New Roman"/>
          <w:color w:val="000000"/>
          <w:sz w:val="20"/>
          <w:szCs w:val="20"/>
        </w:rPr>
        <w:t xml:space="preserve">Net cash provided by operating activities was $22.9 billion and $14.5 billion for the nine months ended October 31, 2020 and 2019, respectively. The increase in cash provided by operating activities for the nine months ended October 31, 2020, </w:t>
      </w:r>
      <w:r>
        <w:rPr>
          <w:rFonts w:ascii="Times New Roman" w:eastAsia="宋体" w:hAnsi="Times New Roman"/>
          <w:color w:val="000000"/>
          <w:sz w:val="20"/>
          <w:szCs w:val="20"/>
        </w:rPr>
        <w:t>was primarily due to the impact of the global health crisis which accelerated inventory sell-through, as well as the timing and payment of inventory purchases, incremental COVID-19 related expenses and certain benefit payments.</w:t>
      </w:r>
    </w:p>
    <w:p w14:paraId="7E785DAE" w14:textId="77777777" w:rsidR="00A82082" w:rsidRDefault="00E946F9">
      <w:pPr>
        <w:spacing w:before="180"/>
      </w:pPr>
      <w:r>
        <w:rPr>
          <w:rFonts w:ascii="Times New Roman" w:eastAsia="宋体" w:hAnsi="Times New Roman"/>
          <w:i/>
          <w:iCs/>
          <w:color w:val="000000"/>
          <w:sz w:val="20"/>
          <w:szCs w:val="20"/>
        </w:rPr>
        <w:t>Cash Equivalents and Working</w:t>
      </w:r>
      <w:r>
        <w:rPr>
          <w:rFonts w:ascii="Times New Roman" w:eastAsia="宋体" w:hAnsi="Times New Roman"/>
          <w:i/>
          <w:iCs/>
          <w:color w:val="000000"/>
          <w:sz w:val="20"/>
          <w:szCs w:val="20"/>
        </w:rPr>
        <w:t xml:space="preserve"> Capital Deficit </w:t>
      </w:r>
    </w:p>
    <w:p w14:paraId="7E785DAF" w14:textId="77777777" w:rsidR="00A82082" w:rsidRDefault="00E946F9">
      <w:pPr>
        <w:spacing w:before="100"/>
      </w:pPr>
      <w:r>
        <w:rPr>
          <w:rFonts w:ascii="Times New Roman" w:eastAsia="宋体" w:hAnsi="Times New Roman"/>
          <w:color w:val="000000"/>
          <w:sz w:val="20"/>
          <w:szCs w:val="20"/>
        </w:rPr>
        <w:t xml:space="preserve">Cash and cash equivalents were $14.3 billion and $8.6 billion at October 31, 2020 and 2019, respectively. We maintained more cash at October 31, 2020 compared to October 31, 2019 in order to provide us with enhanced financial flexibility </w:t>
      </w:r>
      <w:r>
        <w:rPr>
          <w:rFonts w:ascii="Times New Roman" w:eastAsia="宋体" w:hAnsi="Times New Roman"/>
          <w:color w:val="000000"/>
          <w:sz w:val="20"/>
          <w:szCs w:val="20"/>
        </w:rPr>
        <w:t>due to the uncertainties related to the COVID-19 pandemic. Our working capital deficit was $14.5 billion at October 31, 2020, which decreased when compared to $15.9 billion at October 31, 2019. We generally operate with a working capital deficit due to our</w:t>
      </w:r>
      <w:r>
        <w:rPr>
          <w:rFonts w:ascii="Times New Roman" w:eastAsia="宋体" w:hAnsi="Times New Roman"/>
          <w:color w:val="000000"/>
          <w:sz w:val="20"/>
          <w:szCs w:val="20"/>
        </w:rPr>
        <w:t xml:space="preserve"> efficient use of cash in funding operations, consistent access to the capital markets and returns provided to our shareholders in the form of payments of cash dividends and share repurchases. </w:t>
      </w:r>
    </w:p>
    <w:p w14:paraId="7E785DB0" w14:textId="77777777" w:rsidR="00A82082" w:rsidRDefault="00E946F9">
      <w:pPr>
        <w:spacing w:before="100"/>
      </w:pPr>
      <w:r>
        <w:rPr>
          <w:rFonts w:ascii="Times New Roman" w:eastAsia="宋体" w:hAnsi="Times New Roman"/>
          <w:color w:val="000000"/>
          <w:sz w:val="20"/>
          <w:szCs w:val="20"/>
        </w:rPr>
        <w:t>As of October 31, 2020 and January 31, 2020, cash and cash equ</w:t>
      </w:r>
      <w:r>
        <w:rPr>
          <w:rFonts w:ascii="Times New Roman" w:eastAsia="宋体" w:hAnsi="Times New Roman"/>
          <w:color w:val="000000"/>
          <w:sz w:val="20"/>
          <w:szCs w:val="20"/>
        </w:rPr>
        <w:t>ivalents of $3.4 billion and $2.3 billion, respectively, may not be freely transferable to the U.S. due to local laws or other restrictions. Of the $3.4 billion at October 31, 2020, approximately $1.4 billion can only be accessed through dividends or inter</w:t>
      </w:r>
      <w:r>
        <w:rPr>
          <w:rFonts w:ascii="Times New Roman" w:eastAsia="宋体" w:hAnsi="Times New Roman"/>
          <w:color w:val="000000"/>
          <w:sz w:val="20"/>
          <w:szCs w:val="20"/>
        </w:rPr>
        <w:t xml:space="preserve">company financing arrangements subject to approval of the Flipkart minority shareholders; however, this cash is expected to be utilized to fund the operations of Flipkart. </w:t>
      </w:r>
    </w:p>
    <w:p w14:paraId="7E785DB1" w14:textId="77777777" w:rsidR="00A82082" w:rsidRDefault="00A82082"/>
    <w:p w14:paraId="7E785DB2" w14:textId="77777777" w:rsidR="00A82082" w:rsidRDefault="00E946F9">
      <w:r>
        <w:rPr>
          <w:rFonts w:ascii="Times New Roman" w:eastAsia="宋体" w:hAnsi="Times New Roman"/>
          <w:b/>
          <w:bCs/>
          <w:i/>
          <w:iCs/>
          <w:color w:val="000000"/>
          <w:sz w:val="20"/>
          <w:szCs w:val="20"/>
        </w:rPr>
        <w:t>Net Cash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36"/>
        <w:gridCol w:w="36"/>
        <w:gridCol w:w="36"/>
        <w:gridCol w:w="36"/>
        <w:gridCol w:w="46"/>
        <w:gridCol w:w="36"/>
        <w:gridCol w:w="36"/>
        <w:gridCol w:w="36"/>
        <w:gridCol w:w="36"/>
        <w:gridCol w:w="100"/>
        <w:gridCol w:w="781"/>
        <w:gridCol w:w="36"/>
        <w:gridCol w:w="36"/>
        <w:gridCol w:w="129"/>
        <w:gridCol w:w="36"/>
        <w:gridCol w:w="100"/>
        <w:gridCol w:w="791"/>
        <w:gridCol w:w="36"/>
        <w:gridCol w:w="36"/>
        <w:gridCol w:w="36"/>
        <w:gridCol w:w="36"/>
        <w:gridCol w:w="36"/>
        <w:gridCol w:w="36"/>
        <w:gridCol w:w="36"/>
      </w:tblGrid>
      <w:tr w:rsidR="00A82082" w14:paraId="7E785DC8" w14:textId="77777777">
        <w:trPr>
          <w:jc w:val="center"/>
        </w:trPr>
        <w:tc>
          <w:tcPr>
            <w:tcW w:w="50" w:type="pct"/>
            <w:shd w:val="clear" w:color="auto" w:fill="auto"/>
          </w:tcPr>
          <w:p w14:paraId="7E785DB3" w14:textId="77777777" w:rsidR="00A82082" w:rsidRDefault="00A82082">
            <w:pPr>
              <w:rPr>
                <w:rFonts w:ascii="宋体"/>
              </w:rPr>
            </w:pPr>
          </w:p>
        </w:tc>
        <w:tc>
          <w:tcPr>
            <w:tcW w:w="3623" w:type="pct"/>
            <w:shd w:val="clear" w:color="auto" w:fill="auto"/>
          </w:tcPr>
          <w:p w14:paraId="7E785DB4" w14:textId="77777777" w:rsidR="00A82082" w:rsidRDefault="00A82082">
            <w:pPr>
              <w:rPr>
                <w:rFonts w:ascii="宋体"/>
              </w:rPr>
            </w:pPr>
          </w:p>
        </w:tc>
        <w:tc>
          <w:tcPr>
            <w:tcW w:w="5" w:type="pct"/>
            <w:shd w:val="clear" w:color="auto" w:fill="auto"/>
          </w:tcPr>
          <w:p w14:paraId="7E785DB5" w14:textId="77777777" w:rsidR="00A82082" w:rsidRDefault="00A82082">
            <w:pPr>
              <w:rPr>
                <w:rFonts w:ascii="宋体"/>
              </w:rPr>
            </w:pPr>
          </w:p>
        </w:tc>
        <w:tc>
          <w:tcPr>
            <w:tcW w:w="0" w:type="auto"/>
            <w:shd w:val="clear" w:color="auto" w:fill="auto"/>
          </w:tcPr>
          <w:p w14:paraId="7E785DB6" w14:textId="77777777" w:rsidR="00A82082" w:rsidRDefault="00A82082">
            <w:pPr>
              <w:rPr>
                <w:rFonts w:ascii="宋体"/>
                <w:vanish/>
              </w:rPr>
            </w:pPr>
          </w:p>
        </w:tc>
        <w:tc>
          <w:tcPr>
            <w:tcW w:w="0" w:type="auto"/>
            <w:shd w:val="clear" w:color="auto" w:fill="auto"/>
          </w:tcPr>
          <w:p w14:paraId="7E785DB7" w14:textId="77777777" w:rsidR="00A82082" w:rsidRDefault="00A82082">
            <w:pPr>
              <w:rPr>
                <w:rFonts w:ascii="宋体"/>
                <w:vanish/>
              </w:rPr>
            </w:pPr>
          </w:p>
        </w:tc>
        <w:tc>
          <w:tcPr>
            <w:tcW w:w="0" w:type="auto"/>
            <w:shd w:val="clear" w:color="auto" w:fill="auto"/>
          </w:tcPr>
          <w:p w14:paraId="7E785DB8" w14:textId="77777777" w:rsidR="00A82082" w:rsidRDefault="00A82082">
            <w:pPr>
              <w:rPr>
                <w:rFonts w:ascii="宋体"/>
                <w:vanish/>
              </w:rPr>
            </w:pPr>
          </w:p>
        </w:tc>
        <w:tc>
          <w:tcPr>
            <w:tcW w:w="0" w:type="auto"/>
            <w:shd w:val="clear" w:color="auto" w:fill="auto"/>
          </w:tcPr>
          <w:p w14:paraId="7E785DB9" w14:textId="77777777" w:rsidR="00A82082" w:rsidRDefault="00A82082">
            <w:pPr>
              <w:rPr>
                <w:rFonts w:ascii="宋体"/>
                <w:vanish/>
              </w:rPr>
            </w:pPr>
          </w:p>
        </w:tc>
        <w:tc>
          <w:tcPr>
            <w:tcW w:w="5" w:type="pct"/>
            <w:shd w:val="clear" w:color="auto" w:fill="auto"/>
          </w:tcPr>
          <w:p w14:paraId="7E785DBA" w14:textId="77777777" w:rsidR="00A82082" w:rsidRDefault="00A82082">
            <w:pPr>
              <w:rPr>
                <w:rFonts w:ascii="宋体"/>
              </w:rPr>
            </w:pPr>
          </w:p>
        </w:tc>
        <w:tc>
          <w:tcPr>
            <w:tcW w:w="41" w:type="pct"/>
            <w:shd w:val="clear" w:color="auto" w:fill="auto"/>
          </w:tcPr>
          <w:p w14:paraId="7E785DBB" w14:textId="77777777" w:rsidR="00A82082" w:rsidRDefault="00A82082">
            <w:pPr>
              <w:rPr>
                <w:rFonts w:ascii="宋体"/>
              </w:rPr>
            </w:pPr>
          </w:p>
        </w:tc>
        <w:tc>
          <w:tcPr>
            <w:tcW w:w="5" w:type="pct"/>
            <w:shd w:val="clear" w:color="auto" w:fill="auto"/>
          </w:tcPr>
          <w:p w14:paraId="7E785DBC" w14:textId="77777777" w:rsidR="00A82082" w:rsidRDefault="00A82082">
            <w:pPr>
              <w:rPr>
                <w:rFonts w:ascii="宋体"/>
              </w:rPr>
            </w:pPr>
          </w:p>
        </w:tc>
        <w:tc>
          <w:tcPr>
            <w:tcW w:w="50" w:type="pct"/>
            <w:shd w:val="clear" w:color="auto" w:fill="auto"/>
          </w:tcPr>
          <w:p w14:paraId="7E785DBD" w14:textId="77777777" w:rsidR="00A82082" w:rsidRDefault="00A82082">
            <w:pPr>
              <w:rPr>
                <w:rFonts w:ascii="宋体"/>
              </w:rPr>
            </w:pPr>
          </w:p>
        </w:tc>
        <w:tc>
          <w:tcPr>
            <w:tcW w:w="521" w:type="pct"/>
            <w:shd w:val="clear" w:color="auto" w:fill="auto"/>
          </w:tcPr>
          <w:p w14:paraId="7E785DBE" w14:textId="77777777" w:rsidR="00A82082" w:rsidRDefault="00A82082">
            <w:pPr>
              <w:rPr>
                <w:rFonts w:ascii="宋体"/>
              </w:rPr>
            </w:pPr>
          </w:p>
        </w:tc>
        <w:tc>
          <w:tcPr>
            <w:tcW w:w="5" w:type="pct"/>
            <w:shd w:val="clear" w:color="auto" w:fill="auto"/>
          </w:tcPr>
          <w:p w14:paraId="7E785DBF" w14:textId="77777777" w:rsidR="00A82082" w:rsidRDefault="00A82082">
            <w:pPr>
              <w:rPr>
                <w:rFonts w:ascii="宋体"/>
              </w:rPr>
            </w:pPr>
          </w:p>
        </w:tc>
        <w:tc>
          <w:tcPr>
            <w:tcW w:w="5" w:type="pct"/>
            <w:shd w:val="clear" w:color="auto" w:fill="auto"/>
          </w:tcPr>
          <w:p w14:paraId="7E785DC0" w14:textId="77777777" w:rsidR="00A82082" w:rsidRDefault="00A82082">
            <w:pPr>
              <w:rPr>
                <w:rFonts w:ascii="宋体"/>
              </w:rPr>
            </w:pPr>
          </w:p>
        </w:tc>
        <w:tc>
          <w:tcPr>
            <w:tcW w:w="106" w:type="pct"/>
            <w:shd w:val="clear" w:color="auto" w:fill="auto"/>
          </w:tcPr>
          <w:p w14:paraId="7E785DC1" w14:textId="77777777" w:rsidR="00A82082" w:rsidRDefault="00A82082">
            <w:pPr>
              <w:rPr>
                <w:rFonts w:ascii="宋体"/>
              </w:rPr>
            </w:pPr>
          </w:p>
        </w:tc>
        <w:tc>
          <w:tcPr>
            <w:tcW w:w="5" w:type="pct"/>
            <w:shd w:val="clear" w:color="auto" w:fill="auto"/>
          </w:tcPr>
          <w:p w14:paraId="7E785DC2" w14:textId="77777777" w:rsidR="00A82082" w:rsidRDefault="00A82082">
            <w:pPr>
              <w:rPr>
                <w:rFonts w:ascii="宋体"/>
              </w:rPr>
            </w:pPr>
          </w:p>
        </w:tc>
        <w:tc>
          <w:tcPr>
            <w:tcW w:w="50" w:type="pct"/>
            <w:shd w:val="clear" w:color="auto" w:fill="auto"/>
          </w:tcPr>
          <w:p w14:paraId="7E785DC3" w14:textId="77777777" w:rsidR="00A82082" w:rsidRDefault="00A82082">
            <w:pPr>
              <w:rPr>
                <w:rFonts w:ascii="宋体"/>
              </w:rPr>
            </w:pPr>
          </w:p>
        </w:tc>
        <w:tc>
          <w:tcPr>
            <w:tcW w:w="521" w:type="pct"/>
            <w:shd w:val="clear" w:color="auto" w:fill="auto"/>
          </w:tcPr>
          <w:p w14:paraId="7E785DC4" w14:textId="77777777" w:rsidR="00A82082" w:rsidRDefault="00A82082">
            <w:pPr>
              <w:rPr>
                <w:rFonts w:ascii="宋体"/>
              </w:rPr>
            </w:pPr>
          </w:p>
        </w:tc>
        <w:tc>
          <w:tcPr>
            <w:tcW w:w="5" w:type="pct"/>
            <w:shd w:val="clear" w:color="auto" w:fill="auto"/>
          </w:tcPr>
          <w:p w14:paraId="7E785DC5" w14:textId="77777777" w:rsidR="00A82082" w:rsidRDefault="00A82082">
            <w:pPr>
              <w:rPr>
                <w:rFonts w:ascii="宋体"/>
              </w:rPr>
            </w:pPr>
          </w:p>
        </w:tc>
        <w:tc>
          <w:tcPr>
            <w:tcW w:w="0" w:type="auto"/>
            <w:gridSpan w:val="3"/>
            <w:shd w:val="clear" w:color="auto" w:fill="auto"/>
          </w:tcPr>
          <w:p w14:paraId="7E785DC6" w14:textId="77777777" w:rsidR="00A82082" w:rsidRDefault="00A82082">
            <w:pPr>
              <w:rPr>
                <w:rFonts w:ascii="宋体"/>
                <w:vanish/>
              </w:rPr>
            </w:pPr>
          </w:p>
        </w:tc>
        <w:tc>
          <w:tcPr>
            <w:tcW w:w="0" w:type="auto"/>
            <w:gridSpan w:val="3"/>
            <w:shd w:val="clear" w:color="auto" w:fill="auto"/>
          </w:tcPr>
          <w:p w14:paraId="7E785DC7" w14:textId="77777777" w:rsidR="00A82082" w:rsidRDefault="00A82082">
            <w:pPr>
              <w:rPr>
                <w:rFonts w:ascii="宋体"/>
                <w:vanish/>
              </w:rPr>
            </w:pPr>
          </w:p>
        </w:tc>
      </w:tr>
      <w:tr w:rsidR="00A82082" w14:paraId="7E785DD6" w14:textId="77777777">
        <w:trPr>
          <w:jc w:val="center"/>
        </w:trPr>
        <w:tc>
          <w:tcPr>
            <w:tcW w:w="0" w:type="auto"/>
            <w:gridSpan w:val="3"/>
            <w:shd w:val="clear" w:color="auto" w:fill="auto"/>
            <w:tcMar>
              <w:top w:w="40" w:type="dxa"/>
              <w:left w:w="20" w:type="dxa"/>
              <w:bottom w:w="40" w:type="dxa"/>
              <w:right w:w="20" w:type="dxa"/>
            </w:tcMar>
            <w:vAlign w:val="center"/>
          </w:tcPr>
          <w:p w14:paraId="7E785DC9" w14:textId="77777777" w:rsidR="00A82082" w:rsidRDefault="00E946F9">
            <w:pPr>
              <w:textAlignment w:val="center"/>
            </w:pPr>
            <w:r>
              <w:rPr>
                <w:rFonts w:ascii="Times New Roman" w:eastAsia="宋体" w:hAnsi="Times New Roman"/>
                <w:color w:val="000000"/>
                <w:sz w:val="16"/>
                <w:szCs w:val="16"/>
              </w:rPr>
              <w:t> </w:t>
            </w:r>
          </w:p>
        </w:tc>
        <w:tc>
          <w:tcPr>
            <w:tcW w:w="0" w:type="auto"/>
            <w:shd w:val="clear" w:color="auto" w:fill="auto"/>
          </w:tcPr>
          <w:p w14:paraId="7E785DCA" w14:textId="77777777" w:rsidR="00A82082" w:rsidRDefault="00A82082">
            <w:pPr>
              <w:rPr>
                <w:rFonts w:ascii="宋体"/>
                <w:vanish/>
              </w:rPr>
            </w:pPr>
          </w:p>
        </w:tc>
        <w:tc>
          <w:tcPr>
            <w:tcW w:w="0" w:type="auto"/>
            <w:shd w:val="clear" w:color="auto" w:fill="auto"/>
          </w:tcPr>
          <w:p w14:paraId="7E785DCB" w14:textId="77777777" w:rsidR="00A82082" w:rsidRDefault="00A82082">
            <w:pPr>
              <w:rPr>
                <w:rFonts w:ascii="宋体"/>
                <w:vanish/>
              </w:rPr>
            </w:pPr>
          </w:p>
        </w:tc>
        <w:tc>
          <w:tcPr>
            <w:tcW w:w="0" w:type="auto"/>
            <w:shd w:val="clear" w:color="auto" w:fill="auto"/>
            <w:tcMar>
              <w:top w:w="0" w:type="dxa"/>
              <w:left w:w="20" w:type="dxa"/>
              <w:bottom w:w="0" w:type="dxa"/>
              <w:right w:w="20" w:type="dxa"/>
            </w:tcMar>
          </w:tcPr>
          <w:p w14:paraId="7E785DCC" w14:textId="77777777" w:rsidR="00A82082" w:rsidRDefault="00A82082">
            <w:pPr>
              <w:rPr>
                <w:rFonts w:ascii="宋体"/>
              </w:rPr>
            </w:pPr>
          </w:p>
        </w:tc>
        <w:tc>
          <w:tcPr>
            <w:tcW w:w="0" w:type="auto"/>
            <w:gridSpan w:val="7"/>
            <w:shd w:val="clear" w:color="auto" w:fill="auto"/>
            <w:tcMar>
              <w:top w:w="40" w:type="dxa"/>
              <w:left w:w="20" w:type="dxa"/>
              <w:bottom w:w="40" w:type="dxa"/>
              <w:right w:w="20" w:type="dxa"/>
            </w:tcMar>
            <w:vAlign w:val="bottom"/>
          </w:tcPr>
          <w:p w14:paraId="7E785DCD" w14:textId="77777777" w:rsidR="00A82082" w:rsidRDefault="00E946F9">
            <w:pPr>
              <w:jc w:val="center"/>
              <w:textAlignment w:val="bottom"/>
            </w:pPr>
            <w:r>
              <w:rPr>
                <w:rFonts w:ascii="Times New Roman" w:eastAsia="宋体" w:hAnsi="Times New Roman"/>
                <w:b/>
                <w:bCs/>
                <w:color w:val="000000"/>
                <w:sz w:val="16"/>
                <w:szCs w:val="16"/>
              </w:rPr>
              <w:t xml:space="preserve">Nine Months </w:t>
            </w:r>
            <w:r>
              <w:rPr>
                <w:rFonts w:ascii="Times New Roman" w:eastAsia="宋体" w:hAnsi="Times New Roman"/>
                <w:b/>
                <w:bCs/>
                <w:color w:val="000000"/>
                <w:sz w:val="16"/>
                <w:szCs w:val="16"/>
              </w:rPr>
              <w:t>Ended October 31,</w:t>
            </w:r>
          </w:p>
        </w:tc>
        <w:tc>
          <w:tcPr>
            <w:tcW w:w="0" w:type="auto"/>
            <w:gridSpan w:val="3"/>
            <w:shd w:val="clear" w:color="auto" w:fill="auto"/>
          </w:tcPr>
          <w:p w14:paraId="7E785DCE" w14:textId="77777777" w:rsidR="00A82082" w:rsidRDefault="00A82082">
            <w:pPr>
              <w:rPr>
                <w:rFonts w:ascii="宋体"/>
                <w:vanish/>
              </w:rPr>
            </w:pPr>
          </w:p>
        </w:tc>
        <w:tc>
          <w:tcPr>
            <w:tcW w:w="0" w:type="auto"/>
            <w:gridSpan w:val="3"/>
            <w:shd w:val="clear" w:color="auto" w:fill="auto"/>
          </w:tcPr>
          <w:p w14:paraId="7E785DCF" w14:textId="77777777" w:rsidR="00A82082" w:rsidRDefault="00A82082">
            <w:pPr>
              <w:rPr>
                <w:rFonts w:ascii="宋体"/>
                <w:vanish/>
              </w:rPr>
            </w:pPr>
          </w:p>
        </w:tc>
        <w:tc>
          <w:tcPr>
            <w:tcW w:w="0" w:type="auto"/>
            <w:shd w:val="clear" w:color="auto" w:fill="auto"/>
          </w:tcPr>
          <w:p w14:paraId="7E785DD0" w14:textId="77777777" w:rsidR="00A82082" w:rsidRDefault="00A82082">
            <w:pPr>
              <w:rPr>
                <w:rFonts w:ascii="宋体"/>
              </w:rPr>
            </w:pPr>
          </w:p>
        </w:tc>
        <w:tc>
          <w:tcPr>
            <w:tcW w:w="0" w:type="auto"/>
            <w:shd w:val="clear" w:color="auto" w:fill="auto"/>
          </w:tcPr>
          <w:p w14:paraId="7E785DD1" w14:textId="77777777" w:rsidR="00A82082" w:rsidRDefault="00A82082">
            <w:pPr>
              <w:rPr>
                <w:rFonts w:ascii="宋体"/>
              </w:rPr>
            </w:pPr>
          </w:p>
        </w:tc>
        <w:tc>
          <w:tcPr>
            <w:tcW w:w="0" w:type="auto"/>
            <w:shd w:val="clear" w:color="auto" w:fill="auto"/>
          </w:tcPr>
          <w:p w14:paraId="7E785DD2" w14:textId="77777777" w:rsidR="00A82082" w:rsidRDefault="00A82082">
            <w:pPr>
              <w:rPr>
                <w:rFonts w:ascii="宋体"/>
              </w:rPr>
            </w:pPr>
          </w:p>
        </w:tc>
        <w:tc>
          <w:tcPr>
            <w:tcW w:w="0" w:type="auto"/>
            <w:shd w:val="clear" w:color="auto" w:fill="auto"/>
          </w:tcPr>
          <w:p w14:paraId="7E785DD3" w14:textId="77777777" w:rsidR="00A82082" w:rsidRDefault="00A82082">
            <w:pPr>
              <w:rPr>
                <w:rFonts w:ascii="宋体"/>
              </w:rPr>
            </w:pPr>
          </w:p>
        </w:tc>
        <w:tc>
          <w:tcPr>
            <w:tcW w:w="0" w:type="auto"/>
            <w:shd w:val="clear" w:color="auto" w:fill="auto"/>
          </w:tcPr>
          <w:p w14:paraId="7E785DD4" w14:textId="77777777" w:rsidR="00A82082" w:rsidRDefault="00A82082">
            <w:pPr>
              <w:rPr>
                <w:rFonts w:ascii="宋体"/>
              </w:rPr>
            </w:pPr>
          </w:p>
        </w:tc>
        <w:tc>
          <w:tcPr>
            <w:tcW w:w="0" w:type="auto"/>
            <w:shd w:val="clear" w:color="auto" w:fill="auto"/>
          </w:tcPr>
          <w:p w14:paraId="7E785DD5" w14:textId="77777777" w:rsidR="00A82082" w:rsidRDefault="00A82082">
            <w:pPr>
              <w:rPr>
                <w:rFonts w:ascii="宋体"/>
              </w:rPr>
            </w:pPr>
          </w:p>
        </w:tc>
      </w:tr>
      <w:tr w:rsidR="00A82082" w14:paraId="7E785DE2" w14:textId="77777777">
        <w:trPr>
          <w:jc w:val="center"/>
        </w:trPr>
        <w:tc>
          <w:tcPr>
            <w:tcW w:w="0" w:type="auto"/>
            <w:gridSpan w:val="3"/>
            <w:shd w:val="clear" w:color="auto" w:fill="auto"/>
            <w:tcMar>
              <w:top w:w="40" w:type="dxa"/>
              <w:left w:w="20" w:type="dxa"/>
              <w:bottom w:w="40" w:type="dxa"/>
              <w:right w:w="20" w:type="dxa"/>
            </w:tcMar>
            <w:vAlign w:val="center"/>
          </w:tcPr>
          <w:p w14:paraId="7E785DD7" w14:textId="77777777" w:rsidR="00A82082" w:rsidRDefault="00E946F9">
            <w:pPr>
              <w:textAlignment w:val="center"/>
            </w:pPr>
            <w:r>
              <w:rPr>
                <w:rFonts w:ascii="Times New Roman" w:eastAsia="宋体" w:hAnsi="Times New Roman"/>
                <w:i/>
                <w:iCs/>
                <w:color w:val="000000"/>
                <w:sz w:val="16"/>
                <w:szCs w:val="16"/>
              </w:rPr>
              <w:t>(Amounts in millions)</w:t>
            </w:r>
          </w:p>
        </w:tc>
        <w:tc>
          <w:tcPr>
            <w:tcW w:w="0" w:type="auto"/>
            <w:shd w:val="clear" w:color="auto" w:fill="auto"/>
          </w:tcPr>
          <w:p w14:paraId="7E785DD8" w14:textId="77777777" w:rsidR="00A82082" w:rsidRDefault="00A82082">
            <w:pPr>
              <w:rPr>
                <w:rFonts w:ascii="宋体"/>
                <w:vanish/>
              </w:rPr>
            </w:pPr>
          </w:p>
        </w:tc>
        <w:tc>
          <w:tcPr>
            <w:tcW w:w="0" w:type="auto"/>
            <w:shd w:val="clear" w:color="auto" w:fill="auto"/>
          </w:tcPr>
          <w:p w14:paraId="7E785DD9" w14:textId="77777777" w:rsidR="00A82082" w:rsidRDefault="00A82082">
            <w:pPr>
              <w:rPr>
                <w:rFonts w:ascii="宋体"/>
                <w:vanish/>
              </w:rPr>
            </w:pPr>
          </w:p>
        </w:tc>
        <w:tc>
          <w:tcPr>
            <w:tcW w:w="0" w:type="auto"/>
            <w:shd w:val="clear" w:color="auto" w:fill="auto"/>
          </w:tcPr>
          <w:p w14:paraId="7E785DDA" w14:textId="77777777" w:rsidR="00A82082" w:rsidRDefault="00A82082">
            <w:pPr>
              <w:rPr>
                <w:rFonts w:ascii="宋体"/>
                <w:vanish/>
              </w:rPr>
            </w:pPr>
          </w:p>
        </w:tc>
        <w:tc>
          <w:tcPr>
            <w:tcW w:w="0" w:type="auto"/>
            <w:shd w:val="clear" w:color="auto" w:fill="auto"/>
          </w:tcPr>
          <w:p w14:paraId="7E785DDB" w14:textId="77777777" w:rsidR="00A82082" w:rsidRDefault="00A82082">
            <w:pPr>
              <w:rPr>
                <w:rFonts w:ascii="宋体"/>
                <w:vanish/>
              </w:rPr>
            </w:pPr>
          </w:p>
        </w:tc>
        <w:tc>
          <w:tcPr>
            <w:tcW w:w="0" w:type="auto"/>
            <w:gridSpan w:val="3"/>
            <w:shd w:val="clear" w:color="auto" w:fill="auto"/>
            <w:tcMar>
              <w:top w:w="0" w:type="dxa"/>
              <w:left w:w="20" w:type="dxa"/>
              <w:bottom w:w="0" w:type="dxa"/>
              <w:right w:w="20" w:type="dxa"/>
            </w:tcMar>
          </w:tcPr>
          <w:p w14:paraId="7E785DDC"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DDD" w14:textId="77777777" w:rsidR="00A82082" w:rsidRDefault="00E946F9">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E785DDE"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DDF"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Pr>
          <w:p w14:paraId="7E785DE0" w14:textId="77777777" w:rsidR="00A82082" w:rsidRDefault="00A82082">
            <w:pPr>
              <w:rPr>
                <w:rFonts w:ascii="宋体"/>
                <w:vanish/>
              </w:rPr>
            </w:pPr>
          </w:p>
        </w:tc>
        <w:tc>
          <w:tcPr>
            <w:tcW w:w="0" w:type="auto"/>
            <w:gridSpan w:val="3"/>
            <w:shd w:val="clear" w:color="auto" w:fill="auto"/>
          </w:tcPr>
          <w:p w14:paraId="7E785DE1" w14:textId="77777777" w:rsidR="00A82082" w:rsidRDefault="00A82082">
            <w:pPr>
              <w:rPr>
                <w:rFonts w:ascii="宋体"/>
                <w:vanish/>
              </w:rPr>
            </w:pPr>
          </w:p>
        </w:tc>
      </w:tr>
      <w:tr w:rsidR="00A82082" w14:paraId="7E785DF2" w14:textId="77777777">
        <w:trPr>
          <w:jc w:val="center"/>
        </w:trPr>
        <w:tc>
          <w:tcPr>
            <w:tcW w:w="0" w:type="auto"/>
            <w:gridSpan w:val="3"/>
            <w:shd w:val="clear" w:color="auto" w:fill="CCEEFF"/>
            <w:tcMar>
              <w:top w:w="40" w:type="dxa"/>
              <w:left w:w="20" w:type="dxa"/>
              <w:bottom w:w="40" w:type="dxa"/>
              <w:right w:w="20" w:type="dxa"/>
            </w:tcMar>
            <w:vAlign w:val="center"/>
          </w:tcPr>
          <w:p w14:paraId="7E785DE3" w14:textId="77777777" w:rsidR="00A82082" w:rsidRDefault="00E946F9">
            <w:pPr>
              <w:textAlignment w:val="center"/>
            </w:pPr>
            <w:r>
              <w:rPr>
                <w:rFonts w:ascii="Times New Roman" w:eastAsia="宋体" w:hAnsi="Times New Roman"/>
                <w:color w:val="000000"/>
                <w:sz w:val="16"/>
                <w:szCs w:val="16"/>
              </w:rPr>
              <w:t xml:space="preserve">Net cash used in investing activities </w:t>
            </w:r>
          </w:p>
        </w:tc>
        <w:tc>
          <w:tcPr>
            <w:tcW w:w="0" w:type="auto"/>
            <w:shd w:val="clear" w:color="auto" w:fill="auto"/>
          </w:tcPr>
          <w:p w14:paraId="7E785DE4" w14:textId="77777777" w:rsidR="00A82082" w:rsidRDefault="00A82082">
            <w:pPr>
              <w:rPr>
                <w:rFonts w:ascii="宋体"/>
                <w:vanish/>
              </w:rPr>
            </w:pPr>
          </w:p>
        </w:tc>
        <w:tc>
          <w:tcPr>
            <w:tcW w:w="0" w:type="auto"/>
            <w:shd w:val="clear" w:color="auto" w:fill="auto"/>
          </w:tcPr>
          <w:p w14:paraId="7E785DE5" w14:textId="77777777" w:rsidR="00A82082" w:rsidRDefault="00A82082">
            <w:pPr>
              <w:rPr>
                <w:rFonts w:ascii="宋体"/>
                <w:vanish/>
              </w:rPr>
            </w:pPr>
          </w:p>
        </w:tc>
        <w:tc>
          <w:tcPr>
            <w:tcW w:w="0" w:type="auto"/>
            <w:shd w:val="clear" w:color="auto" w:fill="auto"/>
          </w:tcPr>
          <w:p w14:paraId="7E785DE6" w14:textId="77777777" w:rsidR="00A82082" w:rsidRDefault="00A82082">
            <w:pPr>
              <w:rPr>
                <w:rFonts w:ascii="宋体"/>
                <w:vanish/>
              </w:rPr>
            </w:pPr>
          </w:p>
        </w:tc>
        <w:tc>
          <w:tcPr>
            <w:tcW w:w="0" w:type="auto"/>
            <w:shd w:val="clear" w:color="auto" w:fill="auto"/>
          </w:tcPr>
          <w:p w14:paraId="7E785DE7"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DE8"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DE9"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DEA" w14:textId="77777777" w:rsidR="00A82082" w:rsidRDefault="00E946F9">
            <w:pPr>
              <w:jc w:val="right"/>
              <w:textAlignment w:val="center"/>
            </w:pPr>
            <w:r>
              <w:rPr>
                <w:rFonts w:ascii="Times New Roman" w:eastAsia="宋体" w:hAnsi="Times New Roman"/>
                <w:color w:val="000000"/>
                <w:sz w:val="16"/>
                <w:szCs w:val="16"/>
              </w:rPr>
              <w:t>(6,507)</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DEB"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DEC"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DED"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DEE" w14:textId="77777777" w:rsidR="00A82082" w:rsidRDefault="00E946F9">
            <w:pPr>
              <w:jc w:val="right"/>
              <w:textAlignment w:val="center"/>
            </w:pPr>
            <w:r>
              <w:rPr>
                <w:rFonts w:ascii="Times New Roman" w:eastAsia="宋体" w:hAnsi="Times New Roman"/>
                <w:color w:val="000000"/>
                <w:sz w:val="16"/>
                <w:szCs w:val="16"/>
              </w:rPr>
              <w:t>(6,285)</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DEF" w14:textId="77777777" w:rsidR="00A82082" w:rsidRDefault="00A82082">
            <w:pPr>
              <w:jc w:val="right"/>
              <w:rPr>
                <w:rFonts w:ascii="宋体"/>
              </w:rPr>
            </w:pPr>
          </w:p>
        </w:tc>
        <w:tc>
          <w:tcPr>
            <w:tcW w:w="0" w:type="auto"/>
            <w:gridSpan w:val="3"/>
            <w:shd w:val="clear" w:color="auto" w:fill="auto"/>
          </w:tcPr>
          <w:p w14:paraId="7E785DF0" w14:textId="77777777" w:rsidR="00A82082" w:rsidRDefault="00A82082">
            <w:pPr>
              <w:rPr>
                <w:rFonts w:ascii="宋体"/>
                <w:vanish/>
              </w:rPr>
            </w:pPr>
          </w:p>
        </w:tc>
        <w:tc>
          <w:tcPr>
            <w:tcW w:w="0" w:type="auto"/>
            <w:gridSpan w:val="3"/>
            <w:shd w:val="clear" w:color="auto" w:fill="auto"/>
          </w:tcPr>
          <w:p w14:paraId="7E785DF1" w14:textId="77777777" w:rsidR="00A82082" w:rsidRDefault="00A82082">
            <w:pPr>
              <w:rPr>
                <w:rFonts w:ascii="宋体"/>
                <w:vanish/>
              </w:rPr>
            </w:pPr>
          </w:p>
        </w:tc>
      </w:tr>
    </w:tbl>
    <w:p w14:paraId="7E785DF3" w14:textId="77777777" w:rsidR="00A82082" w:rsidRDefault="00E946F9">
      <w:pPr>
        <w:spacing w:before="160"/>
      </w:pPr>
      <w:r>
        <w:rPr>
          <w:rFonts w:ascii="Times New Roman" w:eastAsia="宋体" w:hAnsi="Times New Roman"/>
          <w:color w:val="000000"/>
          <w:sz w:val="20"/>
          <w:szCs w:val="20"/>
        </w:rPr>
        <w:t>Net cash used in investing activities was $6.5 billion and $6.3 billion for the nine months ended October 31, 2020 and 2019, respectively. Net cash used in investing activities increased $0.2 billion for the nine months ended October 31, 20</w:t>
      </w:r>
      <w:r>
        <w:rPr>
          <w:rFonts w:ascii="Times New Roman" w:eastAsia="宋体" w:hAnsi="Times New Roman"/>
          <w:color w:val="000000"/>
          <w:sz w:val="20"/>
          <w:szCs w:val="20"/>
        </w:rPr>
        <w:t xml:space="preserve">20, primarily as a result of lapping the net proceeds received from the sale of our banking operations in Walmart Canada and the change in other investing activities, partially offset by decreased capital expenditures. </w:t>
      </w:r>
    </w:p>
    <w:p w14:paraId="7E785DF4" w14:textId="77777777" w:rsidR="00A82082" w:rsidRDefault="00E946F9">
      <w:pPr>
        <w:jc w:val="center"/>
      </w:pPr>
      <w:r>
        <w:rPr>
          <w:rFonts w:ascii="Times New Roman" w:eastAsia="宋体" w:hAnsi="Times New Roman"/>
          <w:color w:val="000000"/>
          <w:sz w:val="20"/>
          <w:szCs w:val="20"/>
        </w:rPr>
        <w:t>25</w:t>
      </w:r>
    </w:p>
    <w:p w14:paraId="7E785DF5" w14:textId="77777777" w:rsidR="00A82082" w:rsidRDefault="00E946F9">
      <w:r>
        <w:pict w14:anchorId="7E786161">
          <v:rect id="_x0000_i1049" style="width:415.3pt;height:1.5pt" o:hralign="center" o:hrstd="t" o:hr="t" fillcolor="#a0a0a0" stroked="f"/>
        </w:pict>
      </w:r>
    </w:p>
    <w:p w14:paraId="7E785DF6" w14:textId="77777777" w:rsidR="00A82082" w:rsidRDefault="00E946F9">
      <w:hyperlink r:id="rId96" w:anchor="i5c815528a95c4409b9043de534639b9a_7" w:history="1">
        <w:r>
          <w:rPr>
            <w:rStyle w:val="a5"/>
            <w:rFonts w:ascii="Times New Roman" w:eastAsia="宋体" w:hAnsi="Times New Roman"/>
            <w:sz w:val="20"/>
            <w:szCs w:val="20"/>
          </w:rPr>
          <w:t>Table of C</w:t>
        </w:r>
      </w:hyperlink>
      <w:hyperlink r:id="rId97" w:anchor="i5c815528a95c4409b9043de534639b9a_7" w:history="1">
        <w:r>
          <w:rPr>
            <w:rStyle w:val="a5"/>
            <w:rFonts w:ascii="Times New Roman" w:eastAsia="宋体" w:hAnsi="Times New Roman"/>
            <w:sz w:val="20"/>
            <w:szCs w:val="20"/>
          </w:rPr>
          <w:t>ontents</w:t>
        </w:r>
      </w:hyperlink>
    </w:p>
    <w:p w14:paraId="7E785DF7" w14:textId="77777777" w:rsidR="00A82082" w:rsidRDefault="00E946F9">
      <w:pPr>
        <w:spacing w:before="180"/>
      </w:pPr>
      <w:r>
        <w:rPr>
          <w:rFonts w:ascii="Times New Roman" w:eastAsia="宋体" w:hAnsi="Times New Roman"/>
          <w:b/>
          <w:bCs/>
          <w:i/>
          <w:iCs/>
          <w:color w:val="000000"/>
          <w:sz w:val="20"/>
          <w:szCs w:val="20"/>
        </w:rPr>
        <w:t>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44"/>
        <w:gridCol w:w="36"/>
        <w:gridCol w:w="36"/>
        <w:gridCol w:w="36"/>
        <w:gridCol w:w="36"/>
        <w:gridCol w:w="36"/>
        <w:gridCol w:w="36"/>
        <w:gridCol w:w="36"/>
        <w:gridCol w:w="36"/>
        <w:gridCol w:w="100"/>
        <w:gridCol w:w="782"/>
        <w:gridCol w:w="36"/>
        <w:gridCol w:w="36"/>
        <w:gridCol w:w="129"/>
        <w:gridCol w:w="36"/>
        <w:gridCol w:w="100"/>
        <w:gridCol w:w="793"/>
        <w:gridCol w:w="36"/>
        <w:gridCol w:w="36"/>
        <w:gridCol w:w="36"/>
        <w:gridCol w:w="36"/>
        <w:gridCol w:w="36"/>
        <w:gridCol w:w="36"/>
        <w:gridCol w:w="36"/>
      </w:tblGrid>
      <w:tr w:rsidR="00A82082" w14:paraId="7E785E0D" w14:textId="77777777">
        <w:trPr>
          <w:jc w:val="center"/>
        </w:trPr>
        <w:tc>
          <w:tcPr>
            <w:tcW w:w="50" w:type="pct"/>
            <w:shd w:val="clear" w:color="auto" w:fill="auto"/>
          </w:tcPr>
          <w:p w14:paraId="7E785DF8" w14:textId="77777777" w:rsidR="00A82082" w:rsidRDefault="00A82082">
            <w:pPr>
              <w:rPr>
                <w:rFonts w:ascii="宋体"/>
              </w:rPr>
            </w:pPr>
          </w:p>
        </w:tc>
        <w:tc>
          <w:tcPr>
            <w:tcW w:w="3623" w:type="pct"/>
            <w:shd w:val="clear" w:color="auto" w:fill="auto"/>
          </w:tcPr>
          <w:p w14:paraId="7E785DF9" w14:textId="77777777" w:rsidR="00A82082" w:rsidRDefault="00A82082">
            <w:pPr>
              <w:rPr>
                <w:rFonts w:ascii="宋体"/>
              </w:rPr>
            </w:pPr>
          </w:p>
        </w:tc>
        <w:tc>
          <w:tcPr>
            <w:tcW w:w="5" w:type="pct"/>
            <w:shd w:val="clear" w:color="auto" w:fill="auto"/>
          </w:tcPr>
          <w:p w14:paraId="7E785DFA" w14:textId="77777777" w:rsidR="00A82082" w:rsidRDefault="00A82082">
            <w:pPr>
              <w:rPr>
                <w:rFonts w:ascii="宋体"/>
              </w:rPr>
            </w:pPr>
          </w:p>
        </w:tc>
        <w:tc>
          <w:tcPr>
            <w:tcW w:w="5" w:type="pct"/>
            <w:shd w:val="clear" w:color="auto" w:fill="auto"/>
          </w:tcPr>
          <w:p w14:paraId="7E785DFB" w14:textId="77777777" w:rsidR="00A82082" w:rsidRDefault="00A82082">
            <w:pPr>
              <w:rPr>
                <w:rFonts w:ascii="宋体"/>
              </w:rPr>
            </w:pPr>
          </w:p>
        </w:tc>
        <w:tc>
          <w:tcPr>
            <w:tcW w:w="41" w:type="pct"/>
            <w:shd w:val="clear" w:color="auto" w:fill="auto"/>
          </w:tcPr>
          <w:p w14:paraId="7E785DFC" w14:textId="77777777" w:rsidR="00A82082" w:rsidRDefault="00A82082">
            <w:pPr>
              <w:rPr>
                <w:rFonts w:ascii="宋体"/>
              </w:rPr>
            </w:pPr>
          </w:p>
        </w:tc>
        <w:tc>
          <w:tcPr>
            <w:tcW w:w="5" w:type="pct"/>
            <w:shd w:val="clear" w:color="auto" w:fill="auto"/>
          </w:tcPr>
          <w:p w14:paraId="7E785DFD" w14:textId="77777777" w:rsidR="00A82082" w:rsidRDefault="00A82082">
            <w:pPr>
              <w:rPr>
                <w:rFonts w:ascii="宋体"/>
              </w:rPr>
            </w:pPr>
          </w:p>
        </w:tc>
        <w:tc>
          <w:tcPr>
            <w:tcW w:w="0" w:type="auto"/>
            <w:shd w:val="clear" w:color="auto" w:fill="auto"/>
          </w:tcPr>
          <w:p w14:paraId="7E785DFE" w14:textId="77777777" w:rsidR="00A82082" w:rsidRDefault="00A82082">
            <w:pPr>
              <w:rPr>
                <w:rFonts w:ascii="宋体"/>
                <w:vanish/>
              </w:rPr>
            </w:pPr>
          </w:p>
        </w:tc>
        <w:tc>
          <w:tcPr>
            <w:tcW w:w="0" w:type="auto"/>
            <w:shd w:val="clear" w:color="auto" w:fill="auto"/>
          </w:tcPr>
          <w:p w14:paraId="7E785DFF" w14:textId="77777777" w:rsidR="00A82082" w:rsidRDefault="00A82082">
            <w:pPr>
              <w:rPr>
                <w:rFonts w:ascii="宋体"/>
                <w:vanish/>
              </w:rPr>
            </w:pPr>
          </w:p>
        </w:tc>
        <w:tc>
          <w:tcPr>
            <w:tcW w:w="0" w:type="auto"/>
            <w:shd w:val="clear" w:color="auto" w:fill="auto"/>
          </w:tcPr>
          <w:p w14:paraId="7E785E00" w14:textId="77777777" w:rsidR="00A82082" w:rsidRDefault="00A82082">
            <w:pPr>
              <w:rPr>
                <w:rFonts w:ascii="宋体"/>
                <w:vanish/>
              </w:rPr>
            </w:pPr>
          </w:p>
        </w:tc>
        <w:tc>
          <w:tcPr>
            <w:tcW w:w="0" w:type="auto"/>
            <w:shd w:val="clear" w:color="auto" w:fill="auto"/>
          </w:tcPr>
          <w:p w14:paraId="7E785E01" w14:textId="77777777" w:rsidR="00A82082" w:rsidRDefault="00A82082">
            <w:pPr>
              <w:rPr>
                <w:rFonts w:ascii="宋体"/>
                <w:vanish/>
              </w:rPr>
            </w:pPr>
          </w:p>
        </w:tc>
        <w:tc>
          <w:tcPr>
            <w:tcW w:w="50" w:type="pct"/>
            <w:shd w:val="clear" w:color="auto" w:fill="auto"/>
          </w:tcPr>
          <w:p w14:paraId="7E785E02" w14:textId="77777777" w:rsidR="00A82082" w:rsidRDefault="00A82082">
            <w:pPr>
              <w:rPr>
                <w:rFonts w:ascii="宋体"/>
              </w:rPr>
            </w:pPr>
          </w:p>
        </w:tc>
        <w:tc>
          <w:tcPr>
            <w:tcW w:w="521" w:type="pct"/>
            <w:shd w:val="clear" w:color="auto" w:fill="auto"/>
          </w:tcPr>
          <w:p w14:paraId="7E785E03" w14:textId="77777777" w:rsidR="00A82082" w:rsidRDefault="00A82082">
            <w:pPr>
              <w:rPr>
                <w:rFonts w:ascii="宋体"/>
              </w:rPr>
            </w:pPr>
          </w:p>
        </w:tc>
        <w:tc>
          <w:tcPr>
            <w:tcW w:w="5" w:type="pct"/>
            <w:shd w:val="clear" w:color="auto" w:fill="auto"/>
          </w:tcPr>
          <w:p w14:paraId="7E785E04" w14:textId="77777777" w:rsidR="00A82082" w:rsidRDefault="00A82082">
            <w:pPr>
              <w:rPr>
                <w:rFonts w:ascii="宋体"/>
              </w:rPr>
            </w:pPr>
          </w:p>
        </w:tc>
        <w:tc>
          <w:tcPr>
            <w:tcW w:w="5" w:type="pct"/>
            <w:shd w:val="clear" w:color="auto" w:fill="auto"/>
          </w:tcPr>
          <w:p w14:paraId="7E785E05" w14:textId="77777777" w:rsidR="00A82082" w:rsidRDefault="00A82082">
            <w:pPr>
              <w:rPr>
                <w:rFonts w:ascii="宋体"/>
              </w:rPr>
            </w:pPr>
          </w:p>
        </w:tc>
        <w:tc>
          <w:tcPr>
            <w:tcW w:w="106" w:type="pct"/>
            <w:shd w:val="clear" w:color="auto" w:fill="auto"/>
          </w:tcPr>
          <w:p w14:paraId="7E785E06" w14:textId="77777777" w:rsidR="00A82082" w:rsidRDefault="00A82082">
            <w:pPr>
              <w:rPr>
                <w:rFonts w:ascii="宋体"/>
              </w:rPr>
            </w:pPr>
          </w:p>
        </w:tc>
        <w:tc>
          <w:tcPr>
            <w:tcW w:w="5" w:type="pct"/>
            <w:shd w:val="clear" w:color="auto" w:fill="auto"/>
          </w:tcPr>
          <w:p w14:paraId="7E785E07" w14:textId="77777777" w:rsidR="00A82082" w:rsidRDefault="00A82082">
            <w:pPr>
              <w:rPr>
                <w:rFonts w:ascii="宋体"/>
              </w:rPr>
            </w:pPr>
          </w:p>
        </w:tc>
        <w:tc>
          <w:tcPr>
            <w:tcW w:w="50" w:type="pct"/>
            <w:shd w:val="clear" w:color="auto" w:fill="auto"/>
          </w:tcPr>
          <w:p w14:paraId="7E785E08" w14:textId="77777777" w:rsidR="00A82082" w:rsidRDefault="00A82082">
            <w:pPr>
              <w:rPr>
                <w:rFonts w:ascii="宋体"/>
              </w:rPr>
            </w:pPr>
          </w:p>
        </w:tc>
        <w:tc>
          <w:tcPr>
            <w:tcW w:w="521" w:type="pct"/>
            <w:shd w:val="clear" w:color="auto" w:fill="auto"/>
          </w:tcPr>
          <w:p w14:paraId="7E785E09" w14:textId="77777777" w:rsidR="00A82082" w:rsidRDefault="00A82082">
            <w:pPr>
              <w:rPr>
                <w:rFonts w:ascii="宋体"/>
              </w:rPr>
            </w:pPr>
          </w:p>
        </w:tc>
        <w:tc>
          <w:tcPr>
            <w:tcW w:w="5" w:type="pct"/>
            <w:shd w:val="clear" w:color="auto" w:fill="auto"/>
          </w:tcPr>
          <w:p w14:paraId="7E785E0A" w14:textId="77777777" w:rsidR="00A82082" w:rsidRDefault="00A82082">
            <w:pPr>
              <w:rPr>
                <w:rFonts w:ascii="宋体"/>
              </w:rPr>
            </w:pPr>
          </w:p>
        </w:tc>
        <w:tc>
          <w:tcPr>
            <w:tcW w:w="0" w:type="auto"/>
            <w:gridSpan w:val="3"/>
            <w:shd w:val="clear" w:color="auto" w:fill="auto"/>
          </w:tcPr>
          <w:p w14:paraId="7E785E0B" w14:textId="77777777" w:rsidR="00A82082" w:rsidRDefault="00A82082">
            <w:pPr>
              <w:rPr>
                <w:rFonts w:ascii="宋体"/>
                <w:vanish/>
              </w:rPr>
            </w:pPr>
          </w:p>
        </w:tc>
        <w:tc>
          <w:tcPr>
            <w:tcW w:w="0" w:type="auto"/>
            <w:gridSpan w:val="3"/>
            <w:shd w:val="clear" w:color="auto" w:fill="auto"/>
          </w:tcPr>
          <w:p w14:paraId="7E785E0C" w14:textId="77777777" w:rsidR="00A82082" w:rsidRDefault="00A82082">
            <w:pPr>
              <w:rPr>
                <w:rFonts w:ascii="宋体"/>
                <w:vanish/>
              </w:rPr>
            </w:pPr>
          </w:p>
        </w:tc>
      </w:tr>
      <w:tr w:rsidR="00A82082" w14:paraId="7E785E1B" w14:textId="77777777">
        <w:trPr>
          <w:jc w:val="center"/>
        </w:trPr>
        <w:tc>
          <w:tcPr>
            <w:tcW w:w="0" w:type="auto"/>
            <w:gridSpan w:val="3"/>
            <w:shd w:val="clear" w:color="auto" w:fill="auto"/>
            <w:tcMar>
              <w:top w:w="40" w:type="dxa"/>
              <w:left w:w="20" w:type="dxa"/>
              <w:bottom w:w="40" w:type="dxa"/>
              <w:right w:w="20" w:type="dxa"/>
            </w:tcMar>
            <w:vAlign w:val="center"/>
          </w:tcPr>
          <w:p w14:paraId="7E785E0E"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E785E0F" w14:textId="77777777" w:rsidR="00A82082" w:rsidRDefault="00A82082">
            <w:pPr>
              <w:rPr>
                <w:rFonts w:ascii="宋体"/>
              </w:rPr>
            </w:pPr>
          </w:p>
        </w:tc>
        <w:tc>
          <w:tcPr>
            <w:tcW w:w="0" w:type="auto"/>
            <w:shd w:val="clear" w:color="auto" w:fill="auto"/>
          </w:tcPr>
          <w:p w14:paraId="7E785E10" w14:textId="77777777" w:rsidR="00A82082" w:rsidRDefault="00A82082">
            <w:pPr>
              <w:rPr>
                <w:rFonts w:ascii="宋体"/>
                <w:vanish/>
              </w:rPr>
            </w:pPr>
          </w:p>
        </w:tc>
        <w:tc>
          <w:tcPr>
            <w:tcW w:w="0" w:type="auto"/>
            <w:shd w:val="clear" w:color="auto" w:fill="auto"/>
          </w:tcPr>
          <w:p w14:paraId="7E785E11" w14:textId="77777777" w:rsidR="00A82082" w:rsidRDefault="00A82082">
            <w:pPr>
              <w:rPr>
                <w:rFonts w:ascii="宋体"/>
                <w:vanish/>
              </w:rPr>
            </w:pPr>
          </w:p>
        </w:tc>
        <w:tc>
          <w:tcPr>
            <w:tcW w:w="0" w:type="auto"/>
            <w:gridSpan w:val="5"/>
            <w:shd w:val="clear" w:color="auto" w:fill="auto"/>
            <w:tcMar>
              <w:top w:w="40" w:type="dxa"/>
              <w:left w:w="20" w:type="dxa"/>
              <w:bottom w:w="40" w:type="dxa"/>
              <w:right w:w="20" w:type="dxa"/>
            </w:tcMar>
            <w:vAlign w:val="bottom"/>
          </w:tcPr>
          <w:p w14:paraId="7E785E12" w14:textId="77777777" w:rsidR="00A82082" w:rsidRDefault="00E946F9">
            <w:pPr>
              <w:jc w:val="center"/>
              <w:textAlignment w:val="bottom"/>
            </w:pPr>
            <w:r>
              <w:rPr>
                <w:rFonts w:ascii="Times New Roman" w:eastAsia="宋体" w:hAnsi="Times New Roman"/>
                <w:b/>
                <w:bCs/>
                <w:color w:val="000000"/>
                <w:sz w:val="16"/>
                <w:szCs w:val="16"/>
              </w:rPr>
              <w:t xml:space="preserve">Nine Months Ended </w:t>
            </w:r>
            <w:r>
              <w:rPr>
                <w:rFonts w:ascii="Times New Roman" w:eastAsia="宋体" w:hAnsi="Times New Roman"/>
                <w:b/>
                <w:bCs/>
                <w:color w:val="000000"/>
                <w:sz w:val="16"/>
                <w:szCs w:val="16"/>
              </w:rPr>
              <w:t>October 31,</w:t>
            </w:r>
          </w:p>
        </w:tc>
        <w:tc>
          <w:tcPr>
            <w:tcW w:w="0" w:type="auto"/>
            <w:gridSpan w:val="3"/>
            <w:shd w:val="clear" w:color="auto" w:fill="auto"/>
          </w:tcPr>
          <w:p w14:paraId="7E785E13" w14:textId="77777777" w:rsidR="00A82082" w:rsidRDefault="00A82082">
            <w:pPr>
              <w:rPr>
                <w:rFonts w:ascii="宋体"/>
                <w:vanish/>
              </w:rPr>
            </w:pPr>
          </w:p>
        </w:tc>
        <w:tc>
          <w:tcPr>
            <w:tcW w:w="0" w:type="auto"/>
            <w:gridSpan w:val="3"/>
            <w:shd w:val="clear" w:color="auto" w:fill="auto"/>
          </w:tcPr>
          <w:p w14:paraId="7E785E14" w14:textId="77777777" w:rsidR="00A82082" w:rsidRDefault="00A82082">
            <w:pPr>
              <w:rPr>
                <w:rFonts w:ascii="宋体"/>
                <w:vanish/>
              </w:rPr>
            </w:pPr>
          </w:p>
        </w:tc>
        <w:tc>
          <w:tcPr>
            <w:tcW w:w="0" w:type="auto"/>
            <w:shd w:val="clear" w:color="auto" w:fill="auto"/>
          </w:tcPr>
          <w:p w14:paraId="7E785E15" w14:textId="77777777" w:rsidR="00A82082" w:rsidRDefault="00A82082">
            <w:pPr>
              <w:rPr>
                <w:rFonts w:ascii="宋体"/>
              </w:rPr>
            </w:pPr>
          </w:p>
        </w:tc>
        <w:tc>
          <w:tcPr>
            <w:tcW w:w="0" w:type="auto"/>
            <w:shd w:val="clear" w:color="auto" w:fill="auto"/>
          </w:tcPr>
          <w:p w14:paraId="7E785E16" w14:textId="77777777" w:rsidR="00A82082" w:rsidRDefault="00A82082">
            <w:pPr>
              <w:rPr>
                <w:rFonts w:ascii="宋体"/>
              </w:rPr>
            </w:pPr>
          </w:p>
        </w:tc>
        <w:tc>
          <w:tcPr>
            <w:tcW w:w="0" w:type="auto"/>
            <w:shd w:val="clear" w:color="auto" w:fill="auto"/>
          </w:tcPr>
          <w:p w14:paraId="7E785E17" w14:textId="77777777" w:rsidR="00A82082" w:rsidRDefault="00A82082">
            <w:pPr>
              <w:rPr>
                <w:rFonts w:ascii="宋体"/>
              </w:rPr>
            </w:pPr>
          </w:p>
        </w:tc>
        <w:tc>
          <w:tcPr>
            <w:tcW w:w="0" w:type="auto"/>
            <w:shd w:val="clear" w:color="auto" w:fill="auto"/>
          </w:tcPr>
          <w:p w14:paraId="7E785E18" w14:textId="77777777" w:rsidR="00A82082" w:rsidRDefault="00A82082">
            <w:pPr>
              <w:rPr>
                <w:rFonts w:ascii="宋体"/>
              </w:rPr>
            </w:pPr>
          </w:p>
        </w:tc>
        <w:tc>
          <w:tcPr>
            <w:tcW w:w="0" w:type="auto"/>
            <w:shd w:val="clear" w:color="auto" w:fill="auto"/>
          </w:tcPr>
          <w:p w14:paraId="7E785E19" w14:textId="77777777" w:rsidR="00A82082" w:rsidRDefault="00A82082">
            <w:pPr>
              <w:rPr>
                <w:rFonts w:ascii="宋体"/>
              </w:rPr>
            </w:pPr>
          </w:p>
        </w:tc>
        <w:tc>
          <w:tcPr>
            <w:tcW w:w="0" w:type="auto"/>
            <w:shd w:val="clear" w:color="auto" w:fill="auto"/>
          </w:tcPr>
          <w:p w14:paraId="7E785E1A" w14:textId="77777777" w:rsidR="00A82082" w:rsidRDefault="00A82082">
            <w:pPr>
              <w:rPr>
                <w:rFonts w:ascii="宋体"/>
              </w:rPr>
            </w:pPr>
          </w:p>
        </w:tc>
      </w:tr>
      <w:tr w:rsidR="00A82082" w14:paraId="7E785E27" w14:textId="77777777">
        <w:trPr>
          <w:jc w:val="center"/>
        </w:trPr>
        <w:tc>
          <w:tcPr>
            <w:tcW w:w="0" w:type="auto"/>
            <w:gridSpan w:val="3"/>
            <w:shd w:val="clear" w:color="auto" w:fill="auto"/>
            <w:tcMar>
              <w:top w:w="40" w:type="dxa"/>
              <w:left w:w="20" w:type="dxa"/>
              <w:bottom w:w="40" w:type="dxa"/>
              <w:right w:w="20" w:type="dxa"/>
            </w:tcMar>
            <w:vAlign w:val="center"/>
          </w:tcPr>
          <w:p w14:paraId="7E785E1C" w14:textId="77777777" w:rsidR="00A82082" w:rsidRDefault="00E946F9">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E1D" w14:textId="77777777" w:rsidR="00A82082" w:rsidRDefault="00A82082">
            <w:pPr>
              <w:rPr>
                <w:rFonts w:ascii="宋体"/>
              </w:rPr>
            </w:pPr>
          </w:p>
        </w:tc>
        <w:tc>
          <w:tcPr>
            <w:tcW w:w="0" w:type="auto"/>
            <w:shd w:val="clear" w:color="auto" w:fill="auto"/>
          </w:tcPr>
          <w:p w14:paraId="7E785E1E" w14:textId="77777777" w:rsidR="00A82082" w:rsidRDefault="00A82082">
            <w:pPr>
              <w:rPr>
                <w:rFonts w:ascii="宋体"/>
                <w:vanish/>
              </w:rPr>
            </w:pPr>
          </w:p>
        </w:tc>
        <w:tc>
          <w:tcPr>
            <w:tcW w:w="0" w:type="auto"/>
            <w:shd w:val="clear" w:color="auto" w:fill="auto"/>
          </w:tcPr>
          <w:p w14:paraId="7E785E1F" w14:textId="77777777" w:rsidR="00A82082" w:rsidRDefault="00A82082">
            <w:pPr>
              <w:rPr>
                <w:rFonts w:ascii="宋体"/>
                <w:vanish/>
              </w:rPr>
            </w:pPr>
          </w:p>
        </w:tc>
        <w:tc>
          <w:tcPr>
            <w:tcW w:w="0" w:type="auto"/>
            <w:shd w:val="clear" w:color="auto" w:fill="auto"/>
          </w:tcPr>
          <w:p w14:paraId="7E785E20" w14:textId="77777777" w:rsidR="00A82082" w:rsidRDefault="00A82082">
            <w:pPr>
              <w:rPr>
                <w:rFonts w:ascii="宋体"/>
                <w:vanish/>
              </w:rPr>
            </w:pPr>
          </w:p>
        </w:tc>
        <w:tc>
          <w:tcPr>
            <w:tcW w:w="0" w:type="auto"/>
            <w:shd w:val="clear" w:color="auto" w:fill="auto"/>
          </w:tcPr>
          <w:p w14:paraId="7E785E21"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E22" w14:textId="77777777" w:rsidR="00A82082" w:rsidRDefault="00E946F9">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E23"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785E24" w14:textId="77777777" w:rsidR="00A82082" w:rsidRDefault="00E946F9">
            <w:pPr>
              <w:jc w:val="center"/>
              <w:textAlignment w:val="center"/>
            </w:pPr>
            <w:r>
              <w:rPr>
                <w:rFonts w:ascii="Times New Roman" w:eastAsia="宋体" w:hAnsi="Times New Roman"/>
                <w:b/>
                <w:bCs/>
                <w:color w:val="000000"/>
                <w:sz w:val="16"/>
                <w:szCs w:val="16"/>
              </w:rPr>
              <w:t>2019</w:t>
            </w:r>
          </w:p>
        </w:tc>
        <w:tc>
          <w:tcPr>
            <w:tcW w:w="0" w:type="auto"/>
            <w:gridSpan w:val="3"/>
            <w:shd w:val="clear" w:color="auto" w:fill="auto"/>
          </w:tcPr>
          <w:p w14:paraId="7E785E25" w14:textId="77777777" w:rsidR="00A82082" w:rsidRDefault="00A82082">
            <w:pPr>
              <w:rPr>
                <w:rFonts w:ascii="宋体"/>
                <w:vanish/>
              </w:rPr>
            </w:pPr>
          </w:p>
        </w:tc>
        <w:tc>
          <w:tcPr>
            <w:tcW w:w="0" w:type="auto"/>
            <w:gridSpan w:val="3"/>
            <w:shd w:val="clear" w:color="auto" w:fill="auto"/>
          </w:tcPr>
          <w:p w14:paraId="7E785E26" w14:textId="77777777" w:rsidR="00A82082" w:rsidRDefault="00A82082">
            <w:pPr>
              <w:rPr>
                <w:rFonts w:ascii="宋体"/>
                <w:vanish/>
              </w:rPr>
            </w:pPr>
          </w:p>
        </w:tc>
      </w:tr>
      <w:tr w:rsidR="00A82082" w14:paraId="7E785E37" w14:textId="77777777">
        <w:trPr>
          <w:jc w:val="center"/>
        </w:trPr>
        <w:tc>
          <w:tcPr>
            <w:tcW w:w="0" w:type="auto"/>
            <w:gridSpan w:val="3"/>
            <w:shd w:val="clear" w:color="auto" w:fill="CCEEFF"/>
            <w:tcMar>
              <w:top w:w="40" w:type="dxa"/>
              <w:left w:w="20" w:type="dxa"/>
              <w:bottom w:w="40" w:type="dxa"/>
              <w:right w:w="20" w:type="dxa"/>
            </w:tcMar>
            <w:vAlign w:val="center"/>
          </w:tcPr>
          <w:p w14:paraId="7E785E28" w14:textId="77777777" w:rsidR="00A82082" w:rsidRDefault="00E946F9">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tcPr>
          <w:p w14:paraId="7E785E29" w14:textId="77777777" w:rsidR="00A82082" w:rsidRDefault="00A82082">
            <w:pPr>
              <w:rPr>
                <w:rFonts w:ascii="宋体"/>
              </w:rPr>
            </w:pPr>
          </w:p>
        </w:tc>
        <w:tc>
          <w:tcPr>
            <w:tcW w:w="0" w:type="auto"/>
            <w:shd w:val="clear" w:color="auto" w:fill="auto"/>
          </w:tcPr>
          <w:p w14:paraId="7E785E2A" w14:textId="77777777" w:rsidR="00A82082" w:rsidRDefault="00A82082">
            <w:pPr>
              <w:rPr>
                <w:rFonts w:ascii="宋体"/>
                <w:vanish/>
              </w:rPr>
            </w:pPr>
          </w:p>
        </w:tc>
        <w:tc>
          <w:tcPr>
            <w:tcW w:w="0" w:type="auto"/>
            <w:shd w:val="clear" w:color="auto" w:fill="auto"/>
          </w:tcPr>
          <w:p w14:paraId="7E785E2B" w14:textId="77777777" w:rsidR="00A82082" w:rsidRDefault="00A82082">
            <w:pPr>
              <w:rPr>
                <w:rFonts w:ascii="宋体"/>
                <w:vanish/>
              </w:rPr>
            </w:pPr>
          </w:p>
        </w:tc>
        <w:tc>
          <w:tcPr>
            <w:tcW w:w="0" w:type="auto"/>
            <w:shd w:val="clear" w:color="auto" w:fill="auto"/>
          </w:tcPr>
          <w:p w14:paraId="7E785E2C" w14:textId="77777777" w:rsidR="00A82082" w:rsidRDefault="00A82082">
            <w:pPr>
              <w:rPr>
                <w:rFonts w:ascii="宋体"/>
                <w:vanish/>
              </w:rPr>
            </w:pPr>
          </w:p>
        </w:tc>
        <w:tc>
          <w:tcPr>
            <w:tcW w:w="0" w:type="auto"/>
            <w:shd w:val="clear" w:color="auto" w:fill="auto"/>
          </w:tcPr>
          <w:p w14:paraId="7E785E2D" w14:textId="77777777" w:rsidR="00A82082" w:rsidRDefault="00A8208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E2E"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E2F" w14:textId="77777777" w:rsidR="00A82082" w:rsidRDefault="00E946F9">
            <w:pPr>
              <w:jc w:val="right"/>
              <w:textAlignment w:val="center"/>
            </w:pPr>
            <w:r>
              <w:rPr>
                <w:rFonts w:ascii="Times New Roman" w:eastAsia="宋体" w:hAnsi="Times New Roman"/>
                <w:color w:val="000000"/>
                <w:sz w:val="16"/>
                <w:szCs w:val="16"/>
              </w:rPr>
              <w:t>(11,340)</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3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3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E3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E33" w14:textId="77777777" w:rsidR="00A82082" w:rsidRDefault="00E946F9">
            <w:pPr>
              <w:jc w:val="right"/>
              <w:textAlignment w:val="center"/>
            </w:pPr>
            <w:r>
              <w:rPr>
                <w:rFonts w:ascii="Times New Roman" w:eastAsia="宋体" w:hAnsi="Times New Roman"/>
                <w:color w:val="000000"/>
                <w:sz w:val="16"/>
                <w:szCs w:val="16"/>
              </w:rPr>
              <w:t>(7,213)</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34" w14:textId="77777777" w:rsidR="00A82082" w:rsidRDefault="00A82082">
            <w:pPr>
              <w:jc w:val="right"/>
              <w:rPr>
                <w:rFonts w:ascii="宋体"/>
              </w:rPr>
            </w:pPr>
          </w:p>
        </w:tc>
        <w:tc>
          <w:tcPr>
            <w:tcW w:w="0" w:type="auto"/>
            <w:gridSpan w:val="3"/>
            <w:shd w:val="clear" w:color="auto" w:fill="auto"/>
          </w:tcPr>
          <w:p w14:paraId="7E785E35" w14:textId="77777777" w:rsidR="00A82082" w:rsidRDefault="00A82082">
            <w:pPr>
              <w:rPr>
                <w:rFonts w:ascii="宋体"/>
                <w:vanish/>
              </w:rPr>
            </w:pPr>
          </w:p>
        </w:tc>
        <w:tc>
          <w:tcPr>
            <w:tcW w:w="0" w:type="auto"/>
            <w:gridSpan w:val="3"/>
            <w:shd w:val="clear" w:color="auto" w:fill="auto"/>
          </w:tcPr>
          <w:p w14:paraId="7E785E36" w14:textId="77777777" w:rsidR="00A82082" w:rsidRDefault="00A82082">
            <w:pPr>
              <w:rPr>
                <w:rFonts w:ascii="宋体"/>
                <w:vanish/>
              </w:rPr>
            </w:pPr>
          </w:p>
        </w:tc>
      </w:tr>
    </w:tbl>
    <w:p w14:paraId="7E785E38" w14:textId="77777777" w:rsidR="00A82082" w:rsidRDefault="00E946F9">
      <w:pPr>
        <w:spacing w:before="160"/>
      </w:pPr>
      <w:r>
        <w:rPr>
          <w:rFonts w:ascii="Times New Roman" w:eastAsia="宋体" w:hAnsi="Times New Roman"/>
          <w:color w:val="000000"/>
          <w:sz w:val="20"/>
          <w:szCs w:val="20"/>
        </w:rPr>
        <w:t xml:space="preserve">Net cash used in financing activities generally consists of transactions related to our short-term and long-term debt, dividends paid and the repurchase of Company stock. Transactions with noncontrolling interest shareholders are also classified </w:t>
      </w:r>
      <w:r>
        <w:rPr>
          <w:rFonts w:ascii="Times New Roman" w:eastAsia="宋体" w:hAnsi="Times New Roman"/>
          <w:color w:val="000000"/>
          <w:sz w:val="20"/>
          <w:szCs w:val="20"/>
        </w:rPr>
        <w:t xml:space="preserve">as cash flows from financing activities. Net cash used in financing activities was $11.3 billion and $7.2 billion for the nine months ended October 31, 2020 and 2019, respectively. The increase is primarily due to the timing of issuances and repayments of </w:t>
      </w:r>
      <w:r>
        <w:rPr>
          <w:rFonts w:ascii="Times New Roman" w:eastAsia="宋体" w:hAnsi="Times New Roman"/>
          <w:color w:val="000000"/>
          <w:sz w:val="20"/>
          <w:szCs w:val="20"/>
        </w:rPr>
        <w:t xml:space="preserve">long-term debt, partially offset by a reduction in share repurchases as we manage our financial position during the current economic environment. </w:t>
      </w:r>
    </w:p>
    <w:p w14:paraId="7E785E39" w14:textId="77777777" w:rsidR="00A82082" w:rsidRDefault="00E946F9">
      <w:pPr>
        <w:spacing w:before="100"/>
      </w:pPr>
      <w:r>
        <w:rPr>
          <w:rFonts w:ascii="Times New Roman" w:eastAsia="宋体" w:hAnsi="Times New Roman"/>
          <w:color w:val="000000"/>
          <w:sz w:val="20"/>
          <w:szCs w:val="20"/>
        </w:rPr>
        <w:t>In April 2020, the Company renewed and extended its existing 364-day revolving credit facility of $10.0 billi</w:t>
      </w:r>
      <w:r>
        <w:rPr>
          <w:rFonts w:ascii="Times New Roman" w:eastAsia="宋体" w:hAnsi="Times New Roman"/>
          <w:color w:val="000000"/>
          <w:sz w:val="20"/>
          <w:szCs w:val="20"/>
        </w:rPr>
        <w:t>on. In total, we had committed lines of credit in the U.S. of $15.0 billion at October 31, 2020, all undrawn.</w:t>
      </w:r>
    </w:p>
    <w:p w14:paraId="7E785E3A" w14:textId="77777777" w:rsidR="00A82082" w:rsidRDefault="00E946F9">
      <w:pPr>
        <w:spacing w:before="180"/>
      </w:pPr>
      <w:r>
        <w:rPr>
          <w:rFonts w:ascii="Times New Roman" w:eastAsia="宋体" w:hAnsi="Times New Roman"/>
          <w:i/>
          <w:iCs/>
          <w:color w:val="000000"/>
          <w:sz w:val="20"/>
          <w:szCs w:val="20"/>
        </w:rPr>
        <w:t>Long-term Debt</w:t>
      </w:r>
    </w:p>
    <w:p w14:paraId="7E785E3B" w14:textId="77777777" w:rsidR="00A82082" w:rsidRDefault="00E946F9">
      <w:pPr>
        <w:spacing w:before="100"/>
      </w:pPr>
      <w:r>
        <w:rPr>
          <w:rFonts w:ascii="Times New Roman" w:eastAsia="宋体" w:hAnsi="Times New Roman"/>
          <w:color w:val="000000"/>
          <w:sz w:val="20"/>
          <w:szCs w:val="20"/>
        </w:rPr>
        <w:t>The following table provides the changes in our long-term debt for the nine months ended October 31, 2020:</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A82082" w14:paraId="7E785E51" w14:textId="77777777">
        <w:tc>
          <w:tcPr>
            <w:tcW w:w="50" w:type="pct"/>
            <w:shd w:val="clear" w:color="auto" w:fill="auto"/>
          </w:tcPr>
          <w:p w14:paraId="7E785E3C" w14:textId="77777777" w:rsidR="00A82082" w:rsidRDefault="00A82082">
            <w:pPr>
              <w:rPr>
                <w:rFonts w:ascii="宋体"/>
              </w:rPr>
            </w:pPr>
          </w:p>
        </w:tc>
        <w:tc>
          <w:tcPr>
            <w:tcW w:w="2375" w:type="pct"/>
            <w:shd w:val="clear" w:color="auto" w:fill="auto"/>
          </w:tcPr>
          <w:p w14:paraId="7E785E3D" w14:textId="77777777" w:rsidR="00A82082" w:rsidRDefault="00A82082">
            <w:pPr>
              <w:rPr>
                <w:rFonts w:ascii="宋体"/>
              </w:rPr>
            </w:pPr>
          </w:p>
        </w:tc>
        <w:tc>
          <w:tcPr>
            <w:tcW w:w="5" w:type="pct"/>
            <w:shd w:val="clear" w:color="auto" w:fill="auto"/>
          </w:tcPr>
          <w:p w14:paraId="7E785E3E" w14:textId="77777777" w:rsidR="00A82082" w:rsidRDefault="00A82082">
            <w:pPr>
              <w:rPr>
                <w:rFonts w:ascii="宋体"/>
              </w:rPr>
            </w:pPr>
          </w:p>
        </w:tc>
        <w:tc>
          <w:tcPr>
            <w:tcW w:w="5" w:type="pct"/>
            <w:shd w:val="clear" w:color="auto" w:fill="auto"/>
          </w:tcPr>
          <w:p w14:paraId="7E785E3F" w14:textId="77777777" w:rsidR="00A82082" w:rsidRDefault="00A82082">
            <w:pPr>
              <w:rPr>
                <w:rFonts w:ascii="宋体"/>
              </w:rPr>
            </w:pPr>
          </w:p>
        </w:tc>
        <w:tc>
          <w:tcPr>
            <w:tcW w:w="107" w:type="pct"/>
            <w:shd w:val="clear" w:color="auto" w:fill="auto"/>
          </w:tcPr>
          <w:p w14:paraId="7E785E40" w14:textId="77777777" w:rsidR="00A82082" w:rsidRDefault="00A82082">
            <w:pPr>
              <w:rPr>
                <w:rFonts w:ascii="宋体"/>
              </w:rPr>
            </w:pPr>
          </w:p>
        </w:tc>
        <w:tc>
          <w:tcPr>
            <w:tcW w:w="5" w:type="pct"/>
            <w:shd w:val="clear" w:color="auto" w:fill="auto"/>
          </w:tcPr>
          <w:p w14:paraId="7E785E41" w14:textId="77777777" w:rsidR="00A82082" w:rsidRDefault="00A82082">
            <w:pPr>
              <w:rPr>
                <w:rFonts w:ascii="宋体"/>
              </w:rPr>
            </w:pPr>
          </w:p>
        </w:tc>
        <w:tc>
          <w:tcPr>
            <w:tcW w:w="50" w:type="pct"/>
            <w:shd w:val="clear" w:color="auto" w:fill="auto"/>
          </w:tcPr>
          <w:p w14:paraId="7E785E42" w14:textId="77777777" w:rsidR="00A82082" w:rsidRDefault="00A82082">
            <w:pPr>
              <w:rPr>
                <w:rFonts w:ascii="宋体"/>
              </w:rPr>
            </w:pPr>
          </w:p>
        </w:tc>
        <w:tc>
          <w:tcPr>
            <w:tcW w:w="684" w:type="pct"/>
            <w:shd w:val="clear" w:color="auto" w:fill="auto"/>
          </w:tcPr>
          <w:p w14:paraId="7E785E43" w14:textId="77777777" w:rsidR="00A82082" w:rsidRDefault="00A82082">
            <w:pPr>
              <w:rPr>
                <w:rFonts w:ascii="宋体"/>
              </w:rPr>
            </w:pPr>
          </w:p>
        </w:tc>
        <w:tc>
          <w:tcPr>
            <w:tcW w:w="5" w:type="pct"/>
            <w:shd w:val="clear" w:color="auto" w:fill="auto"/>
          </w:tcPr>
          <w:p w14:paraId="7E785E44" w14:textId="77777777" w:rsidR="00A82082" w:rsidRDefault="00A82082">
            <w:pPr>
              <w:rPr>
                <w:rFonts w:ascii="宋体"/>
              </w:rPr>
            </w:pPr>
          </w:p>
        </w:tc>
        <w:tc>
          <w:tcPr>
            <w:tcW w:w="5" w:type="pct"/>
            <w:shd w:val="clear" w:color="auto" w:fill="auto"/>
          </w:tcPr>
          <w:p w14:paraId="7E785E45" w14:textId="77777777" w:rsidR="00A82082" w:rsidRDefault="00A82082">
            <w:pPr>
              <w:rPr>
                <w:rFonts w:ascii="宋体"/>
              </w:rPr>
            </w:pPr>
          </w:p>
        </w:tc>
        <w:tc>
          <w:tcPr>
            <w:tcW w:w="107" w:type="pct"/>
            <w:shd w:val="clear" w:color="auto" w:fill="auto"/>
          </w:tcPr>
          <w:p w14:paraId="7E785E46" w14:textId="77777777" w:rsidR="00A82082" w:rsidRDefault="00A82082">
            <w:pPr>
              <w:rPr>
                <w:rFonts w:ascii="宋体"/>
              </w:rPr>
            </w:pPr>
          </w:p>
        </w:tc>
        <w:tc>
          <w:tcPr>
            <w:tcW w:w="5" w:type="pct"/>
            <w:shd w:val="clear" w:color="auto" w:fill="auto"/>
          </w:tcPr>
          <w:p w14:paraId="7E785E47" w14:textId="77777777" w:rsidR="00A82082" w:rsidRDefault="00A82082">
            <w:pPr>
              <w:rPr>
                <w:rFonts w:ascii="宋体"/>
              </w:rPr>
            </w:pPr>
          </w:p>
        </w:tc>
        <w:tc>
          <w:tcPr>
            <w:tcW w:w="50" w:type="pct"/>
            <w:shd w:val="clear" w:color="auto" w:fill="auto"/>
          </w:tcPr>
          <w:p w14:paraId="7E785E48" w14:textId="77777777" w:rsidR="00A82082" w:rsidRDefault="00A82082">
            <w:pPr>
              <w:rPr>
                <w:rFonts w:ascii="宋体"/>
              </w:rPr>
            </w:pPr>
          </w:p>
        </w:tc>
        <w:tc>
          <w:tcPr>
            <w:tcW w:w="684" w:type="pct"/>
            <w:shd w:val="clear" w:color="auto" w:fill="auto"/>
          </w:tcPr>
          <w:p w14:paraId="7E785E49" w14:textId="77777777" w:rsidR="00A82082" w:rsidRDefault="00A82082">
            <w:pPr>
              <w:rPr>
                <w:rFonts w:ascii="宋体"/>
              </w:rPr>
            </w:pPr>
          </w:p>
        </w:tc>
        <w:tc>
          <w:tcPr>
            <w:tcW w:w="5" w:type="pct"/>
            <w:shd w:val="clear" w:color="auto" w:fill="auto"/>
          </w:tcPr>
          <w:p w14:paraId="7E785E4A" w14:textId="77777777" w:rsidR="00A82082" w:rsidRDefault="00A82082">
            <w:pPr>
              <w:rPr>
                <w:rFonts w:ascii="宋体"/>
              </w:rPr>
            </w:pPr>
          </w:p>
        </w:tc>
        <w:tc>
          <w:tcPr>
            <w:tcW w:w="5" w:type="pct"/>
            <w:shd w:val="clear" w:color="auto" w:fill="auto"/>
          </w:tcPr>
          <w:p w14:paraId="7E785E4B" w14:textId="77777777" w:rsidR="00A82082" w:rsidRDefault="00A82082">
            <w:pPr>
              <w:rPr>
                <w:rFonts w:ascii="宋体"/>
              </w:rPr>
            </w:pPr>
          </w:p>
        </w:tc>
        <w:tc>
          <w:tcPr>
            <w:tcW w:w="107" w:type="pct"/>
            <w:shd w:val="clear" w:color="auto" w:fill="auto"/>
          </w:tcPr>
          <w:p w14:paraId="7E785E4C" w14:textId="77777777" w:rsidR="00A82082" w:rsidRDefault="00A82082">
            <w:pPr>
              <w:rPr>
                <w:rFonts w:ascii="宋体"/>
              </w:rPr>
            </w:pPr>
          </w:p>
        </w:tc>
        <w:tc>
          <w:tcPr>
            <w:tcW w:w="5" w:type="pct"/>
            <w:shd w:val="clear" w:color="auto" w:fill="auto"/>
          </w:tcPr>
          <w:p w14:paraId="7E785E4D" w14:textId="77777777" w:rsidR="00A82082" w:rsidRDefault="00A82082">
            <w:pPr>
              <w:rPr>
                <w:rFonts w:ascii="宋体"/>
              </w:rPr>
            </w:pPr>
          </w:p>
        </w:tc>
        <w:tc>
          <w:tcPr>
            <w:tcW w:w="50" w:type="pct"/>
            <w:shd w:val="clear" w:color="auto" w:fill="auto"/>
          </w:tcPr>
          <w:p w14:paraId="7E785E4E" w14:textId="77777777" w:rsidR="00A82082" w:rsidRDefault="00A82082">
            <w:pPr>
              <w:rPr>
                <w:rFonts w:ascii="宋体"/>
              </w:rPr>
            </w:pPr>
          </w:p>
        </w:tc>
        <w:tc>
          <w:tcPr>
            <w:tcW w:w="684" w:type="pct"/>
            <w:shd w:val="clear" w:color="auto" w:fill="auto"/>
          </w:tcPr>
          <w:p w14:paraId="7E785E4F" w14:textId="77777777" w:rsidR="00A82082" w:rsidRDefault="00A82082">
            <w:pPr>
              <w:rPr>
                <w:rFonts w:ascii="宋体"/>
              </w:rPr>
            </w:pPr>
          </w:p>
        </w:tc>
        <w:tc>
          <w:tcPr>
            <w:tcW w:w="5" w:type="pct"/>
            <w:shd w:val="clear" w:color="auto" w:fill="auto"/>
          </w:tcPr>
          <w:p w14:paraId="7E785E50" w14:textId="77777777" w:rsidR="00A82082" w:rsidRDefault="00A82082">
            <w:pPr>
              <w:rPr>
                <w:rFonts w:ascii="宋体"/>
              </w:rPr>
            </w:pPr>
          </w:p>
        </w:tc>
      </w:tr>
      <w:tr w:rsidR="00A82082" w14:paraId="7E785E59" w14:textId="77777777">
        <w:tc>
          <w:tcPr>
            <w:tcW w:w="0" w:type="auto"/>
            <w:gridSpan w:val="3"/>
            <w:shd w:val="clear" w:color="auto" w:fill="auto"/>
            <w:tcMar>
              <w:top w:w="40" w:type="dxa"/>
              <w:left w:w="20" w:type="dxa"/>
              <w:bottom w:w="40" w:type="dxa"/>
              <w:right w:w="20" w:type="dxa"/>
            </w:tcMar>
            <w:vAlign w:val="bottom"/>
          </w:tcPr>
          <w:p w14:paraId="7E785E52" w14:textId="77777777" w:rsidR="00A82082" w:rsidRDefault="00E946F9">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7E785E5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E54" w14:textId="77777777" w:rsidR="00A82082" w:rsidRDefault="00E946F9">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tcPr>
          <w:p w14:paraId="7E785E5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E56" w14:textId="77777777" w:rsidR="00A82082" w:rsidRDefault="00E946F9">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tcPr>
          <w:p w14:paraId="7E785E5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E58" w14:textId="77777777" w:rsidR="00A82082" w:rsidRDefault="00E946F9">
            <w:pPr>
              <w:jc w:val="center"/>
              <w:textAlignment w:val="bottom"/>
            </w:pPr>
            <w:r>
              <w:rPr>
                <w:rFonts w:ascii="Times New Roman" w:eastAsia="宋体" w:hAnsi="Times New Roman"/>
                <w:b/>
                <w:bCs/>
                <w:color w:val="000000"/>
                <w:sz w:val="16"/>
                <w:szCs w:val="16"/>
              </w:rPr>
              <w:t>Total</w:t>
            </w:r>
          </w:p>
        </w:tc>
      </w:tr>
      <w:tr w:rsidR="00A82082" w14:paraId="7E785E67" w14:textId="77777777">
        <w:tc>
          <w:tcPr>
            <w:tcW w:w="0" w:type="auto"/>
            <w:gridSpan w:val="3"/>
            <w:shd w:val="clear" w:color="auto" w:fill="CCEEFF"/>
            <w:tcMar>
              <w:top w:w="40" w:type="dxa"/>
              <w:left w:w="20" w:type="dxa"/>
              <w:bottom w:w="40" w:type="dxa"/>
              <w:right w:w="20" w:type="dxa"/>
            </w:tcMar>
            <w:vAlign w:val="center"/>
          </w:tcPr>
          <w:p w14:paraId="7E785E5A" w14:textId="77777777" w:rsidR="00A82082" w:rsidRDefault="00E946F9">
            <w:pPr>
              <w:textAlignment w:val="center"/>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tcPr>
          <w:p w14:paraId="7E785E5B"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E5C"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E5D" w14:textId="77777777" w:rsidR="00A82082" w:rsidRDefault="00E946F9">
            <w:pPr>
              <w:jc w:val="right"/>
              <w:textAlignment w:val="center"/>
            </w:pPr>
            <w:r>
              <w:rPr>
                <w:rFonts w:ascii="Times New Roman" w:eastAsia="宋体" w:hAnsi="Times New Roman"/>
                <w:color w:val="000000"/>
                <w:sz w:val="16"/>
                <w:szCs w:val="16"/>
              </w:rPr>
              <w:t>5,362 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5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5F"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E60"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E61" w14:textId="77777777" w:rsidR="00A82082" w:rsidRDefault="00E946F9">
            <w:pPr>
              <w:jc w:val="right"/>
              <w:textAlignment w:val="center"/>
            </w:pPr>
            <w:r>
              <w:rPr>
                <w:rFonts w:ascii="Times New Roman" w:eastAsia="宋体" w:hAnsi="Times New Roman"/>
                <w:color w:val="000000"/>
                <w:sz w:val="16"/>
                <w:szCs w:val="16"/>
              </w:rPr>
              <w:t>43,714 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62"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63"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E64"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E65" w14:textId="77777777" w:rsidR="00A82082" w:rsidRDefault="00E946F9">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66" w14:textId="77777777" w:rsidR="00A82082" w:rsidRDefault="00A82082">
            <w:pPr>
              <w:jc w:val="right"/>
              <w:rPr>
                <w:rFonts w:ascii="宋体"/>
              </w:rPr>
            </w:pPr>
          </w:p>
        </w:tc>
      </w:tr>
      <w:tr w:rsidR="00A82082" w14:paraId="7E785E6F" w14:textId="77777777">
        <w:trPr>
          <w:hidden/>
        </w:trPr>
        <w:tc>
          <w:tcPr>
            <w:tcW w:w="0" w:type="auto"/>
            <w:gridSpan w:val="3"/>
            <w:shd w:val="clear" w:color="auto" w:fill="auto"/>
          </w:tcPr>
          <w:p w14:paraId="7E785E68" w14:textId="77777777" w:rsidR="00A82082" w:rsidRDefault="00A82082">
            <w:pPr>
              <w:rPr>
                <w:rFonts w:ascii="宋体"/>
                <w:vanish/>
              </w:rPr>
            </w:pPr>
          </w:p>
        </w:tc>
        <w:tc>
          <w:tcPr>
            <w:tcW w:w="0" w:type="auto"/>
            <w:gridSpan w:val="3"/>
            <w:shd w:val="clear" w:color="auto" w:fill="auto"/>
          </w:tcPr>
          <w:p w14:paraId="7E785E69" w14:textId="77777777" w:rsidR="00A82082" w:rsidRDefault="00A82082">
            <w:pPr>
              <w:rPr>
                <w:rFonts w:ascii="宋体"/>
                <w:vanish/>
              </w:rPr>
            </w:pPr>
          </w:p>
        </w:tc>
        <w:tc>
          <w:tcPr>
            <w:tcW w:w="0" w:type="auto"/>
            <w:gridSpan w:val="3"/>
            <w:shd w:val="clear" w:color="auto" w:fill="auto"/>
          </w:tcPr>
          <w:p w14:paraId="7E785E6A" w14:textId="77777777" w:rsidR="00A82082" w:rsidRDefault="00A82082">
            <w:pPr>
              <w:rPr>
                <w:rFonts w:ascii="宋体"/>
                <w:vanish/>
              </w:rPr>
            </w:pPr>
          </w:p>
        </w:tc>
        <w:tc>
          <w:tcPr>
            <w:tcW w:w="0" w:type="auto"/>
            <w:gridSpan w:val="3"/>
            <w:shd w:val="clear" w:color="auto" w:fill="auto"/>
          </w:tcPr>
          <w:p w14:paraId="7E785E6B" w14:textId="77777777" w:rsidR="00A82082" w:rsidRDefault="00A82082">
            <w:pPr>
              <w:rPr>
                <w:rFonts w:ascii="宋体"/>
                <w:vanish/>
              </w:rPr>
            </w:pPr>
          </w:p>
        </w:tc>
        <w:tc>
          <w:tcPr>
            <w:tcW w:w="0" w:type="auto"/>
            <w:gridSpan w:val="3"/>
            <w:shd w:val="clear" w:color="auto" w:fill="auto"/>
          </w:tcPr>
          <w:p w14:paraId="7E785E6C" w14:textId="77777777" w:rsidR="00A82082" w:rsidRDefault="00A82082">
            <w:pPr>
              <w:rPr>
                <w:rFonts w:ascii="宋体"/>
                <w:vanish/>
              </w:rPr>
            </w:pPr>
          </w:p>
        </w:tc>
        <w:tc>
          <w:tcPr>
            <w:tcW w:w="0" w:type="auto"/>
            <w:gridSpan w:val="3"/>
            <w:shd w:val="clear" w:color="auto" w:fill="auto"/>
          </w:tcPr>
          <w:p w14:paraId="7E785E6D" w14:textId="77777777" w:rsidR="00A82082" w:rsidRDefault="00A82082">
            <w:pPr>
              <w:rPr>
                <w:rFonts w:ascii="宋体"/>
                <w:vanish/>
              </w:rPr>
            </w:pPr>
          </w:p>
        </w:tc>
        <w:tc>
          <w:tcPr>
            <w:tcW w:w="0" w:type="auto"/>
            <w:gridSpan w:val="3"/>
            <w:shd w:val="clear" w:color="auto" w:fill="auto"/>
          </w:tcPr>
          <w:p w14:paraId="7E785E6E" w14:textId="77777777" w:rsidR="00A82082" w:rsidRDefault="00A82082">
            <w:pPr>
              <w:rPr>
                <w:rFonts w:ascii="宋体"/>
                <w:vanish/>
              </w:rPr>
            </w:pPr>
          </w:p>
        </w:tc>
      </w:tr>
      <w:tr w:rsidR="00A82082" w14:paraId="7E785E7A" w14:textId="77777777">
        <w:tc>
          <w:tcPr>
            <w:tcW w:w="0" w:type="auto"/>
            <w:gridSpan w:val="3"/>
            <w:shd w:val="clear" w:color="auto" w:fill="FFFFFF"/>
            <w:tcMar>
              <w:top w:w="40" w:type="dxa"/>
              <w:left w:w="20" w:type="dxa"/>
              <w:bottom w:w="40" w:type="dxa"/>
              <w:right w:w="20" w:type="dxa"/>
            </w:tcMar>
            <w:vAlign w:val="center"/>
          </w:tcPr>
          <w:p w14:paraId="7E785E70" w14:textId="77777777" w:rsidR="00A82082" w:rsidRDefault="00E946F9">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7E785E71"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72" w14:textId="77777777" w:rsidR="00A82082" w:rsidRDefault="00E946F9">
            <w:pPr>
              <w:jc w:val="right"/>
              <w:textAlignment w:val="center"/>
            </w:pPr>
            <w:r>
              <w:rPr>
                <w:rFonts w:ascii="Times New Roman" w:eastAsia="宋体" w:hAnsi="Times New Roman"/>
                <w:color w:val="000000"/>
                <w:sz w:val="16"/>
                <w:szCs w:val="16"/>
              </w:rPr>
              <w:t>(4,132)</w:t>
            </w:r>
          </w:p>
        </w:tc>
        <w:tc>
          <w:tcPr>
            <w:tcW w:w="0" w:type="auto"/>
            <w:shd w:val="clear" w:color="auto" w:fill="FFFFFF"/>
            <w:tcMar>
              <w:top w:w="40" w:type="dxa"/>
              <w:left w:w="0" w:type="dxa"/>
              <w:bottom w:w="40" w:type="dxa"/>
              <w:right w:w="20" w:type="dxa"/>
            </w:tcMar>
            <w:vAlign w:val="center"/>
          </w:tcPr>
          <w:p w14:paraId="7E785E73"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E74"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75"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7E785E76"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E7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78" w14:textId="77777777" w:rsidR="00A82082" w:rsidRDefault="00E946F9">
            <w:pPr>
              <w:jc w:val="right"/>
              <w:textAlignment w:val="center"/>
            </w:pPr>
            <w:r>
              <w:rPr>
                <w:rFonts w:ascii="Times New Roman" w:eastAsia="宋体" w:hAnsi="Times New Roman"/>
                <w:color w:val="000000"/>
                <w:sz w:val="16"/>
                <w:szCs w:val="16"/>
              </w:rPr>
              <w:t>(4,132)</w:t>
            </w:r>
          </w:p>
        </w:tc>
        <w:tc>
          <w:tcPr>
            <w:tcW w:w="0" w:type="auto"/>
            <w:shd w:val="clear" w:color="auto" w:fill="FFFFFF"/>
            <w:tcMar>
              <w:top w:w="40" w:type="dxa"/>
              <w:left w:w="0" w:type="dxa"/>
              <w:bottom w:w="40" w:type="dxa"/>
              <w:right w:w="20" w:type="dxa"/>
            </w:tcMar>
            <w:vAlign w:val="center"/>
          </w:tcPr>
          <w:p w14:paraId="7E785E79" w14:textId="77777777" w:rsidR="00A82082" w:rsidRDefault="00A82082">
            <w:pPr>
              <w:jc w:val="right"/>
              <w:rPr>
                <w:rFonts w:ascii="宋体"/>
              </w:rPr>
            </w:pPr>
          </w:p>
        </w:tc>
      </w:tr>
      <w:tr w:rsidR="00A82082" w14:paraId="7E785E85" w14:textId="77777777">
        <w:tc>
          <w:tcPr>
            <w:tcW w:w="0" w:type="auto"/>
            <w:gridSpan w:val="3"/>
            <w:shd w:val="clear" w:color="auto" w:fill="CCEEFF"/>
            <w:tcMar>
              <w:top w:w="40" w:type="dxa"/>
              <w:left w:w="20" w:type="dxa"/>
              <w:bottom w:w="40" w:type="dxa"/>
              <w:right w:w="20" w:type="dxa"/>
            </w:tcMar>
            <w:vAlign w:val="center"/>
          </w:tcPr>
          <w:p w14:paraId="7E785E7B" w14:textId="77777777" w:rsidR="00A82082" w:rsidRDefault="00E946F9">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tcPr>
          <w:p w14:paraId="7E785E7C"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E7D" w14:textId="77777777" w:rsidR="00A82082" w:rsidRDefault="00E946F9">
            <w:pPr>
              <w:jc w:val="right"/>
              <w:textAlignment w:val="center"/>
            </w:pPr>
            <w:r>
              <w:rPr>
                <w:rFonts w:ascii="Times New Roman" w:eastAsia="宋体" w:hAnsi="Times New Roman"/>
                <w:color w:val="000000"/>
                <w:sz w:val="16"/>
                <w:szCs w:val="16"/>
              </w:rPr>
              <w:t>3,126 </w:t>
            </w:r>
          </w:p>
        </w:tc>
        <w:tc>
          <w:tcPr>
            <w:tcW w:w="0" w:type="auto"/>
            <w:shd w:val="clear" w:color="auto" w:fill="CCEEFF"/>
            <w:tcMar>
              <w:top w:w="40" w:type="dxa"/>
              <w:left w:w="0" w:type="dxa"/>
              <w:bottom w:w="40" w:type="dxa"/>
              <w:right w:w="20" w:type="dxa"/>
            </w:tcMar>
            <w:vAlign w:val="center"/>
          </w:tcPr>
          <w:p w14:paraId="7E785E7E"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7F"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E80" w14:textId="77777777" w:rsidR="00A82082" w:rsidRDefault="00E946F9">
            <w:pPr>
              <w:jc w:val="right"/>
              <w:textAlignment w:val="center"/>
            </w:pPr>
            <w:r>
              <w:rPr>
                <w:rFonts w:ascii="Times New Roman" w:eastAsia="宋体" w:hAnsi="Times New Roman"/>
                <w:color w:val="000000"/>
                <w:sz w:val="16"/>
                <w:szCs w:val="16"/>
              </w:rPr>
              <w:t>(3,126)</w:t>
            </w:r>
          </w:p>
        </w:tc>
        <w:tc>
          <w:tcPr>
            <w:tcW w:w="0" w:type="auto"/>
            <w:shd w:val="clear" w:color="auto" w:fill="CCEEFF"/>
            <w:tcMar>
              <w:top w:w="40" w:type="dxa"/>
              <w:left w:w="0" w:type="dxa"/>
              <w:bottom w:w="40" w:type="dxa"/>
              <w:right w:w="20" w:type="dxa"/>
            </w:tcMar>
            <w:vAlign w:val="center"/>
          </w:tcPr>
          <w:p w14:paraId="7E785E81"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82"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E83" w14:textId="77777777" w:rsidR="00A82082" w:rsidRDefault="00E946F9">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7E785E84" w14:textId="77777777" w:rsidR="00A82082" w:rsidRDefault="00A82082">
            <w:pPr>
              <w:jc w:val="right"/>
              <w:rPr>
                <w:rFonts w:ascii="宋体"/>
              </w:rPr>
            </w:pPr>
          </w:p>
        </w:tc>
      </w:tr>
      <w:tr w:rsidR="00A82082" w14:paraId="7E785E90" w14:textId="77777777">
        <w:tc>
          <w:tcPr>
            <w:tcW w:w="0" w:type="auto"/>
            <w:gridSpan w:val="3"/>
            <w:shd w:val="clear" w:color="auto" w:fill="FFFFFF"/>
            <w:tcMar>
              <w:top w:w="40" w:type="dxa"/>
              <w:left w:w="20" w:type="dxa"/>
              <w:bottom w:w="40" w:type="dxa"/>
              <w:right w:w="20" w:type="dxa"/>
            </w:tcMar>
            <w:vAlign w:val="center"/>
          </w:tcPr>
          <w:p w14:paraId="7E785E86" w14:textId="77777777" w:rsidR="00A82082" w:rsidRDefault="00E946F9">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7E785E8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88" w14:textId="77777777" w:rsidR="00A82082" w:rsidRDefault="00E946F9">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7E785E8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E8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8B" w14:textId="77777777" w:rsidR="00A82082" w:rsidRDefault="00E946F9">
            <w:pPr>
              <w:jc w:val="right"/>
              <w:textAlignment w:val="center"/>
            </w:pPr>
            <w:r>
              <w:rPr>
                <w:rFonts w:ascii="Times New Roman" w:eastAsia="宋体" w:hAnsi="Times New Roman"/>
                <w:color w:val="000000"/>
                <w:sz w:val="16"/>
                <w:szCs w:val="16"/>
              </w:rPr>
              <w:t>261 </w:t>
            </w:r>
          </w:p>
        </w:tc>
        <w:tc>
          <w:tcPr>
            <w:tcW w:w="0" w:type="auto"/>
            <w:shd w:val="clear" w:color="auto" w:fill="FFFFFF"/>
            <w:tcMar>
              <w:top w:w="40" w:type="dxa"/>
              <w:left w:w="0" w:type="dxa"/>
              <w:bottom w:w="40" w:type="dxa"/>
              <w:right w:w="20" w:type="dxa"/>
            </w:tcMar>
            <w:vAlign w:val="center"/>
          </w:tcPr>
          <w:p w14:paraId="7E785E8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E8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E8E" w14:textId="77777777" w:rsidR="00A82082" w:rsidRDefault="00E946F9">
            <w:pPr>
              <w:jc w:val="right"/>
              <w:textAlignment w:val="center"/>
            </w:pPr>
            <w:r>
              <w:rPr>
                <w:rFonts w:ascii="Times New Roman" w:eastAsia="宋体" w:hAnsi="Times New Roman"/>
                <w:color w:val="000000"/>
                <w:sz w:val="16"/>
                <w:szCs w:val="16"/>
              </w:rPr>
              <w:t>263 </w:t>
            </w:r>
          </w:p>
        </w:tc>
        <w:tc>
          <w:tcPr>
            <w:tcW w:w="0" w:type="auto"/>
            <w:shd w:val="clear" w:color="auto" w:fill="FFFFFF"/>
            <w:tcMar>
              <w:top w:w="40" w:type="dxa"/>
              <w:left w:w="0" w:type="dxa"/>
              <w:bottom w:w="40" w:type="dxa"/>
              <w:right w:w="20" w:type="dxa"/>
            </w:tcMar>
            <w:vAlign w:val="center"/>
          </w:tcPr>
          <w:p w14:paraId="7E785E8F" w14:textId="77777777" w:rsidR="00A82082" w:rsidRDefault="00A82082">
            <w:pPr>
              <w:jc w:val="right"/>
              <w:rPr>
                <w:rFonts w:ascii="宋体"/>
              </w:rPr>
            </w:pPr>
          </w:p>
        </w:tc>
      </w:tr>
      <w:tr w:rsidR="00A82082" w14:paraId="7E785E9E" w14:textId="77777777">
        <w:tc>
          <w:tcPr>
            <w:tcW w:w="0" w:type="auto"/>
            <w:gridSpan w:val="3"/>
            <w:shd w:val="clear" w:color="auto" w:fill="CCEEFF"/>
            <w:tcMar>
              <w:top w:w="40" w:type="dxa"/>
              <w:left w:w="20" w:type="dxa"/>
              <w:bottom w:w="40" w:type="dxa"/>
              <w:right w:w="20" w:type="dxa"/>
            </w:tcMar>
            <w:vAlign w:val="center"/>
          </w:tcPr>
          <w:p w14:paraId="7E785E91" w14:textId="77777777" w:rsidR="00A82082" w:rsidRDefault="00E946F9">
            <w:pPr>
              <w:textAlignment w:val="center"/>
            </w:pPr>
            <w:r>
              <w:rPr>
                <w:rFonts w:ascii="Times New Roman" w:eastAsia="宋体" w:hAnsi="Times New Roman"/>
                <w:b/>
                <w:bCs/>
                <w:color w:val="000000"/>
                <w:sz w:val="16"/>
                <w:szCs w:val="16"/>
              </w:rPr>
              <w:t>Balances as of October 31, 2020</w:t>
            </w:r>
          </w:p>
        </w:tc>
        <w:tc>
          <w:tcPr>
            <w:tcW w:w="0" w:type="auto"/>
            <w:gridSpan w:val="3"/>
            <w:shd w:val="clear" w:color="auto" w:fill="CCEEFF"/>
            <w:tcMar>
              <w:top w:w="0" w:type="dxa"/>
              <w:left w:w="20" w:type="dxa"/>
              <w:bottom w:w="0" w:type="dxa"/>
              <w:right w:w="20" w:type="dxa"/>
            </w:tcMar>
          </w:tcPr>
          <w:p w14:paraId="7E785E92"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E93"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E94" w14:textId="77777777" w:rsidR="00A82082" w:rsidRDefault="00E946F9">
            <w:pPr>
              <w:jc w:val="right"/>
              <w:textAlignment w:val="center"/>
            </w:pPr>
            <w:r>
              <w:rPr>
                <w:rFonts w:ascii="Times New Roman" w:eastAsia="宋体" w:hAnsi="Times New Roman"/>
                <w:color w:val="000000"/>
                <w:sz w:val="16"/>
                <w:szCs w:val="16"/>
              </w:rPr>
              <w:t>4,358 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E95"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96"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E97"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E98" w14:textId="77777777" w:rsidR="00A82082" w:rsidRDefault="00E946F9">
            <w:pPr>
              <w:jc w:val="right"/>
              <w:textAlignment w:val="center"/>
            </w:pPr>
            <w:r>
              <w:rPr>
                <w:rFonts w:ascii="Times New Roman" w:eastAsia="宋体" w:hAnsi="Times New Roman"/>
                <w:color w:val="000000"/>
                <w:sz w:val="16"/>
                <w:szCs w:val="16"/>
              </w:rPr>
              <w:t>40,849 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E9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9A" w14:textId="77777777" w:rsidR="00A82082" w:rsidRDefault="00A8208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785E9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785E9C" w14:textId="77777777" w:rsidR="00A82082" w:rsidRDefault="00E946F9">
            <w:pPr>
              <w:jc w:val="right"/>
              <w:textAlignment w:val="center"/>
            </w:pPr>
            <w:r>
              <w:rPr>
                <w:rFonts w:ascii="Times New Roman" w:eastAsia="宋体" w:hAnsi="Times New Roman"/>
                <w:color w:val="000000"/>
                <w:sz w:val="16"/>
                <w:szCs w:val="16"/>
              </w:rPr>
              <w:t>45,207 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785E9D" w14:textId="77777777" w:rsidR="00A82082" w:rsidRDefault="00A82082">
            <w:pPr>
              <w:jc w:val="right"/>
              <w:rPr>
                <w:rFonts w:ascii="宋体"/>
              </w:rPr>
            </w:pPr>
          </w:p>
        </w:tc>
      </w:tr>
    </w:tbl>
    <w:p w14:paraId="7E785E9F" w14:textId="77777777" w:rsidR="00A82082" w:rsidRDefault="00E946F9">
      <w:pPr>
        <w:spacing w:before="180"/>
      </w:pPr>
      <w:r>
        <w:rPr>
          <w:rFonts w:ascii="Times New Roman" w:eastAsia="宋体" w:hAnsi="Times New Roman"/>
          <w:i/>
          <w:iCs/>
          <w:color w:val="000000"/>
          <w:sz w:val="20"/>
          <w:szCs w:val="20"/>
        </w:rPr>
        <w:t>Dividends</w:t>
      </w:r>
    </w:p>
    <w:p w14:paraId="7E785EA0" w14:textId="77777777" w:rsidR="00A82082" w:rsidRDefault="00E946F9">
      <w:pPr>
        <w:spacing w:before="100"/>
      </w:pPr>
      <w:r>
        <w:rPr>
          <w:rFonts w:ascii="Times New Roman" w:eastAsia="宋体" w:hAnsi="Times New Roman"/>
          <w:color w:val="000000"/>
          <w:sz w:val="20"/>
          <w:szCs w:val="20"/>
        </w:rPr>
        <w:t>On February 18, 2020, the Board of Directors approved the fiscal 2021 annual dividend of $2.16 per share, an increase over the fiscal 2020 annual</w:t>
      </w:r>
      <w:r>
        <w:rPr>
          <w:rFonts w:ascii="Times New Roman" w:eastAsia="宋体" w:hAnsi="Times New Roman"/>
          <w:color w:val="000000"/>
          <w:sz w:val="20"/>
          <w:szCs w:val="20"/>
        </w:rPr>
        <w:t xml:space="preserve"> dividend of $2.12 per share. For fiscal 2021, the annual dividend was or will be paid in four quarterly installments of $0.54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A82082" w14:paraId="7E785EAA" w14:textId="77777777">
        <w:tc>
          <w:tcPr>
            <w:tcW w:w="50" w:type="pct"/>
            <w:shd w:val="clear" w:color="auto" w:fill="auto"/>
          </w:tcPr>
          <w:p w14:paraId="7E785EA1" w14:textId="77777777" w:rsidR="00A82082" w:rsidRDefault="00A82082">
            <w:pPr>
              <w:rPr>
                <w:rFonts w:ascii="宋体"/>
              </w:rPr>
            </w:pPr>
          </w:p>
        </w:tc>
        <w:tc>
          <w:tcPr>
            <w:tcW w:w="3358" w:type="pct"/>
            <w:shd w:val="clear" w:color="auto" w:fill="auto"/>
          </w:tcPr>
          <w:p w14:paraId="7E785EA2" w14:textId="77777777" w:rsidR="00A82082" w:rsidRDefault="00A82082">
            <w:pPr>
              <w:rPr>
                <w:rFonts w:ascii="宋体"/>
              </w:rPr>
            </w:pPr>
          </w:p>
        </w:tc>
        <w:tc>
          <w:tcPr>
            <w:tcW w:w="5" w:type="pct"/>
            <w:shd w:val="clear" w:color="auto" w:fill="auto"/>
          </w:tcPr>
          <w:p w14:paraId="7E785EA3" w14:textId="77777777" w:rsidR="00A82082" w:rsidRDefault="00A82082">
            <w:pPr>
              <w:rPr>
                <w:rFonts w:ascii="宋体"/>
              </w:rPr>
            </w:pPr>
          </w:p>
        </w:tc>
        <w:tc>
          <w:tcPr>
            <w:tcW w:w="5" w:type="pct"/>
            <w:shd w:val="clear" w:color="auto" w:fill="auto"/>
          </w:tcPr>
          <w:p w14:paraId="7E785EA4" w14:textId="77777777" w:rsidR="00A82082" w:rsidRDefault="00A82082">
            <w:pPr>
              <w:rPr>
                <w:rFonts w:ascii="宋体"/>
              </w:rPr>
            </w:pPr>
          </w:p>
        </w:tc>
        <w:tc>
          <w:tcPr>
            <w:tcW w:w="106" w:type="pct"/>
            <w:shd w:val="clear" w:color="auto" w:fill="auto"/>
          </w:tcPr>
          <w:p w14:paraId="7E785EA5" w14:textId="77777777" w:rsidR="00A82082" w:rsidRDefault="00A82082">
            <w:pPr>
              <w:rPr>
                <w:rFonts w:ascii="宋体"/>
              </w:rPr>
            </w:pPr>
          </w:p>
        </w:tc>
        <w:tc>
          <w:tcPr>
            <w:tcW w:w="5" w:type="pct"/>
            <w:shd w:val="clear" w:color="auto" w:fill="auto"/>
          </w:tcPr>
          <w:p w14:paraId="7E785EA6" w14:textId="77777777" w:rsidR="00A82082" w:rsidRDefault="00A82082">
            <w:pPr>
              <w:rPr>
                <w:rFonts w:ascii="宋体"/>
              </w:rPr>
            </w:pPr>
          </w:p>
        </w:tc>
        <w:tc>
          <w:tcPr>
            <w:tcW w:w="50" w:type="pct"/>
            <w:shd w:val="clear" w:color="auto" w:fill="auto"/>
          </w:tcPr>
          <w:p w14:paraId="7E785EA7" w14:textId="77777777" w:rsidR="00A82082" w:rsidRDefault="00A82082">
            <w:pPr>
              <w:rPr>
                <w:rFonts w:ascii="宋体"/>
              </w:rPr>
            </w:pPr>
          </w:p>
        </w:tc>
        <w:tc>
          <w:tcPr>
            <w:tcW w:w="1414" w:type="pct"/>
            <w:shd w:val="clear" w:color="auto" w:fill="auto"/>
          </w:tcPr>
          <w:p w14:paraId="7E785EA8" w14:textId="77777777" w:rsidR="00A82082" w:rsidRDefault="00A82082">
            <w:pPr>
              <w:rPr>
                <w:rFonts w:ascii="宋体"/>
              </w:rPr>
            </w:pPr>
          </w:p>
        </w:tc>
        <w:tc>
          <w:tcPr>
            <w:tcW w:w="5" w:type="pct"/>
            <w:shd w:val="clear" w:color="auto" w:fill="auto"/>
          </w:tcPr>
          <w:p w14:paraId="7E785EA9" w14:textId="77777777" w:rsidR="00A82082" w:rsidRDefault="00A82082">
            <w:pPr>
              <w:rPr>
                <w:rFonts w:ascii="宋体"/>
              </w:rPr>
            </w:pPr>
          </w:p>
        </w:tc>
      </w:tr>
      <w:tr w:rsidR="00A82082" w14:paraId="7E785EAE" w14:textId="77777777">
        <w:tc>
          <w:tcPr>
            <w:tcW w:w="0" w:type="auto"/>
            <w:gridSpan w:val="3"/>
            <w:shd w:val="clear" w:color="auto" w:fill="auto"/>
            <w:tcMar>
              <w:top w:w="40" w:type="dxa"/>
              <w:left w:w="20" w:type="dxa"/>
              <w:bottom w:w="40" w:type="dxa"/>
              <w:right w:w="20" w:type="dxa"/>
            </w:tcMar>
            <w:vAlign w:val="bottom"/>
          </w:tcPr>
          <w:p w14:paraId="7E785EAB" w14:textId="77777777" w:rsidR="00A82082" w:rsidRDefault="00E946F9">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7E785EAC"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E785EAD" w14:textId="77777777" w:rsidR="00A82082" w:rsidRDefault="00E946F9">
            <w:pPr>
              <w:textAlignment w:val="bottom"/>
            </w:pPr>
            <w:r>
              <w:rPr>
                <w:rFonts w:ascii="Times New Roman" w:eastAsia="宋体" w:hAnsi="Times New Roman"/>
                <w:b/>
                <w:bCs/>
                <w:color w:val="000000"/>
                <w:sz w:val="16"/>
                <w:szCs w:val="16"/>
              </w:rPr>
              <w:t>Payable Date</w:t>
            </w:r>
          </w:p>
        </w:tc>
      </w:tr>
      <w:tr w:rsidR="00A82082" w14:paraId="7E785EB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EAF" w14:textId="77777777" w:rsidR="00A82082" w:rsidRDefault="00E946F9">
            <w:pPr>
              <w:textAlignment w:val="center"/>
            </w:pPr>
            <w:r>
              <w:rPr>
                <w:rFonts w:ascii="Times New Roman" w:eastAsia="宋体" w:hAnsi="Times New Roman"/>
                <w:color w:val="000000"/>
                <w:sz w:val="16"/>
                <w:szCs w:val="16"/>
              </w:rPr>
              <w:t>March 20, 2020</w:t>
            </w:r>
          </w:p>
        </w:tc>
        <w:tc>
          <w:tcPr>
            <w:tcW w:w="0" w:type="auto"/>
            <w:gridSpan w:val="3"/>
            <w:shd w:val="clear" w:color="auto" w:fill="CCEEFF"/>
            <w:tcMar>
              <w:top w:w="40" w:type="dxa"/>
              <w:left w:w="20" w:type="dxa"/>
              <w:bottom w:w="40" w:type="dxa"/>
              <w:right w:w="20" w:type="dxa"/>
            </w:tcMar>
            <w:vAlign w:val="center"/>
          </w:tcPr>
          <w:p w14:paraId="7E785EB0" w14:textId="77777777" w:rsidR="00A82082" w:rsidRDefault="00E946F9">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EB1" w14:textId="77777777" w:rsidR="00A82082" w:rsidRDefault="00E946F9">
            <w:pPr>
              <w:textAlignment w:val="center"/>
            </w:pPr>
            <w:r>
              <w:rPr>
                <w:rFonts w:ascii="Times New Roman" w:eastAsia="宋体" w:hAnsi="Times New Roman"/>
                <w:color w:val="000000"/>
                <w:sz w:val="16"/>
                <w:szCs w:val="16"/>
              </w:rPr>
              <w:t>April 6, 2020</w:t>
            </w:r>
          </w:p>
        </w:tc>
      </w:tr>
      <w:tr w:rsidR="00A82082" w14:paraId="7E785EB6" w14:textId="77777777">
        <w:tc>
          <w:tcPr>
            <w:tcW w:w="0" w:type="auto"/>
            <w:gridSpan w:val="3"/>
            <w:shd w:val="clear" w:color="auto" w:fill="FFFFFF"/>
            <w:tcMar>
              <w:top w:w="40" w:type="dxa"/>
              <w:left w:w="20" w:type="dxa"/>
              <w:bottom w:w="40" w:type="dxa"/>
              <w:right w:w="20" w:type="dxa"/>
            </w:tcMar>
            <w:vAlign w:val="center"/>
          </w:tcPr>
          <w:p w14:paraId="7E785EB3" w14:textId="77777777" w:rsidR="00A82082" w:rsidRDefault="00E946F9">
            <w:pPr>
              <w:textAlignment w:val="center"/>
            </w:pPr>
            <w:r>
              <w:rPr>
                <w:rFonts w:ascii="Times New Roman" w:eastAsia="宋体" w:hAnsi="Times New Roman"/>
                <w:color w:val="000000"/>
                <w:sz w:val="16"/>
                <w:szCs w:val="16"/>
              </w:rPr>
              <w:t>May 8, 2020</w:t>
            </w:r>
          </w:p>
        </w:tc>
        <w:tc>
          <w:tcPr>
            <w:tcW w:w="0" w:type="auto"/>
            <w:gridSpan w:val="3"/>
            <w:shd w:val="clear" w:color="auto" w:fill="FFFFFF"/>
            <w:tcMar>
              <w:top w:w="40" w:type="dxa"/>
              <w:left w:w="20" w:type="dxa"/>
              <w:bottom w:w="40" w:type="dxa"/>
              <w:right w:w="20" w:type="dxa"/>
            </w:tcMar>
            <w:vAlign w:val="center"/>
          </w:tcPr>
          <w:p w14:paraId="7E785EB4"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7E785EB5" w14:textId="77777777" w:rsidR="00A82082" w:rsidRDefault="00E946F9">
            <w:pPr>
              <w:textAlignment w:val="center"/>
            </w:pPr>
            <w:r>
              <w:rPr>
                <w:rFonts w:ascii="Times New Roman" w:eastAsia="宋体" w:hAnsi="Times New Roman"/>
                <w:color w:val="000000"/>
                <w:sz w:val="16"/>
                <w:szCs w:val="16"/>
              </w:rPr>
              <w:t>June 1, 2020</w:t>
            </w:r>
          </w:p>
        </w:tc>
      </w:tr>
      <w:tr w:rsidR="00A82082" w14:paraId="7E785EBA" w14:textId="77777777">
        <w:tc>
          <w:tcPr>
            <w:tcW w:w="0" w:type="auto"/>
            <w:gridSpan w:val="3"/>
            <w:shd w:val="clear" w:color="auto" w:fill="CCEEFF"/>
            <w:tcMar>
              <w:top w:w="40" w:type="dxa"/>
              <w:left w:w="20" w:type="dxa"/>
              <w:bottom w:w="40" w:type="dxa"/>
              <w:right w:w="20" w:type="dxa"/>
            </w:tcMar>
            <w:vAlign w:val="center"/>
          </w:tcPr>
          <w:p w14:paraId="7E785EB7" w14:textId="77777777" w:rsidR="00A82082" w:rsidRDefault="00E946F9">
            <w:pPr>
              <w:textAlignment w:val="center"/>
            </w:pPr>
            <w:r>
              <w:rPr>
                <w:rFonts w:ascii="Times New Roman" w:eastAsia="宋体" w:hAnsi="Times New Roman"/>
                <w:color w:val="000000"/>
                <w:sz w:val="16"/>
                <w:szCs w:val="16"/>
              </w:rPr>
              <w:t>August 14, 2020</w:t>
            </w:r>
          </w:p>
        </w:tc>
        <w:tc>
          <w:tcPr>
            <w:tcW w:w="0" w:type="auto"/>
            <w:gridSpan w:val="3"/>
            <w:shd w:val="clear" w:color="auto" w:fill="CCEEFF"/>
            <w:tcMar>
              <w:top w:w="40" w:type="dxa"/>
              <w:left w:w="20" w:type="dxa"/>
              <w:bottom w:w="40" w:type="dxa"/>
              <w:right w:w="20" w:type="dxa"/>
            </w:tcMar>
            <w:vAlign w:val="center"/>
          </w:tcPr>
          <w:p w14:paraId="7E785EB8"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7E785EB9" w14:textId="77777777" w:rsidR="00A82082" w:rsidRDefault="00E946F9">
            <w:pPr>
              <w:textAlignment w:val="center"/>
            </w:pPr>
            <w:r>
              <w:rPr>
                <w:rFonts w:ascii="Times New Roman" w:eastAsia="宋体" w:hAnsi="Times New Roman"/>
                <w:color w:val="000000"/>
                <w:sz w:val="16"/>
                <w:szCs w:val="16"/>
              </w:rPr>
              <w:t>September 8, 2020</w:t>
            </w:r>
          </w:p>
        </w:tc>
      </w:tr>
      <w:tr w:rsidR="00A82082" w14:paraId="7E785EBE" w14:textId="77777777">
        <w:tc>
          <w:tcPr>
            <w:tcW w:w="0" w:type="auto"/>
            <w:gridSpan w:val="3"/>
            <w:shd w:val="clear" w:color="auto" w:fill="FFFFFF"/>
            <w:tcMar>
              <w:top w:w="40" w:type="dxa"/>
              <w:left w:w="20" w:type="dxa"/>
              <w:bottom w:w="40" w:type="dxa"/>
              <w:right w:w="20" w:type="dxa"/>
            </w:tcMar>
            <w:vAlign w:val="center"/>
          </w:tcPr>
          <w:p w14:paraId="7E785EBB" w14:textId="77777777" w:rsidR="00A82082" w:rsidRDefault="00E946F9">
            <w:pPr>
              <w:textAlignment w:val="center"/>
            </w:pPr>
            <w:r>
              <w:rPr>
                <w:rFonts w:ascii="Times New Roman" w:eastAsia="宋体" w:hAnsi="Times New Roman"/>
                <w:color w:val="000000"/>
                <w:sz w:val="16"/>
                <w:szCs w:val="16"/>
              </w:rPr>
              <w:t>December 11, 2020</w:t>
            </w:r>
          </w:p>
        </w:tc>
        <w:tc>
          <w:tcPr>
            <w:tcW w:w="0" w:type="auto"/>
            <w:gridSpan w:val="3"/>
            <w:shd w:val="clear" w:color="auto" w:fill="FFFFFF"/>
            <w:tcMar>
              <w:top w:w="40" w:type="dxa"/>
              <w:left w:w="20" w:type="dxa"/>
              <w:bottom w:w="40" w:type="dxa"/>
              <w:right w:w="20" w:type="dxa"/>
            </w:tcMar>
            <w:vAlign w:val="center"/>
          </w:tcPr>
          <w:p w14:paraId="7E785EBC"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7E785EBD" w14:textId="77777777" w:rsidR="00A82082" w:rsidRDefault="00E946F9">
            <w:pPr>
              <w:textAlignment w:val="center"/>
            </w:pPr>
            <w:r>
              <w:rPr>
                <w:rFonts w:ascii="Times New Roman" w:eastAsia="宋体" w:hAnsi="Times New Roman"/>
                <w:color w:val="000000"/>
                <w:sz w:val="16"/>
                <w:szCs w:val="16"/>
              </w:rPr>
              <w:t>January 4, 2021</w:t>
            </w:r>
          </w:p>
        </w:tc>
      </w:tr>
    </w:tbl>
    <w:p w14:paraId="7E785EBF" w14:textId="77777777" w:rsidR="00A82082" w:rsidRDefault="00E946F9">
      <w:pPr>
        <w:spacing w:before="160"/>
      </w:pPr>
      <w:r>
        <w:rPr>
          <w:rFonts w:ascii="Times New Roman" w:eastAsia="宋体" w:hAnsi="Times New Roman"/>
          <w:color w:val="000000"/>
          <w:sz w:val="20"/>
          <w:szCs w:val="20"/>
        </w:rPr>
        <w:t>The dividend installments payable on April 6, 2020, June 1, 2020, and September 8, 2020 were paid as scheduled.</w:t>
      </w:r>
    </w:p>
    <w:p w14:paraId="7E785EC0" w14:textId="77777777" w:rsidR="00A82082" w:rsidRDefault="00E946F9">
      <w:pPr>
        <w:spacing w:before="180"/>
      </w:pPr>
      <w:r>
        <w:rPr>
          <w:rFonts w:ascii="Times New Roman" w:eastAsia="宋体" w:hAnsi="Times New Roman"/>
          <w:i/>
          <w:iCs/>
          <w:color w:val="000000"/>
          <w:sz w:val="20"/>
          <w:szCs w:val="20"/>
        </w:rPr>
        <w:t xml:space="preserve">Company Share Repurchase Program </w:t>
      </w:r>
    </w:p>
    <w:p w14:paraId="7E785EC1" w14:textId="77777777" w:rsidR="00A82082" w:rsidRDefault="00E946F9">
      <w:pPr>
        <w:spacing w:before="100"/>
      </w:pPr>
      <w:r>
        <w:rPr>
          <w:rFonts w:ascii="Times New Roman" w:eastAsia="宋体" w:hAnsi="Times New Roman"/>
          <w:color w:val="000000"/>
          <w:sz w:val="20"/>
          <w:szCs w:val="20"/>
        </w:rPr>
        <w:t xml:space="preserve">From time to time, the Company repurchases shares of its common stock under share repurchase programs authorized by the Company's Board of Directors. All repurchases made during the nine months ended October 31, 2020 were </w:t>
      </w:r>
      <w:r>
        <w:rPr>
          <w:rFonts w:ascii="Times New Roman" w:eastAsia="宋体" w:hAnsi="Times New Roman"/>
          <w:color w:val="000000"/>
          <w:sz w:val="20"/>
          <w:szCs w:val="20"/>
        </w:rPr>
        <w:t>made under the current $20 billion share repurchase program approved in October 2017, which has no expiration date or other restrictions limiting the period over which the Company can make share repurchases. As of October 31, 2020, authorization for $4.5 b</w:t>
      </w:r>
      <w:r>
        <w:rPr>
          <w:rFonts w:ascii="Times New Roman" w:eastAsia="宋体" w:hAnsi="Times New Roman"/>
          <w:color w:val="000000"/>
          <w:sz w:val="20"/>
          <w:szCs w:val="20"/>
        </w:rPr>
        <w:t xml:space="preserve">illion of share repurchases remained under the share repurchase program. Any repurchased shares are constructively retired and returned to an unissued status. </w:t>
      </w:r>
    </w:p>
    <w:p w14:paraId="7E785EC2" w14:textId="77777777" w:rsidR="00A82082" w:rsidRDefault="00E946F9">
      <w:pPr>
        <w:jc w:val="center"/>
      </w:pPr>
      <w:r>
        <w:rPr>
          <w:rFonts w:ascii="Times New Roman" w:eastAsia="宋体" w:hAnsi="Times New Roman"/>
          <w:color w:val="000000"/>
          <w:sz w:val="20"/>
          <w:szCs w:val="20"/>
        </w:rPr>
        <w:t>26</w:t>
      </w:r>
    </w:p>
    <w:p w14:paraId="7E785EC3" w14:textId="77777777" w:rsidR="00A82082" w:rsidRDefault="00E946F9">
      <w:r>
        <w:pict w14:anchorId="7E786162">
          <v:rect id="_x0000_i1050" style="width:415.3pt;height:1.5pt" o:hralign="center" o:hrstd="t" o:hr="t" fillcolor="#a0a0a0" stroked="f"/>
        </w:pict>
      </w:r>
    </w:p>
    <w:p w14:paraId="7E785EC4" w14:textId="77777777" w:rsidR="00A82082" w:rsidRDefault="00E946F9">
      <w:hyperlink r:id="rId98" w:anchor="i5c815528a95c4409b9043de534639b9a_7" w:history="1">
        <w:r>
          <w:rPr>
            <w:rStyle w:val="a5"/>
            <w:rFonts w:ascii="Times New Roman" w:eastAsia="宋体" w:hAnsi="Times New Roman"/>
            <w:sz w:val="20"/>
            <w:szCs w:val="20"/>
          </w:rPr>
          <w:t>Table of C</w:t>
        </w:r>
      </w:hyperlink>
      <w:hyperlink r:id="rId99" w:anchor="i5c815528a95c4409b9043de534639b9a_7" w:history="1">
        <w:r>
          <w:rPr>
            <w:rStyle w:val="a5"/>
            <w:rFonts w:ascii="Times New Roman" w:eastAsia="宋体" w:hAnsi="Times New Roman"/>
            <w:sz w:val="20"/>
            <w:szCs w:val="20"/>
          </w:rPr>
          <w:t>ontents</w:t>
        </w:r>
      </w:hyperlink>
    </w:p>
    <w:p w14:paraId="7E785EC5" w14:textId="77777777" w:rsidR="00A82082" w:rsidRDefault="00E946F9">
      <w:pPr>
        <w:spacing w:before="100"/>
      </w:pPr>
      <w:r>
        <w:rPr>
          <w:rFonts w:ascii="Times New Roman" w:eastAsia="宋体" w:hAnsi="Times New Roman"/>
          <w:color w:val="000000"/>
          <w:sz w:val="20"/>
          <w:szCs w:val="20"/>
        </w:rPr>
        <w:t xml:space="preserve">We continue to </w:t>
      </w:r>
      <w:r>
        <w:rPr>
          <w:rFonts w:ascii="Times New Roman" w:eastAsia="宋体" w:hAnsi="Times New Roman"/>
          <w:color w:val="000000"/>
          <w:sz w:val="20"/>
          <w:szCs w:val="20"/>
        </w:rPr>
        <w:t xml:space="preserve">review our share repurchase activity in light of the COVID-19 pandemic and consider several factors in determining when to execute share repurchases, including, among other things, current cash needs, capacity for leverage, cost of borrowings, our results </w:t>
      </w:r>
      <w:r>
        <w:rPr>
          <w:rFonts w:ascii="Times New Roman" w:eastAsia="宋体" w:hAnsi="Times New Roman"/>
          <w:color w:val="000000"/>
          <w:sz w:val="20"/>
          <w:szCs w:val="20"/>
        </w:rPr>
        <w:t>of operations and the market price of our common stock. We anticipate that a majority of the ongoing share repurchase program will be funded through the Company's free cash flow. The following table provides, on a settlement date basis, share repurchase in</w:t>
      </w:r>
      <w:r>
        <w:rPr>
          <w:rFonts w:ascii="Times New Roman" w:eastAsia="宋体" w:hAnsi="Times New Roman"/>
          <w:color w:val="000000"/>
          <w:sz w:val="20"/>
          <w:szCs w:val="20"/>
        </w:rPr>
        <w:t>formation for the nine months ended October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40"/>
        <w:gridCol w:w="5895"/>
        <w:gridCol w:w="37"/>
        <w:gridCol w:w="36"/>
        <w:gridCol w:w="36"/>
        <w:gridCol w:w="46"/>
        <w:gridCol w:w="36"/>
        <w:gridCol w:w="36"/>
        <w:gridCol w:w="36"/>
        <w:gridCol w:w="36"/>
        <w:gridCol w:w="100"/>
        <w:gridCol w:w="806"/>
        <w:gridCol w:w="36"/>
        <w:gridCol w:w="36"/>
        <w:gridCol w:w="36"/>
        <w:gridCol w:w="36"/>
        <w:gridCol w:w="36"/>
        <w:gridCol w:w="36"/>
        <w:gridCol w:w="36"/>
        <w:gridCol w:w="100"/>
        <w:gridCol w:w="808"/>
        <w:gridCol w:w="36"/>
      </w:tblGrid>
      <w:tr w:rsidR="00A82082" w14:paraId="7E785EDA" w14:textId="77777777">
        <w:tc>
          <w:tcPr>
            <w:tcW w:w="50" w:type="pct"/>
            <w:shd w:val="clear" w:color="auto" w:fill="auto"/>
          </w:tcPr>
          <w:p w14:paraId="7E785EC6" w14:textId="77777777" w:rsidR="00A82082" w:rsidRDefault="00A82082">
            <w:pPr>
              <w:rPr>
                <w:rFonts w:ascii="宋体"/>
              </w:rPr>
            </w:pPr>
          </w:p>
        </w:tc>
        <w:tc>
          <w:tcPr>
            <w:tcW w:w="3674" w:type="pct"/>
            <w:shd w:val="clear" w:color="auto" w:fill="auto"/>
          </w:tcPr>
          <w:p w14:paraId="7E785EC7" w14:textId="77777777" w:rsidR="00A82082" w:rsidRDefault="00A82082">
            <w:pPr>
              <w:rPr>
                <w:rFonts w:ascii="宋体"/>
              </w:rPr>
            </w:pPr>
          </w:p>
        </w:tc>
        <w:tc>
          <w:tcPr>
            <w:tcW w:w="5" w:type="pct"/>
            <w:shd w:val="clear" w:color="auto" w:fill="auto"/>
          </w:tcPr>
          <w:p w14:paraId="7E785EC8" w14:textId="77777777" w:rsidR="00A82082" w:rsidRDefault="00A82082">
            <w:pPr>
              <w:rPr>
                <w:rFonts w:ascii="宋体"/>
              </w:rPr>
            </w:pPr>
          </w:p>
        </w:tc>
        <w:tc>
          <w:tcPr>
            <w:tcW w:w="0" w:type="auto"/>
            <w:shd w:val="clear" w:color="auto" w:fill="auto"/>
          </w:tcPr>
          <w:p w14:paraId="7E785EC9" w14:textId="77777777" w:rsidR="00A82082" w:rsidRDefault="00A82082">
            <w:pPr>
              <w:rPr>
                <w:rFonts w:ascii="宋体"/>
                <w:vanish/>
              </w:rPr>
            </w:pPr>
          </w:p>
        </w:tc>
        <w:tc>
          <w:tcPr>
            <w:tcW w:w="0" w:type="auto"/>
            <w:shd w:val="clear" w:color="auto" w:fill="auto"/>
          </w:tcPr>
          <w:p w14:paraId="7E785ECA" w14:textId="77777777" w:rsidR="00A82082" w:rsidRDefault="00A82082">
            <w:pPr>
              <w:rPr>
                <w:rFonts w:ascii="宋体"/>
                <w:vanish/>
              </w:rPr>
            </w:pPr>
          </w:p>
        </w:tc>
        <w:tc>
          <w:tcPr>
            <w:tcW w:w="0" w:type="auto"/>
            <w:shd w:val="clear" w:color="auto" w:fill="auto"/>
          </w:tcPr>
          <w:p w14:paraId="7E785ECB" w14:textId="77777777" w:rsidR="00A82082" w:rsidRDefault="00A82082">
            <w:pPr>
              <w:rPr>
                <w:rFonts w:ascii="宋体"/>
                <w:vanish/>
              </w:rPr>
            </w:pPr>
          </w:p>
        </w:tc>
        <w:tc>
          <w:tcPr>
            <w:tcW w:w="0" w:type="auto"/>
            <w:shd w:val="clear" w:color="auto" w:fill="auto"/>
          </w:tcPr>
          <w:p w14:paraId="7E785ECC" w14:textId="77777777" w:rsidR="00A82082" w:rsidRDefault="00A82082">
            <w:pPr>
              <w:rPr>
                <w:rFonts w:ascii="宋体"/>
                <w:vanish/>
              </w:rPr>
            </w:pPr>
          </w:p>
        </w:tc>
        <w:tc>
          <w:tcPr>
            <w:tcW w:w="5" w:type="pct"/>
            <w:shd w:val="clear" w:color="auto" w:fill="auto"/>
          </w:tcPr>
          <w:p w14:paraId="7E785ECD" w14:textId="77777777" w:rsidR="00A82082" w:rsidRDefault="00A82082">
            <w:pPr>
              <w:rPr>
                <w:rFonts w:ascii="宋体"/>
              </w:rPr>
            </w:pPr>
          </w:p>
        </w:tc>
        <w:tc>
          <w:tcPr>
            <w:tcW w:w="41" w:type="pct"/>
            <w:shd w:val="clear" w:color="auto" w:fill="auto"/>
          </w:tcPr>
          <w:p w14:paraId="7E785ECE" w14:textId="77777777" w:rsidR="00A82082" w:rsidRDefault="00A82082">
            <w:pPr>
              <w:rPr>
                <w:rFonts w:ascii="宋体"/>
              </w:rPr>
            </w:pPr>
          </w:p>
        </w:tc>
        <w:tc>
          <w:tcPr>
            <w:tcW w:w="5" w:type="pct"/>
            <w:shd w:val="clear" w:color="auto" w:fill="auto"/>
          </w:tcPr>
          <w:p w14:paraId="7E785ECF" w14:textId="77777777" w:rsidR="00A82082" w:rsidRDefault="00A82082">
            <w:pPr>
              <w:rPr>
                <w:rFonts w:ascii="宋体"/>
              </w:rPr>
            </w:pPr>
          </w:p>
        </w:tc>
        <w:tc>
          <w:tcPr>
            <w:tcW w:w="50" w:type="pct"/>
            <w:shd w:val="clear" w:color="auto" w:fill="auto"/>
          </w:tcPr>
          <w:p w14:paraId="7E785ED0" w14:textId="77777777" w:rsidR="00A82082" w:rsidRDefault="00A82082">
            <w:pPr>
              <w:rPr>
                <w:rFonts w:ascii="宋体"/>
              </w:rPr>
            </w:pPr>
          </w:p>
        </w:tc>
        <w:tc>
          <w:tcPr>
            <w:tcW w:w="528" w:type="pct"/>
            <w:shd w:val="clear" w:color="auto" w:fill="auto"/>
          </w:tcPr>
          <w:p w14:paraId="7E785ED1" w14:textId="77777777" w:rsidR="00A82082" w:rsidRDefault="00A82082">
            <w:pPr>
              <w:rPr>
                <w:rFonts w:ascii="宋体"/>
              </w:rPr>
            </w:pPr>
          </w:p>
        </w:tc>
        <w:tc>
          <w:tcPr>
            <w:tcW w:w="5" w:type="pct"/>
            <w:shd w:val="clear" w:color="auto" w:fill="auto"/>
          </w:tcPr>
          <w:p w14:paraId="7E785ED2" w14:textId="77777777" w:rsidR="00A82082" w:rsidRDefault="00A82082">
            <w:pPr>
              <w:rPr>
                <w:rFonts w:ascii="宋体"/>
              </w:rPr>
            </w:pPr>
          </w:p>
        </w:tc>
        <w:tc>
          <w:tcPr>
            <w:tcW w:w="5" w:type="pct"/>
            <w:shd w:val="clear" w:color="auto" w:fill="auto"/>
          </w:tcPr>
          <w:p w14:paraId="7E785ED3" w14:textId="77777777" w:rsidR="00A82082" w:rsidRDefault="00A82082">
            <w:pPr>
              <w:rPr>
                <w:rFonts w:ascii="宋体"/>
              </w:rPr>
            </w:pPr>
          </w:p>
        </w:tc>
        <w:tc>
          <w:tcPr>
            <w:tcW w:w="41" w:type="pct"/>
            <w:shd w:val="clear" w:color="auto" w:fill="auto"/>
          </w:tcPr>
          <w:p w14:paraId="7E785ED4" w14:textId="77777777" w:rsidR="00A82082" w:rsidRDefault="00A82082">
            <w:pPr>
              <w:rPr>
                <w:rFonts w:ascii="宋体"/>
              </w:rPr>
            </w:pPr>
          </w:p>
        </w:tc>
        <w:tc>
          <w:tcPr>
            <w:tcW w:w="5" w:type="pct"/>
            <w:shd w:val="clear" w:color="auto" w:fill="auto"/>
          </w:tcPr>
          <w:p w14:paraId="7E785ED5" w14:textId="77777777" w:rsidR="00A82082" w:rsidRDefault="00A82082">
            <w:pPr>
              <w:rPr>
                <w:rFonts w:ascii="宋体"/>
              </w:rPr>
            </w:pPr>
          </w:p>
        </w:tc>
        <w:tc>
          <w:tcPr>
            <w:tcW w:w="0" w:type="auto"/>
            <w:gridSpan w:val="3"/>
            <w:shd w:val="clear" w:color="auto" w:fill="auto"/>
          </w:tcPr>
          <w:p w14:paraId="7E785ED6" w14:textId="77777777" w:rsidR="00A82082" w:rsidRDefault="00A82082">
            <w:pPr>
              <w:rPr>
                <w:rFonts w:ascii="宋体"/>
                <w:vanish/>
              </w:rPr>
            </w:pPr>
          </w:p>
        </w:tc>
        <w:tc>
          <w:tcPr>
            <w:tcW w:w="50" w:type="pct"/>
            <w:shd w:val="clear" w:color="auto" w:fill="auto"/>
          </w:tcPr>
          <w:p w14:paraId="7E785ED7" w14:textId="77777777" w:rsidR="00A82082" w:rsidRDefault="00A82082">
            <w:pPr>
              <w:rPr>
                <w:rFonts w:ascii="宋体"/>
              </w:rPr>
            </w:pPr>
          </w:p>
        </w:tc>
        <w:tc>
          <w:tcPr>
            <w:tcW w:w="529" w:type="pct"/>
            <w:shd w:val="clear" w:color="auto" w:fill="auto"/>
          </w:tcPr>
          <w:p w14:paraId="7E785ED8" w14:textId="77777777" w:rsidR="00A82082" w:rsidRDefault="00A82082">
            <w:pPr>
              <w:rPr>
                <w:rFonts w:ascii="宋体"/>
              </w:rPr>
            </w:pPr>
          </w:p>
        </w:tc>
        <w:tc>
          <w:tcPr>
            <w:tcW w:w="5" w:type="pct"/>
            <w:shd w:val="clear" w:color="auto" w:fill="auto"/>
          </w:tcPr>
          <w:p w14:paraId="7E785ED9" w14:textId="77777777" w:rsidR="00A82082" w:rsidRDefault="00A82082">
            <w:pPr>
              <w:rPr>
                <w:rFonts w:ascii="宋体"/>
              </w:rPr>
            </w:pPr>
          </w:p>
        </w:tc>
      </w:tr>
      <w:tr w:rsidR="00A82082" w14:paraId="7E785EE9" w14:textId="77777777">
        <w:tc>
          <w:tcPr>
            <w:tcW w:w="0" w:type="auto"/>
            <w:gridSpan w:val="3"/>
            <w:shd w:val="clear" w:color="auto" w:fill="auto"/>
            <w:tcMar>
              <w:top w:w="0" w:type="dxa"/>
              <w:left w:w="20" w:type="dxa"/>
              <w:bottom w:w="0" w:type="dxa"/>
              <w:right w:w="20" w:type="dxa"/>
            </w:tcMar>
          </w:tcPr>
          <w:p w14:paraId="7E785EDB" w14:textId="77777777" w:rsidR="00A82082" w:rsidRDefault="00A82082">
            <w:pPr>
              <w:rPr>
                <w:rFonts w:ascii="宋体"/>
              </w:rPr>
            </w:pPr>
          </w:p>
        </w:tc>
        <w:tc>
          <w:tcPr>
            <w:tcW w:w="0" w:type="auto"/>
            <w:shd w:val="clear" w:color="auto" w:fill="auto"/>
          </w:tcPr>
          <w:p w14:paraId="7E785EDC" w14:textId="77777777" w:rsidR="00A82082" w:rsidRDefault="00A82082">
            <w:pPr>
              <w:rPr>
                <w:rFonts w:ascii="宋体"/>
                <w:vanish/>
              </w:rPr>
            </w:pPr>
          </w:p>
        </w:tc>
        <w:tc>
          <w:tcPr>
            <w:tcW w:w="0" w:type="auto"/>
            <w:shd w:val="clear" w:color="auto" w:fill="auto"/>
          </w:tcPr>
          <w:p w14:paraId="7E785EDD" w14:textId="77777777" w:rsidR="00A82082" w:rsidRDefault="00A82082">
            <w:pPr>
              <w:rPr>
                <w:rFonts w:ascii="宋体"/>
                <w:vanish/>
              </w:rPr>
            </w:pPr>
          </w:p>
        </w:tc>
        <w:tc>
          <w:tcPr>
            <w:tcW w:w="0" w:type="auto"/>
            <w:shd w:val="clear" w:color="auto" w:fill="auto"/>
            <w:tcMar>
              <w:top w:w="0" w:type="dxa"/>
              <w:left w:w="20" w:type="dxa"/>
              <w:bottom w:w="0" w:type="dxa"/>
              <w:right w:w="20" w:type="dxa"/>
            </w:tcMar>
          </w:tcPr>
          <w:p w14:paraId="7E785EDE" w14:textId="77777777" w:rsidR="00A82082" w:rsidRDefault="00A82082">
            <w:pPr>
              <w:rPr>
                <w:rFonts w:ascii="宋体"/>
              </w:rPr>
            </w:pPr>
          </w:p>
        </w:tc>
        <w:tc>
          <w:tcPr>
            <w:tcW w:w="0" w:type="auto"/>
            <w:gridSpan w:val="7"/>
            <w:shd w:val="clear" w:color="auto" w:fill="auto"/>
            <w:tcMar>
              <w:top w:w="40" w:type="dxa"/>
              <w:left w:w="20" w:type="dxa"/>
              <w:bottom w:w="40" w:type="dxa"/>
              <w:right w:w="20" w:type="dxa"/>
            </w:tcMar>
            <w:vAlign w:val="bottom"/>
          </w:tcPr>
          <w:p w14:paraId="7E785EDF" w14:textId="77777777" w:rsidR="00A82082" w:rsidRDefault="00E946F9">
            <w:pPr>
              <w:jc w:val="center"/>
              <w:textAlignment w:val="bottom"/>
            </w:pPr>
            <w:r>
              <w:rPr>
                <w:rFonts w:ascii="Times New Roman" w:eastAsia="宋体" w:hAnsi="Times New Roman"/>
                <w:b/>
                <w:bCs/>
                <w:color w:val="000000"/>
                <w:sz w:val="16"/>
                <w:szCs w:val="16"/>
              </w:rPr>
              <w:t>Nine Months Ended October 31,</w:t>
            </w:r>
          </w:p>
        </w:tc>
        <w:tc>
          <w:tcPr>
            <w:tcW w:w="0" w:type="auto"/>
            <w:shd w:val="clear" w:color="auto" w:fill="auto"/>
          </w:tcPr>
          <w:p w14:paraId="7E785EE0" w14:textId="77777777" w:rsidR="00A82082" w:rsidRDefault="00A82082">
            <w:pPr>
              <w:rPr>
                <w:rFonts w:ascii="宋体"/>
              </w:rPr>
            </w:pPr>
          </w:p>
        </w:tc>
        <w:tc>
          <w:tcPr>
            <w:tcW w:w="0" w:type="auto"/>
            <w:shd w:val="clear" w:color="auto" w:fill="auto"/>
          </w:tcPr>
          <w:p w14:paraId="7E785EE1" w14:textId="77777777" w:rsidR="00A82082" w:rsidRDefault="00A82082">
            <w:pPr>
              <w:rPr>
                <w:rFonts w:ascii="宋体"/>
              </w:rPr>
            </w:pPr>
          </w:p>
        </w:tc>
        <w:tc>
          <w:tcPr>
            <w:tcW w:w="0" w:type="auto"/>
            <w:shd w:val="clear" w:color="auto" w:fill="auto"/>
          </w:tcPr>
          <w:p w14:paraId="7E785EE2" w14:textId="77777777" w:rsidR="00A82082" w:rsidRDefault="00A82082">
            <w:pPr>
              <w:rPr>
                <w:rFonts w:ascii="宋体"/>
              </w:rPr>
            </w:pPr>
          </w:p>
        </w:tc>
        <w:tc>
          <w:tcPr>
            <w:tcW w:w="0" w:type="auto"/>
            <w:shd w:val="clear" w:color="auto" w:fill="auto"/>
          </w:tcPr>
          <w:p w14:paraId="7E785EE3" w14:textId="77777777" w:rsidR="00A82082" w:rsidRDefault="00A82082">
            <w:pPr>
              <w:rPr>
                <w:rFonts w:ascii="宋体"/>
              </w:rPr>
            </w:pPr>
          </w:p>
        </w:tc>
        <w:tc>
          <w:tcPr>
            <w:tcW w:w="0" w:type="auto"/>
            <w:shd w:val="clear" w:color="auto" w:fill="auto"/>
          </w:tcPr>
          <w:p w14:paraId="7E785EE4" w14:textId="77777777" w:rsidR="00A82082" w:rsidRDefault="00A82082">
            <w:pPr>
              <w:rPr>
                <w:rFonts w:ascii="宋体"/>
              </w:rPr>
            </w:pPr>
          </w:p>
        </w:tc>
        <w:tc>
          <w:tcPr>
            <w:tcW w:w="0" w:type="auto"/>
            <w:shd w:val="clear" w:color="auto" w:fill="auto"/>
          </w:tcPr>
          <w:p w14:paraId="7E785EE5" w14:textId="77777777" w:rsidR="00A82082" w:rsidRDefault="00A82082">
            <w:pPr>
              <w:rPr>
                <w:rFonts w:ascii="宋体"/>
              </w:rPr>
            </w:pPr>
          </w:p>
        </w:tc>
        <w:tc>
          <w:tcPr>
            <w:tcW w:w="0" w:type="auto"/>
            <w:shd w:val="clear" w:color="auto" w:fill="auto"/>
          </w:tcPr>
          <w:p w14:paraId="7E785EE6" w14:textId="77777777" w:rsidR="00A82082" w:rsidRDefault="00A82082">
            <w:pPr>
              <w:rPr>
                <w:rFonts w:ascii="宋体"/>
              </w:rPr>
            </w:pPr>
          </w:p>
        </w:tc>
        <w:tc>
          <w:tcPr>
            <w:tcW w:w="0" w:type="auto"/>
            <w:shd w:val="clear" w:color="auto" w:fill="auto"/>
          </w:tcPr>
          <w:p w14:paraId="7E785EE7" w14:textId="77777777" w:rsidR="00A82082" w:rsidRDefault="00A82082">
            <w:pPr>
              <w:rPr>
                <w:rFonts w:ascii="宋体"/>
              </w:rPr>
            </w:pPr>
          </w:p>
        </w:tc>
        <w:tc>
          <w:tcPr>
            <w:tcW w:w="0" w:type="auto"/>
            <w:shd w:val="clear" w:color="auto" w:fill="auto"/>
          </w:tcPr>
          <w:p w14:paraId="7E785EE8" w14:textId="77777777" w:rsidR="00A82082" w:rsidRDefault="00A82082">
            <w:pPr>
              <w:rPr>
                <w:rFonts w:ascii="宋体"/>
              </w:rPr>
            </w:pPr>
          </w:p>
        </w:tc>
      </w:tr>
      <w:tr w:rsidR="00A82082" w14:paraId="7E785EF4" w14:textId="77777777">
        <w:tc>
          <w:tcPr>
            <w:tcW w:w="0" w:type="auto"/>
            <w:gridSpan w:val="3"/>
            <w:shd w:val="clear" w:color="auto" w:fill="auto"/>
            <w:tcMar>
              <w:top w:w="40" w:type="dxa"/>
              <w:left w:w="20" w:type="dxa"/>
              <w:bottom w:w="40" w:type="dxa"/>
              <w:right w:w="20" w:type="dxa"/>
            </w:tcMar>
            <w:vAlign w:val="bottom"/>
          </w:tcPr>
          <w:p w14:paraId="7E785EEA" w14:textId="77777777" w:rsidR="00A82082" w:rsidRDefault="00E946F9">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tcPr>
          <w:p w14:paraId="7E785EEB" w14:textId="77777777" w:rsidR="00A82082" w:rsidRDefault="00A82082">
            <w:pPr>
              <w:rPr>
                <w:rFonts w:ascii="宋体"/>
                <w:vanish/>
              </w:rPr>
            </w:pPr>
          </w:p>
        </w:tc>
        <w:tc>
          <w:tcPr>
            <w:tcW w:w="0" w:type="auto"/>
            <w:shd w:val="clear" w:color="auto" w:fill="auto"/>
          </w:tcPr>
          <w:p w14:paraId="7E785EEC" w14:textId="77777777" w:rsidR="00A82082" w:rsidRDefault="00A82082">
            <w:pPr>
              <w:rPr>
                <w:rFonts w:ascii="宋体"/>
                <w:vanish/>
              </w:rPr>
            </w:pPr>
          </w:p>
        </w:tc>
        <w:tc>
          <w:tcPr>
            <w:tcW w:w="0" w:type="auto"/>
            <w:shd w:val="clear" w:color="auto" w:fill="auto"/>
          </w:tcPr>
          <w:p w14:paraId="7E785EED" w14:textId="77777777" w:rsidR="00A82082" w:rsidRDefault="00A82082">
            <w:pPr>
              <w:rPr>
                <w:rFonts w:ascii="宋体"/>
                <w:vanish/>
              </w:rPr>
            </w:pPr>
          </w:p>
        </w:tc>
        <w:tc>
          <w:tcPr>
            <w:tcW w:w="0" w:type="auto"/>
            <w:shd w:val="clear" w:color="auto" w:fill="auto"/>
          </w:tcPr>
          <w:p w14:paraId="7E785EEE" w14:textId="77777777" w:rsidR="00A82082" w:rsidRDefault="00A82082">
            <w:pPr>
              <w:rPr>
                <w:rFonts w:ascii="宋体"/>
                <w:vanish/>
              </w:rPr>
            </w:pPr>
          </w:p>
        </w:tc>
        <w:tc>
          <w:tcPr>
            <w:tcW w:w="0" w:type="auto"/>
            <w:gridSpan w:val="3"/>
            <w:shd w:val="clear" w:color="auto" w:fill="auto"/>
            <w:tcMar>
              <w:top w:w="0" w:type="dxa"/>
              <w:left w:w="20" w:type="dxa"/>
              <w:bottom w:w="0" w:type="dxa"/>
              <w:right w:w="20" w:type="dxa"/>
            </w:tcMar>
          </w:tcPr>
          <w:p w14:paraId="7E785EEF"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EF0" w14:textId="77777777" w:rsidR="00A82082" w:rsidRDefault="00E946F9">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785EF1" w14:textId="77777777" w:rsidR="00A82082" w:rsidRDefault="00A82082">
            <w:pPr>
              <w:rPr>
                <w:rFonts w:ascii="宋体"/>
              </w:rPr>
            </w:pPr>
          </w:p>
        </w:tc>
        <w:tc>
          <w:tcPr>
            <w:tcW w:w="0" w:type="auto"/>
            <w:gridSpan w:val="3"/>
            <w:shd w:val="clear" w:color="auto" w:fill="auto"/>
          </w:tcPr>
          <w:p w14:paraId="7E785EF2" w14:textId="77777777" w:rsidR="00A82082" w:rsidRDefault="00A8208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5EF3" w14:textId="77777777" w:rsidR="00A82082" w:rsidRDefault="00E946F9">
            <w:pPr>
              <w:jc w:val="center"/>
              <w:textAlignment w:val="bottom"/>
            </w:pPr>
            <w:r>
              <w:rPr>
                <w:rFonts w:ascii="Times New Roman" w:eastAsia="宋体" w:hAnsi="Times New Roman"/>
                <w:b/>
                <w:bCs/>
                <w:color w:val="000000"/>
                <w:sz w:val="16"/>
                <w:szCs w:val="16"/>
              </w:rPr>
              <w:t>2019</w:t>
            </w:r>
          </w:p>
        </w:tc>
      </w:tr>
      <w:tr w:rsidR="00A82082" w14:paraId="7E785F01" w14:textId="77777777">
        <w:tc>
          <w:tcPr>
            <w:tcW w:w="0" w:type="auto"/>
            <w:gridSpan w:val="3"/>
            <w:shd w:val="clear" w:color="auto" w:fill="CCEEFF"/>
            <w:tcMar>
              <w:top w:w="40" w:type="dxa"/>
              <w:left w:w="20" w:type="dxa"/>
              <w:bottom w:w="40" w:type="dxa"/>
              <w:right w:w="20" w:type="dxa"/>
            </w:tcMar>
            <w:vAlign w:val="center"/>
          </w:tcPr>
          <w:p w14:paraId="7E785EF5" w14:textId="77777777" w:rsidR="00A82082" w:rsidRDefault="00E946F9">
            <w:pPr>
              <w:textAlignment w:val="center"/>
            </w:pPr>
            <w:r>
              <w:rPr>
                <w:rFonts w:ascii="Times New Roman" w:eastAsia="宋体" w:hAnsi="Times New Roman"/>
                <w:color w:val="000000"/>
                <w:sz w:val="16"/>
                <w:szCs w:val="16"/>
              </w:rPr>
              <w:t>Total number of shares repurchased</w:t>
            </w:r>
          </w:p>
        </w:tc>
        <w:tc>
          <w:tcPr>
            <w:tcW w:w="0" w:type="auto"/>
            <w:shd w:val="clear" w:color="auto" w:fill="auto"/>
          </w:tcPr>
          <w:p w14:paraId="7E785EF6" w14:textId="77777777" w:rsidR="00A82082" w:rsidRDefault="00A82082">
            <w:pPr>
              <w:rPr>
                <w:rFonts w:ascii="宋体"/>
                <w:vanish/>
              </w:rPr>
            </w:pPr>
          </w:p>
        </w:tc>
        <w:tc>
          <w:tcPr>
            <w:tcW w:w="0" w:type="auto"/>
            <w:shd w:val="clear" w:color="auto" w:fill="auto"/>
          </w:tcPr>
          <w:p w14:paraId="7E785EF7" w14:textId="77777777" w:rsidR="00A82082" w:rsidRDefault="00A82082">
            <w:pPr>
              <w:rPr>
                <w:rFonts w:ascii="宋体"/>
                <w:vanish/>
              </w:rPr>
            </w:pPr>
          </w:p>
        </w:tc>
        <w:tc>
          <w:tcPr>
            <w:tcW w:w="0" w:type="auto"/>
            <w:shd w:val="clear" w:color="auto" w:fill="auto"/>
          </w:tcPr>
          <w:p w14:paraId="7E785EF8" w14:textId="77777777" w:rsidR="00A82082" w:rsidRDefault="00A82082">
            <w:pPr>
              <w:rPr>
                <w:rFonts w:ascii="宋体"/>
                <w:vanish/>
              </w:rPr>
            </w:pPr>
          </w:p>
        </w:tc>
        <w:tc>
          <w:tcPr>
            <w:tcW w:w="0" w:type="auto"/>
            <w:shd w:val="clear" w:color="auto" w:fill="auto"/>
          </w:tcPr>
          <w:p w14:paraId="7E785EF9"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EFA"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EFB" w14:textId="77777777" w:rsidR="00A82082" w:rsidRDefault="00E946F9">
            <w:pPr>
              <w:jc w:val="right"/>
              <w:textAlignment w:val="center"/>
            </w:pPr>
            <w:r>
              <w:rPr>
                <w:rFonts w:ascii="Times New Roman" w:eastAsia="宋体" w:hAnsi="Times New Roman"/>
                <w:color w:val="000000"/>
                <w:sz w:val="16"/>
                <w:szCs w:val="16"/>
              </w:rPr>
              <w:t>9.6 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EFC"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EFD" w14:textId="77777777" w:rsidR="00A82082" w:rsidRDefault="00A82082">
            <w:pPr>
              <w:rPr>
                <w:rFonts w:ascii="宋体"/>
              </w:rPr>
            </w:pPr>
          </w:p>
        </w:tc>
        <w:tc>
          <w:tcPr>
            <w:tcW w:w="0" w:type="auto"/>
            <w:gridSpan w:val="3"/>
            <w:shd w:val="clear" w:color="auto" w:fill="auto"/>
          </w:tcPr>
          <w:p w14:paraId="7E785EFE" w14:textId="77777777" w:rsidR="00A82082" w:rsidRDefault="00A8208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EFF" w14:textId="77777777" w:rsidR="00A82082" w:rsidRDefault="00E946F9">
            <w:pPr>
              <w:jc w:val="right"/>
              <w:textAlignment w:val="center"/>
            </w:pPr>
            <w:r>
              <w:rPr>
                <w:rFonts w:ascii="Times New Roman" w:eastAsia="宋体" w:hAnsi="Times New Roman"/>
                <w:color w:val="000000"/>
                <w:sz w:val="16"/>
                <w:szCs w:val="16"/>
              </w:rPr>
              <w:t>46.4 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F00" w14:textId="77777777" w:rsidR="00A82082" w:rsidRDefault="00A82082">
            <w:pPr>
              <w:jc w:val="right"/>
              <w:rPr>
                <w:rFonts w:ascii="宋体"/>
              </w:rPr>
            </w:pPr>
          </w:p>
        </w:tc>
      </w:tr>
      <w:tr w:rsidR="00A82082" w14:paraId="7E785F10" w14:textId="77777777">
        <w:tc>
          <w:tcPr>
            <w:tcW w:w="0" w:type="auto"/>
            <w:gridSpan w:val="3"/>
            <w:shd w:val="clear" w:color="auto" w:fill="FFFFFF"/>
            <w:tcMar>
              <w:top w:w="40" w:type="dxa"/>
              <w:left w:w="20" w:type="dxa"/>
              <w:bottom w:w="40" w:type="dxa"/>
              <w:right w:w="20" w:type="dxa"/>
            </w:tcMar>
            <w:vAlign w:val="center"/>
          </w:tcPr>
          <w:p w14:paraId="7E785F02" w14:textId="77777777" w:rsidR="00A82082" w:rsidRDefault="00E946F9">
            <w:pPr>
              <w:textAlignment w:val="center"/>
            </w:pPr>
            <w:r>
              <w:rPr>
                <w:rFonts w:ascii="Times New Roman" w:eastAsia="宋体" w:hAnsi="Times New Roman"/>
                <w:color w:val="000000"/>
                <w:sz w:val="16"/>
                <w:szCs w:val="16"/>
              </w:rPr>
              <w:t>Average price paid per share</w:t>
            </w:r>
          </w:p>
        </w:tc>
        <w:tc>
          <w:tcPr>
            <w:tcW w:w="0" w:type="auto"/>
            <w:shd w:val="clear" w:color="auto" w:fill="auto"/>
          </w:tcPr>
          <w:p w14:paraId="7E785F03" w14:textId="77777777" w:rsidR="00A82082" w:rsidRDefault="00A82082">
            <w:pPr>
              <w:rPr>
                <w:rFonts w:ascii="宋体"/>
                <w:vanish/>
              </w:rPr>
            </w:pPr>
          </w:p>
        </w:tc>
        <w:tc>
          <w:tcPr>
            <w:tcW w:w="0" w:type="auto"/>
            <w:shd w:val="clear" w:color="auto" w:fill="auto"/>
          </w:tcPr>
          <w:p w14:paraId="7E785F04" w14:textId="77777777" w:rsidR="00A82082" w:rsidRDefault="00A82082">
            <w:pPr>
              <w:rPr>
                <w:rFonts w:ascii="宋体"/>
                <w:vanish/>
              </w:rPr>
            </w:pPr>
          </w:p>
        </w:tc>
        <w:tc>
          <w:tcPr>
            <w:tcW w:w="0" w:type="auto"/>
            <w:shd w:val="clear" w:color="auto" w:fill="auto"/>
          </w:tcPr>
          <w:p w14:paraId="7E785F05" w14:textId="77777777" w:rsidR="00A82082" w:rsidRDefault="00A82082">
            <w:pPr>
              <w:rPr>
                <w:rFonts w:ascii="宋体"/>
                <w:vanish/>
              </w:rPr>
            </w:pPr>
          </w:p>
        </w:tc>
        <w:tc>
          <w:tcPr>
            <w:tcW w:w="0" w:type="auto"/>
            <w:shd w:val="clear" w:color="auto" w:fill="auto"/>
          </w:tcPr>
          <w:p w14:paraId="7E785F06" w14:textId="77777777" w:rsidR="00A82082" w:rsidRDefault="00A82082">
            <w:pPr>
              <w:rPr>
                <w:rFonts w:ascii="宋体"/>
                <w:vanish/>
              </w:rPr>
            </w:pPr>
          </w:p>
        </w:tc>
        <w:tc>
          <w:tcPr>
            <w:tcW w:w="0" w:type="auto"/>
            <w:gridSpan w:val="3"/>
            <w:shd w:val="clear" w:color="auto" w:fill="FFFFFF"/>
            <w:tcMar>
              <w:top w:w="0" w:type="dxa"/>
              <w:left w:w="20" w:type="dxa"/>
              <w:bottom w:w="0" w:type="dxa"/>
              <w:right w:w="20" w:type="dxa"/>
            </w:tcMar>
          </w:tcPr>
          <w:p w14:paraId="7E785F07" w14:textId="77777777" w:rsidR="00A82082" w:rsidRDefault="00A82082">
            <w:pPr>
              <w:rPr>
                <w:rFonts w:ascii="宋体"/>
              </w:rPr>
            </w:pPr>
          </w:p>
        </w:tc>
        <w:tc>
          <w:tcPr>
            <w:tcW w:w="0" w:type="auto"/>
            <w:shd w:val="clear" w:color="auto" w:fill="FFFFFF"/>
            <w:tcMar>
              <w:top w:w="40" w:type="dxa"/>
              <w:left w:w="20" w:type="dxa"/>
              <w:bottom w:w="40" w:type="dxa"/>
              <w:right w:w="0" w:type="dxa"/>
            </w:tcMar>
            <w:vAlign w:val="center"/>
          </w:tcPr>
          <w:p w14:paraId="7E785F08"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F09" w14:textId="77777777" w:rsidR="00A82082" w:rsidRDefault="00E946F9">
            <w:pPr>
              <w:jc w:val="right"/>
              <w:textAlignment w:val="center"/>
            </w:pPr>
            <w:r>
              <w:rPr>
                <w:rFonts w:ascii="Times New Roman" w:eastAsia="宋体" w:hAnsi="Times New Roman"/>
                <w:color w:val="000000"/>
                <w:sz w:val="16"/>
                <w:szCs w:val="16"/>
              </w:rPr>
              <w:t>123.54 </w:t>
            </w:r>
          </w:p>
        </w:tc>
        <w:tc>
          <w:tcPr>
            <w:tcW w:w="0" w:type="auto"/>
            <w:shd w:val="clear" w:color="auto" w:fill="FFFFFF"/>
            <w:tcMar>
              <w:top w:w="40" w:type="dxa"/>
              <w:left w:w="0" w:type="dxa"/>
              <w:bottom w:w="40" w:type="dxa"/>
              <w:right w:w="20" w:type="dxa"/>
            </w:tcMar>
            <w:vAlign w:val="center"/>
          </w:tcPr>
          <w:p w14:paraId="7E785F0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0B" w14:textId="77777777" w:rsidR="00A82082" w:rsidRDefault="00A82082">
            <w:pPr>
              <w:rPr>
                <w:rFonts w:ascii="宋体"/>
              </w:rPr>
            </w:pPr>
          </w:p>
        </w:tc>
        <w:tc>
          <w:tcPr>
            <w:tcW w:w="0" w:type="auto"/>
            <w:gridSpan w:val="3"/>
            <w:shd w:val="clear" w:color="auto" w:fill="auto"/>
          </w:tcPr>
          <w:p w14:paraId="7E785F0C" w14:textId="77777777" w:rsidR="00A82082" w:rsidRDefault="00A82082">
            <w:pPr>
              <w:rPr>
                <w:rFonts w:ascii="宋体"/>
                <w:vanish/>
              </w:rPr>
            </w:pPr>
          </w:p>
        </w:tc>
        <w:tc>
          <w:tcPr>
            <w:tcW w:w="0" w:type="auto"/>
            <w:shd w:val="clear" w:color="auto" w:fill="FFFFFF"/>
            <w:tcMar>
              <w:top w:w="40" w:type="dxa"/>
              <w:left w:w="20" w:type="dxa"/>
              <w:bottom w:w="40" w:type="dxa"/>
              <w:right w:w="0" w:type="dxa"/>
            </w:tcMar>
            <w:vAlign w:val="center"/>
          </w:tcPr>
          <w:p w14:paraId="7E785F0D"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7E785F0E" w14:textId="77777777" w:rsidR="00A82082" w:rsidRDefault="00E946F9">
            <w:pPr>
              <w:jc w:val="right"/>
              <w:textAlignment w:val="center"/>
            </w:pPr>
            <w:r>
              <w:rPr>
                <w:rFonts w:ascii="Times New Roman" w:eastAsia="宋体" w:hAnsi="Times New Roman"/>
                <w:color w:val="000000"/>
                <w:sz w:val="16"/>
                <w:szCs w:val="16"/>
              </w:rPr>
              <w:t>103.98 </w:t>
            </w:r>
          </w:p>
        </w:tc>
        <w:tc>
          <w:tcPr>
            <w:tcW w:w="0" w:type="auto"/>
            <w:shd w:val="clear" w:color="auto" w:fill="FFFFFF"/>
            <w:tcMar>
              <w:top w:w="40" w:type="dxa"/>
              <w:left w:w="0" w:type="dxa"/>
              <w:bottom w:w="40" w:type="dxa"/>
              <w:right w:w="20" w:type="dxa"/>
            </w:tcMar>
            <w:vAlign w:val="center"/>
          </w:tcPr>
          <w:p w14:paraId="7E785F0F" w14:textId="77777777" w:rsidR="00A82082" w:rsidRDefault="00A82082">
            <w:pPr>
              <w:jc w:val="right"/>
              <w:rPr>
                <w:rFonts w:ascii="宋体"/>
              </w:rPr>
            </w:pPr>
          </w:p>
        </w:tc>
      </w:tr>
      <w:tr w:rsidR="00A82082" w14:paraId="7E785F1F" w14:textId="77777777">
        <w:tc>
          <w:tcPr>
            <w:tcW w:w="0" w:type="auto"/>
            <w:gridSpan w:val="3"/>
            <w:shd w:val="clear" w:color="auto" w:fill="CCEEFF"/>
            <w:tcMar>
              <w:top w:w="40" w:type="dxa"/>
              <w:left w:w="20" w:type="dxa"/>
              <w:bottom w:w="40" w:type="dxa"/>
              <w:right w:w="20" w:type="dxa"/>
            </w:tcMar>
            <w:vAlign w:val="center"/>
          </w:tcPr>
          <w:p w14:paraId="7E785F11" w14:textId="77777777" w:rsidR="00A82082" w:rsidRDefault="00E946F9">
            <w:pPr>
              <w:textAlignment w:val="center"/>
            </w:pPr>
            <w:r>
              <w:rPr>
                <w:rFonts w:ascii="Times New Roman" w:eastAsia="宋体" w:hAnsi="Times New Roman"/>
                <w:color w:val="000000"/>
                <w:sz w:val="16"/>
                <w:szCs w:val="16"/>
              </w:rPr>
              <w:t>Total amount paid for share repurchases</w:t>
            </w:r>
          </w:p>
        </w:tc>
        <w:tc>
          <w:tcPr>
            <w:tcW w:w="0" w:type="auto"/>
            <w:shd w:val="clear" w:color="auto" w:fill="auto"/>
          </w:tcPr>
          <w:p w14:paraId="7E785F12" w14:textId="77777777" w:rsidR="00A82082" w:rsidRDefault="00A82082">
            <w:pPr>
              <w:rPr>
                <w:rFonts w:ascii="宋体"/>
                <w:vanish/>
              </w:rPr>
            </w:pPr>
          </w:p>
        </w:tc>
        <w:tc>
          <w:tcPr>
            <w:tcW w:w="0" w:type="auto"/>
            <w:shd w:val="clear" w:color="auto" w:fill="auto"/>
          </w:tcPr>
          <w:p w14:paraId="7E785F13" w14:textId="77777777" w:rsidR="00A82082" w:rsidRDefault="00A82082">
            <w:pPr>
              <w:rPr>
                <w:rFonts w:ascii="宋体"/>
                <w:vanish/>
              </w:rPr>
            </w:pPr>
          </w:p>
        </w:tc>
        <w:tc>
          <w:tcPr>
            <w:tcW w:w="0" w:type="auto"/>
            <w:shd w:val="clear" w:color="auto" w:fill="auto"/>
          </w:tcPr>
          <w:p w14:paraId="7E785F14" w14:textId="77777777" w:rsidR="00A82082" w:rsidRDefault="00A82082">
            <w:pPr>
              <w:rPr>
                <w:rFonts w:ascii="宋体"/>
                <w:vanish/>
              </w:rPr>
            </w:pPr>
          </w:p>
        </w:tc>
        <w:tc>
          <w:tcPr>
            <w:tcW w:w="0" w:type="auto"/>
            <w:shd w:val="clear" w:color="auto" w:fill="auto"/>
          </w:tcPr>
          <w:p w14:paraId="7E785F15" w14:textId="77777777" w:rsidR="00A82082" w:rsidRDefault="00A82082">
            <w:pPr>
              <w:rPr>
                <w:rFonts w:ascii="宋体"/>
                <w:vanish/>
              </w:rPr>
            </w:pPr>
          </w:p>
        </w:tc>
        <w:tc>
          <w:tcPr>
            <w:tcW w:w="0" w:type="auto"/>
            <w:gridSpan w:val="3"/>
            <w:shd w:val="clear" w:color="auto" w:fill="CCEEFF"/>
            <w:tcMar>
              <w:top w:w="0" w:type="dxa"/>
              <w:left w:w="20" w:type="dxa"/>
              <w:bottom w:w="0" w:type="dxa"/>
              <w:right w:w="20" w:type="dxa"/>
            </w:tcMar>
          </w:tcPr>
          <w:p w14:paraId="7E785F16" w14:textId="77777777" w:rsidR="00A82082" w:rsidRDefault="00A82082">
            <w:pPr>
              <w:rPr>
                <w:rFonts w:ascii="宋体"/>
              </w:rPr>
            </w:pPr>
          </w:p>
        </w:tc>
        <w:tc>
          <w:tcPr>
            <w:tcW w:w="0" w:type="auto"/>
            <w:shd w:val="clear" w:color="auto" w:fill="CCEEFF"/>
            <w:tcMar>
              <w:top w:w="40" w:type="dxa"/>
              <w:left w:w="20" w:type="dxa"/>
              <w:bottom w:w="40" w:type="dxa"/>
              <w:right w:w="0" w:type="dxa"/>
            </w:tcMar>
            <w:vAlign w:val="center"/>
          </w:tcPr>
          <w:p w14:paraId="7E785F17"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F18" w14:textId="77777777" w:rsidR="00A82082" w:rsidRDefault="00E946F9">
            <w:pPr>
              <w:jc w:val="right"/>
              <w:textAlignment w:val="center"/>
            </w:pPr>
            <w:r>
              <w:rPr>
                <w:rFonts w:ascii="Times New Roman" w:eastAsia="宋体" w:hAnsi="Times New Roman"/>
                <w:color w:val="000000"/>
                <w:sz w:val="16"/>
                <w:szCs w:val="16"/>
              </w:rPr>
              <w:t>1,186 </w:t>
            </w:r>
          </w:p>
        </w:tc>
        <w:tc>
          <w:tcPr>
            <w:tcW w:w="0" w:type="auto"/>
            <w:shd w:val="clear" w:color="auto" w:fill="CCEEFF"/>
            <w:tcMar>
              <w:top w:w="40" w:type="dxa"/>
              <w:left w:w="0" w:type="dxa"/>
              <w:bottom w:w="40" w:type="dxa"/>
              <w:right w:w="20" w:type="dxa"/>
            </w:tcMar>
            <w:vAlign w:val="center"/>
          </w:tcPr>
          <w:p w14:paraId="7E785F1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1A" w14:textId="77777777" w:rsidR="00A82082" w:rsidRDefault="00A82082">
            <w:pPr>
              <w:rPr>
                <w:rFonts w:ascii="宋体"/>
              </w:rPr>
            </w:pPr>
          </w:p>
        </w:tc>
        <w:tc>
          <w:tcPr>
            <w:tcW w:w="0" w:type="auto"/>
            <w:gridSpan w:val="3"/>
            <w:shd w:val="clear" w:color="auto" w:fill="auto"/>
          </w:tcPr>
          <w:p w14:paraId="7E785F1B" w14:textId="77777777" w:rsidR="00A82082" w:rsidRDefault="00A82082">
            <w:pPr>
              <w:rPr>
                <w:rFonts w:ascii="宋体"/>
                <w:vanish/>
              </w:rPr>
            </w:pPr>
          </w:p>
        </w:tc>
        <w:tc>
          <w:tcPr>
            <w:tcW w:w="0" w:type="auto"/>
            <w:shd w:val="clear" w:color="auto" w:fill="CCEEFF"/>
            <w:tcMar>
              <w:top w:w="40" w:type="dxa"/>
              <w:left w:w="20" w:type="dxa"/>
              <w:bottom w:w="40" w:type="dxa"/>
              <w:right w:w="0" w:type="dxa"/>
            </w:tcMar>
            <w:vAlign w:val="center"/>
          </w:tcPr>
          <w:p w14:paraId="7E785F1C" w14:textId="77777777" w:rsidR="00A82082" w:rsidRDefault="00E946F9">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7E785F1D" w14:textId="77777777" w:rsidR="00A82082" w:rsidRDefault="00E946F9">
            <w:pPr>
              <w:jc w:val="right"/>
              <w:textAlignment w:val="center"/>
            </w:pPr>
            <w:r>
              <w:rPr>
                <w:rFonts w:ascii="Times New Roman" w:eastAsia="宋体" w:hAnsi="Times New Roman"/>
                <w:color w:val="000000"/>
                <w:sz w:val="16"/>
                <w:szCs w:val="16"/>
              </w:rPr>
              <w:t>4,829 </w:t>
            </w:r>
          </w:p>
        </w:tc>
        <w:tc>
          <w:tcPr>
            <w:tcW w:w="0" w:type="auto"/>
            <w:shd w:val="clear" w:color="auto" w:fill="CCEEFF"/>
            <w:tcMar>
              <w:top w:w="40" w:type="dxa"/>
              <w:left w:w="0" w:type="dxa"/>
              <w:bottom w:w="40" w:type="dxa"/>
              <w:right w:w="20" w:type="dxa"/>
            </w:tcMar>
            <w:vAlign w:val="center"/>
          </w:tcPr>
          <w:p w14:paraId="7E785F1E" w14:textId="77777777" w:rsidR="00A82082" w:rsidRDefault="00A82082">
            <w:pPr>
              <w:jc w:val="right"/>
              <w:rPr>
                <w:rFonts w:ascii="宋体"/>
              </w:rPr>
            </w:pPr>
          </w:p>
        </w:tc>
      </w:tr>
    </w:tbl>
    <w:p w14:paraId="7E785F20" w14:textId="77777777" w:rsidR="00A82082" w:rsidRDefault="00E946F9">
      <w:pPr>
        <w:spacing w:before="240" w:after="100"/>
      </w:pPr>
      <w:r>
        <w:rPr>
          <w:rFonts w:ascii="Times New Roman" w:eastAsia="宋体" w:hAnsi="Times New Roman"/>
          <w:b/>
          <w:bCs/>
          <w:color w:val="000000"/>
          <w:sz w:val="20"/>
          <w:szCs w:val="20"/>
          <w:u w:val="single"/>
        </w:rPr>
        <w:t xml:space="preserve">Capital </w:t>
      </w:r>
      <w:r>
        <w:rPr>
          <w:rFonts w:ascii="Times New Roman" w:eastAsia="宋体" w:hAnsi="Times New Roman"/>
          <w:b/>
          <w:bCs/>
          <w:color w:val="000000"/>
          <w:sz w:val="20"/>
          <w:szCs w:val="20"/>
          <w:u w:val="single"/>
        </w:rPr>
        <w:t>Resources</w:t>
      </w:r>
    </w:p>
    <w:p w14:paraId="7E785F21" w14:textId="77777777" w:rsidR="00A82082" w:rsidRDefault="00E946F9">
      <w:r>
        <w:rPr>
          <w:rFonts w:ascii="Times New Roman" w:eastAsia="宋体" w:hAnsi="Times New Roman"/>
          <w:color w:val="000000"/>
          <w:sz w:val="20"/>
          <w:szCs w:val="20"/>
        </w:rPr>
        <w:t>We believe cash flows from operations, our current cash position and access to capital markets will continue to be sufficient to meet our anticipated operating cash needs, which include funding seasonal increases in merchandise inventories, our c</w:t>
      </w:r>
      <w:r>
        <w:rPr>
          <w:rFonts w:ascii="Times New Roman" w:eastAsia="宋体" w:hAnsi="Times New Roman"/>
          <w:color w:val="000000"/>
          <w:sz w:val="20"/>
          <w:szCs w:val="20"/>
        </w:rPr>
        <w:t xml:space="preserve">apital expenditures, acquisitions, dividend payments and share repurchases. </w:t>
      </w:r>
    </w:p>
    <w:p w14:paraId="7E785F22" w14:textId="77777777" w:rsidR="00A82082" w:rsidRDefault="00E946F9">
      <w:pPr>
        <w:spacing w:before="100"/>
      </w:pPr>
      <w:r>
        <w:rPr>
          <w:rFonts w:ascii="Times New Roman" w:eastAsia="宋体" w:hAnsi="Times New Roman"/>
          <w:color w:val="000000"/>
          <w:sz w:val="20"/>
          <w:szCs w:val="20"/>
        </w:rPr>
        <w:t>We have strong commercial paper and long-term debt ratings that have enabled and should continue to enable us to refinance our debt as it becomes due at favorable rates in the cap</w:t>
      </w:r>
      <w:r>
        <w:rPr>
          <w:rFonts w:ascii="Times New Roman" w:eastAsia="宋体" w:hAnsi="Times New Roman"/>
          <w:color w:val="000000"/>
          <w:sz w:val="20"/>
          <w:szCs w:val="20"/>
        </w:rPr>
        <w:t xml:space="preserve">ital markets. We also have $15.0 billion in various committed lines of credit in the U.S., all of which currently remains undrawn. At October 31, 2020, the ratings assigned to our commercial paper and rated series of our outstanding long-term debt were as </w:t>
      </w:r>
      <w:r>
        <w:rPr>
          <w:rFonts w:ascii="Times New Roman" w:eastAsia="宋体" w:hAnsi="Times New Roman"/>
          <w:color w:val="000000"/>
          <w:sz w:val="20"/>
          <w:szCs w:val="20"/>
        </w:rPr>
        <w:t>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A82082" w14:paraId="7E785F32" w14:textId="77777777">
        <w:trPr>
          <w:jc w:val="center"/>
        </w:trPr>
        <w:tc>
          <w:tcPr>
            <w:tcW w:w="50" w:type="pct"/>
            <w:shd w:val="clear" w:color="auto" w:fill="auto"/>
          </w:tcPr>
          <w:p w14:paraId="7E785F23" w14:textId="77777777" w:rsidR="00A82082" w:rsidRDefault="00A82082">
            <w:pPr>
              <w:rPr>
                <w:rFonts w:ascii="宋体"/>
              </w:rPr>
            </w:pPr>
          </w:p>
        </w:tc>
        <w:tc>
          <w:tcPr>
            <w:tcW w:w="1972" w:type="pct"/>
            <w:shd w:val="clear" w:color="auto" w:fill="auto"/>
          </w:tcPr>
          <w:p w14:paraId="7E785F24" w14:textId="77777777" w:rsidR="00A82082" w:rsidRDefault="00A82082">
            <w:pPr>
              <w:rPr>
                <w:rFonts w:ascii="宋体"/>
              </w:rPr>
            </w:pPr>
          </w:p>
        </w:tc>
        <w:tc>
          <w:tcPr>
            <w:tcW w:w="5" w:type="pct"/>
            <w:shd w:val="clear" w:color="auto" w:fill="auto"/>
          </w:tcPr>
          <w:p w14:paraId="7E785F25" w14:textId="77777777" w:rsidR="00A82082" w:rsidRDefault="00A82082">
            <w:pPr>
              <w:rPr>
                <w:rFonts w:ascii="宋体"/>
              </w:rPr>
            </w:pPr>
          </w:p>
        </w:tc>
        <w:tc>
          <w:tcPr>
            <w:tcW w:w="5" w:type="pct"/>
            <w:shd w:val="clear" w:color="auto" w:fill="auto"/>
          </w:tcPr>
          <w:p w14:paraId="7E785F26" w14:textId="77777777" w:rsidR="00A82082" w:rsidRDefault="00A82082">
            <w:pPr>
              <w:rPr>
                <w:rFonts w:ascii="宋体"/>
              </w:rPr>
            </w:pPr>
          </w:p>
        </w:tc>
        <w:tc>
          <w:tcPr>
            <w:tcW w:w="107" w:type="pct"/>
            <w:shd w:val="clear" w:color="auto" w:fill="auto"/>
          </w:tcPr>
          <w:p w14:paraId="7E785F27" w14:textId="77777777" w:rsidR="00A82082" w:rsidRDefault="00A82082">
            <w:pPr>
              <w:rPr>
                <w:rFonts w:ascii="宋体"/>
              </w:rPr>
            </w:pPr>
          </w:p>
        </w:tc>
        <w:tc>
          <w:tcPr>
            <w:tcW w:w="5" w:type="pct"/>
            <w:shd w:val="clear" w:color="auto" w:fill="auto"/>
          </w:tcPr>
          <w:p w14:paraId="7E785F28" w14:textId="77777777" w:rsidR="00A82082" w:rsidRDefault="00A82082">
            <w:pPr>
              <w:rPr>
                <w:rFonts w:ascii="宋体"/>
              </w:rPr>
            </w:pPr>
          </w:p>
        </w:tc>
        <w:tc>
          <w:tcPr>
            <w:tcW w:w="50" w:type="pct"/>
            <w:shd w:val="clear" w:color="auto" w:fill="auto"/>
          </w:tcPr>
          <w:p w14:paraId="7E785F29" w14:textId="77777777" w:rsidR="00A82082" w:rsidRDefault="00A82082">
            <w:pPr>
              <w:rPr>
                <w:rFonts w:ascii="宋体"/>
              </w:rPr>
            </w:pPr>
          </w:p>
        </w:tc>
        <w:tc>
          <w:tcPr>
            <w:tcW w:w="1313" w:type="pct"/>
            <w:shd w:val="clear" w:color="auto" w:fill="auto"/>
          </w:tcPr>
          <w:p w14:paraId="7E785F2A" w14:textId="77777777" w:rsidR="00A82082" w:rsidRDefault="00A82082">
            <w:pPr>
              <w:rPr>
                <w:rFonts w:ascii="宋体"/>
              </w:rPr>
            </w:pPr>
          </w:p>
        </w:tc>
        <w:tc>
          <w:tcPr>
            <w:tcW w:w="5" w:type="pct"/>
            <w:shd w:val="clear" w:color="auto" w:fill="auto"/>
          </w:tcPr>
          <w:p w14:paraId="7E785F2B" w14:textId="77777777" w:rsidR="00A82082" w:rsidRDefault="00A82082">
            <w:pPr>
              <w:rPr>
                <w:rFonts w:ascii="宋体"/>
              </w:rPr>
            </w:pPr>
          </w:p>
        </w:tc>
        <w:tc>
          <w:tcPr>
            <w:tcW w:w="5" w:type="pct"/>
            <w:shd w:val="clear" w:color="auto" w:fill="auto"/>
          </w:tcPr>
          <w:p w14:paraId="7E785F2C" w14:textId="77777777" w:rsidR="00A82082" w:rsidRDefault="00A82082">
            <w:pPr>
              <w:rPr>
                <w:rFonts w:ascii="宋体"/>
              </w:rPr>
            </w:pPr>
          </w:p>
        </w:tc>
        <w:tc>
          <w:tcPr>
            <w:tcW w:w="107" w:type="pct"/>
            <w:shd w:val="clear" w:color="auto" w:fill="auto"/>
          </w:tcPr>
          <w:p w14:paraId="7E785F2D" w14:textId="77777777" w:rsidR="00A82082" w:rsidRDefault="00A82082">
            <w:pPr>
              <w:rPr>
                <w:rFonts w:ascii="宋体"/>
              </w:rPr>
            </w:pPr>
          </w:p>
        </w:tc>
        <w:tc>
          <w:tcPr>
            <w:tcW w:w="5" w:type="pct"/>
            <w:shd w:val="clear" w:color="auto" w:fill="auto"/>
          </w:tcPr>
          <w:p w14:paraId="7E785F2E" w14:textId="77777777" w:rsidR="00A82082" w:rsidRDefault="00A82082">
            <w:pPr>
              <w:rPr>
                <w:rFonts w:ascii="宋体"/>
              </w:rPr>
            </w:pPr>
          </w:p>
        </w:tc>
        <w:tc>
          <w:tcPr>
            <w:tcW w:w="50" w:type="pct"/>
            <w:shd w:val="clear" w:color="auto" w:fill="auto"/>
          </w:tcPr>
          <w:p w14:paraId="7E785F2F" w14:textId="77777777" w:rsidR="00A82082" w:rsidRDefault="00A82082">
            <w:pPr>
              <w:rPr>
                <w:rFonts w:ascii="宋体"/>
              </w:rPr>
            </w:pPr>
          </w:p>
        </w:tc>
        <w:tc>
          <w:tcPr>
            <w:tcW w:w="1314" w:type="pct"/>
            <w:shd w:val="clear" w:color="auto" w:fill="auto"/>
          </w:tcPr>
          <w:p w14:paraId="7E785F30" w14:textId="77777777" w:rsidR="00A82082" w:rsidRDefault="00A82082">
            <w:pPr>
              <w:rPr>
                <w:rFonts w:ascii="宋体"/>
              </w:rPr>
            </w:pPr>
          </w:p>
        </w:tc>
        <w:tc>
          <w:tcPr>
            <w:tcW w:w="5" w:type="pct"/>
            <w:shd w:val="clear" w:color="auto" w:fill="auto"/>
          </w:tcPr>
          <w:p w14:paraId="7E785F31" w14:textId="77777777" w:rsidR="00A82082" w:rsidRDefault="00A82082">
            <w:pPr>
              <w:rPr>
                <w:rFonts w:ascii="宋体"/>
              </w:rPr>
            </w:pPr>
          </w:p>
        </w:tc>
      </w:tr>
      <w:tr w:rsidR="00A82082" w14:paraId="7E785F38" w14:textId="77777777">
        <w:trPr>
          <w:jc w:val="center"/>
        </w:trPr>
        <w:tc>
          <w:tcPr>
            <w:tcW w:w="0" w:type="auto"/>
            <w:gridSpan w:val="3"/>
            <w:shd w:val="clear" w:color="auto" w:fill="auto"/>
            <w:tcMar>
              <w:top w:w="40" w:type="dxa"/>
              <w:left w:w="20" w:type="dxa"/>
              <w:bottom w:w="40" w:type="dxa"/>
              <w:right w:w="20" w:type="dxa"/>
            </w:tcMar>
            <w:vAlign w:val="bottom"/>
          </w:tcPr>
          <w:p w14:paraId="7E785F33" w14:textId="77777777" w:rsidR="00A82082" w:rsidRDefault="00E946F9">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7E785F34"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E785F35" w14:textId="77777777" w:rsidR="00A82082" w:rsidRDefault="00E946F9">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7E785F36" w14:textId="77777777" w:rsidR="00A82082" w:rsidRDefault="00E946F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E785F37" w14:textId="77777777" w:rsidR="00A82082" w:rsidRDefault="00E946F9">
            <w:pPr>
              <w:jc w:val="center"/>
              <w:textAlignment w:val="bottom"/>
            </w:pPr>
            <w:r>
              <w:rPr>
                <w:rFonts w:ascii="Times New Roman" w:eastAsia="宋体" w:hAnsi="Times New Roman"/>
                <w:b/>
                <w:bCs/>
                <w:color w:val="000000"/>
                <w:sz w:val="16"/>
                <w:szCs w:val="16"/>
              </w:rPr>
              <w:t>Long-term debt</w:t>
            </w:r>
          </w:p>
        </w:tc>
      </w:tr>
      <w:tr w:rsidR="00A82082" w14:paraId="7E785F3E"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F39" w14:textId="77777777" w:rsidR="00A82082" w:rsidRDefault="00E946F9">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7E785F3A" w14:textId="77777777" w:rsidR="00A82082" w:rsidRDefault="00E946F9">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F3B" w14:textId="77777777" w:rsidR="00A82082" w:rsidRDefault="00E946F9">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7E785F3C" w14:textId="77777777" w:rsidR="00A82082" w:rsidRDefault="00E946F9">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F3D" w14:textId="77777777" w:rsidR="00A82082" w:rsidRDefault="00E946F9">
            <w:pPr>
              <w:jc w:val="center"/>
              <w:textAlignment w:val="center"/>
            </w:pPr>
            <w:r>
              <w:rPr>
                <w:rFonts w:ascii="Times New Roman" w:eastAsia="宋体" w:hAnsi="Times New Roman"/>
                <w:color w:val="000000"/>
                <w:sz w:val="16"/>
                <w:szCs w:val="16"/>
              </w:rPr>
              <w:t>AA</w:t>
            </w:r>
          </w:p>
        </w:tc>
      </w:tr>
      <w:tr w:rsidR="00A82082" w14:paraId="7E785F44" w14:textId="77777777">
        <w:trPr>
          <w:jc w:val="center"/>
        </w:trPr>
        <w:tc>
          <w:tcPr>
            <w:tcW w:w="0" w:type="auto"/>
            <w:gridSpan w:val="3"/>
            <w:shd w:val="clear" w:color="auto" w:fill="FFFFFF"/>
            <w:tcMar>
              <w:top w:w="40" w:type="dxa"/>
              <w:left w:w="20" w:type="dxa"/>
              <w:bottom w:w="40" w:type="dxa"/>
              <w:right w:w="20" w:type="dxa"/>
            </w:tcMar>
            <w:vAlign w:val="center"/>
          </w:tcPr>
          <w:p w14:paraId="7E785F3F" w14:textId="77777777" w:rsidR="00A82082" w:rsidRDefault="00E946F9">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7E785F40"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7E785F41" w14:textId="77777777" w:rsidR="00A82082" w:rsidRDefault="00E946F9">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7E785F42"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7E785F43" w14:textId="77777777" w:rsidR="00A82082" w:rsidRDefault="00E946F9">
            <w:pPr>
              <w:jc w:val="center"/>
              <w:textAlignment w:val="center"/>
            </w:pPr>
            <w:r>
              <w:rPr>
                <w:rFonts w:ascii="Times New Roman" w:eastAsia="宋体" w:hAnsi="Times New Roman"/>
                <w:color w:val="000000"/>
                <w:sz w:val="16"/>
                <w:szCs w:val="16"/>
              </w:rPr>
              <w:t>Aa2</w:t>
            </w:r>
          </w:p>
        </w:tc>
      </w:tr>
      <w:tr w:rsidR="00A82082" w14:paraId="7E785F4A" w14:textId="77777777">
        <w:trPr>
          <w:jc w:val="center"/>
        </w:trPr>
        <w:tc>
          <w:tcPr>
            <w:tcW w:w="0" w:type="auto"/>
            <w:gridSpan w:val="3"/>
            <w:shd w:val="clear" w:color="auto" w:fill="CCEEFF"/>
            <w:tcMar>
              <w:top w:w="40" w:type="dxa"/>
              <w:left w:w="20" w:type="dxa"/>
              <w:bottom w:w="40" w:type="dxa"/>
              <w:right w:w="20" w:type="dxa"/>
            </w:tcMar>
            <w:vAlign w:val="center"/>
          </w:tcPr>
          <w:p w14:paraId="7E785F45" w14:textId="77777777" w:rsidR="00A82082" w:rsidRDefault="00E946F9">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7E785F46"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7E785F47" w14:textId="77777777" w:rsidR="00A82082" w:rsidRDefault="00E946F9">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7E785F48" w14:textId="77777777" w:rsidR="00A82082" w:rsidRDefault="00E946F9">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7E785F49" w14:textId="77777777" w:rsidR="00A82082" w:rsidRDefault="00E946F9">
            <w:pPr>
              <w:jc w:val="center"/>
              <w:textAlignment w:val="center"/>
            </w:pPr>
            <w:r>
              <w:rPr>
                <w:rFonts w:ascii="Times New Roman" w:eastAsia="宋体" w:hAnsi="Times New Roman"/>
                <w:color w:val="000000"/>
                <w:sz w:val="16"/>
                <w:szCs w:val="16"/>
              </w:rPr>
              <w:t>AA</w:t>
            </w:r>
          </w:p>
        </w:tc>
      </w:tr>
    </w:tbl>
    <w:p w14:paraId="7E785F4B" w14:textId="77777777" w:rsidR="00A82082" w:rsidRDefault="00E946F9">
      <w:pPr>
        <w:spacing w:before="160"/>
      </w:pPr>
      <w:r>
        <w:rPr>
          <w:rFonts w:ascii="Times New Roman" w:eastAsia="宋体" w:hAnsi="Times New Roman"/>
          <w:color w:val="000000"/>
          <w:sz w:val="20"/>
          <w:szCs w:val="20"/>
        </w:rPr>
        <w:t xml:space="preserve">Credit rating agencies review their ratings periodically and, </w:t>
      </w:r>
      <w:r>
        <w:rPr>
          <w:rFonts w:ascii="Times New Roman" w:eastAsia="宋体" w:hAnsi="Times New Roman"/>
          <w:color w:val="000000"/>
          <w:sz w:val="20"/>
          <w:szCs w:val="20"/>
        </w:rPr>
        <w:t>therefore, the credit ratings assigned to us by each agency may be subject to revision at any time. Accordingly, we are not able to predict whether our current credit ratings will remain consistent over time. Factors that could affect our credit ratings in</w:t>
      </w:r>
      <w:r>
        <w:rPr>
          <w:rFonts w:ascii="Times New Roman" w:eastAsia="宋体" w:hAnsi="Times New Roman"/>
          <w:color w:val="000000"/>
          <w:sz w:val="20"/>
          <w:szCs w:val="20"/>
        </w:rPr>
        <w:t xml:space="preserve">clude changes in our operating performance, the general economic environment, conditions in the retail industry, our financial position, including our total debt and capitalization, and changes in our business strategy. Any downgrade of our credit ratings </w:t>
      </w:r>
      <w:r>
        <w:rPr>
          <w:rFonts w:ascii="Times New Roman" w:eastAsia="宋体" w:hAnsi="Times New Roman"/>
          <w:color w:val="000000"/>
          <w:sz w:val="20"/>
          <w:szCs w:val="20"/>
        </w:rPr>
        <w:t>by a credit rating agency could increase our future borrowing costs or impair our ability to access capital and credit markets on terms commercially acceptable to us. In addition, any downgrade of our current short-term credit ratings could impair our abil</w:t>
      </w:r>
      <w:r>
        <w:rPr>
          <w:rFonts w:ascii="Times New Roman" w:eastAsia="宋体" w:hAnsi="Times New Roman"/>
          <w:color w:val="000000"/>
          <w:sz w:val="20"/>
          <w:szCs w:val="20"/>
        </w:rPr>
        <w:t>ity to access the commercial paper markets with the same flexibility that we have experienced historically, potentially requiring us to rely more heavily on more expensive types of debt financing. The credit rating agency ratings are not recommendations to</w:t>
      </w:r>
      <w:r>
        <w:rPr>
          <w:rFonts w:ascii="Times New Roman" w:eastAsia="宋体" w:hAnsi="Times New Roman"/>
          <w:color w:val="000000"/>
          <w:sz w:val="20"/>
          <w:szCs w:val="20"/>
        </w:rPr>
        <w:t xml:space="preserve"> buy, sell or hold our commercial paper or debt securities. Each rating may be subject to revision or withdrawal at any time by the assigning rating organization and should be evaluated independently of any other rating. Moreover, each credit rating is spe</w:t>
      </w:r>
      <w:r>
        <w:rPr>
          <w:rFonts w:ascii="Times New Roman" w:eastAsia="宋体" w:hAnsi="Times New Roman"/>
          <w:color w:val="000000"/>
          <w:sz w:val="20"/>
          <w:szCs w:val="20"/>
        </w:rPr>
        <w:t>cific to the security to which it applies.</w:t>
      </w:r>
    </w:p>
    <w:p w14:paraId="7E785F4C" w14:textId="77777777" w:rsidR="00A82082" w:rsidRDefault="00E946F9">
      <w:pPr>
        <w:spacing w:before="180"/>
      </w:pPr>
      <w:r>
        <w:rPr>
          <w:rFonts w:ascii="Times New Roman" w:eastAsia="宋体" w:hAnsi="Times New Roman"/>
          <w:b/>
          <w:bCs/>
          <w:color w:val="000000"/>
          <w:sz w:val="20"/>
          <w:szCs w:val="20"/>
        </w:rPr>
        <w:t>Other Matters</w:t>
      </w:r>
    </w:p>
    <w:p w14:paraId="7E785F4D" w14:textId="77777777" w:rsidR="00A82082" w:rsidRDefault="00E946F9">
      <w:pPr>
        <w:spacing w:before="100"/>
      </w:pPr>
      <w:r>
        <w:rPr>
          <w:rFonts w:ascii="Times New Roman" w:eastAsia="宋体" w:hAnsi="Times New Roman"/>
          <w:color w:val="000000"/>
          <w:sz w:val="20"/>
          <w:szCs w:val="20"/>
        </w:rPr>
        <w:t xml:space="preserve">In </w:t>
      </w:r>
      <w:hyperlink r:id="rId100" w:anchor="i5c815528a95c4409b9043de534639b9a_67" w:history="1">
        <w:r>
          <w:rPr>
            <w:rStyle w:val="a5"/>
            <w:rFonts w:ascii="Times New Roman" w:eastAsia="宋体" w:hAnsi="Times New Roman"/>
            <w:sz w:val="20"/>
            <w:szCs w:val="20"/>
          </w:rPr>
          <w:t>N</w:t>
        </w:r>
      </w:hyperlink>
      <w:hyperlink r:id="rId101" w:anchor="i5c815528a95c4409b9043de534639b9a_67" w:history="1">
        <w:r>
          <w:rPr>
            <w:rStyle w:val="a5"/>
            <w:rFonts w:ascii="Times New Roman" w:eastAsia="宋体" w:hAnsi="Times New Roman"/>
            <w:sz w:val="20"/>
            <w:szCs w:val="20"/>
          </w:rPr>
          <w:t>ote 7</w:t>
        </w:r>
      </w:hyperlink>
      <w:r>
        <w:rPr>
          <w:rFonts w:ascii="Times New Roman" w:eastAsia="宋体" w:hAnsi="Times New Roman"/>
          <w:color w:val="000000"/>
          <w:sz w:val="20"/>
          <w:szCs w:val="20"/>
        </w:rPr>
        <w:t xml:space="preserve"> to our Condensed Consolidated Financial Statements, which is captioned "Contingencies" and appears in Part I of this Quarterly Report on Fo</w:t>
      </w:r>
      <w:r>
        <w:rPr>
          <w:rFonts w:ascii="Times New Roman" w:eastAsia="宋体" w:hAnsi="Times New Roman"/>
          <w:color w:val="000000"/>
          <w:sz w:val="20"/>
          <w:szCs w:val="20"/>
        </w:rPr>
        <w:t>rm 10-Q under the caption "</w:t>
      </w:r>
      <w:hyperlink r:id="rId102" w:anchor="i5c815528a95c4409b9043de534639b9a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"ASDA Equal</w:t>
      </w:r>
      <w:r>
        <w:rPr>
          <w:rFonts w:ascii="Times New Roman" w:eastAsia="宋体" w:hAnsi="Times New Roman"/>
          <w:color w:val="000000"/>
          <w:sz w:val="20"/>
          <w:szCs w:val="20"/>
        </w:rPr>
        <w:t xml:space="preserve"> Value Claims," certain existing employment claims against Asda including certain risks arising therefrom. In that </w:t>
      </w:r>
      <w:hyperlink r:id="rId103" w:anchor="i5c815528a95c4409b9043de534639b9a_67"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we also discuss, under the sub-caption "Prescription Opiate Litigation and Other Matters," the Prescription Opiate Litigation and other matters, including certain risks arising therefrom. We also discuss various legal proceedings relate</w:t>
      </w:r>
      <w:r>
        <w:rPr>
          <w:rFonts w:ascii="Times New Roman" w:eastAsia="宋体" w:hAnsi="Times New Roman"/>
          <w:color w:val="000000"/>
          <w:sz w:val="20"/>
          <w:szCs w:val="20"/>
        </w:rPr>
        <w:t xml:space="preserve">d to the ASDA Equal Value Claims, and the Prescription Opiate Litigation in </w:t>
      </w:r>
      <w:hyperlink r:id="rId104" w:anchor="i5c815528a95c4409b9043de534639b9a_124"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w:t>
      </w:r>
      <w:r>
        <w:rPr>
          <w:rFonts w:ascii="Times New Roman" w:eastAsia="宋体" w:hAnsi="Times New Roman"/>
          <w:color w:val="000000"/>
          <w:sz w:val="20"/>
          <w:szCs w:val="20"/>
        </w:rPr>
        <w:t>Report on Form 10-Q under the caption "</w:t>
      </w:r>
      <w:hyperlink r:id="rId105" w:anchor="i5c815528a95c4409b9043de534639b9a_127"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 Supplemen</w:t>
      </w:r>
      <w:r>
        <w:rPr>
          <w:rFonts w:ascii="Times New Roman" w:eastAsia="宋体" w:hAnsi="Times New Roman"/>
          <w:color w:val="000000"/>
          <w:sz w:val="20"/>
          <w:szCs w:val="20"/>
        </w:rPr>
        <w:t>tal Information." The foregoing matters and other matters described elsewhere in this Quarterly Report on Form 10-Q represent contingent liabilities of the Company that may or may not result in the incurrence of a material liability by the Company upon the</w:t>
      </w:r>
      <w:r>
        <w:rPr>
          <w:rFonts w:ascii="Times New Roman" w:eastAsia="宋体" w:hAnsi="Times New Roman"/>
          <w:color w:val="000000"/>
          <w:sz w:val="20"/>
          <w:szCs w:val="20"/>
        </w:rPr>
        <w:t>ir final resolution.</w:t>
      </w:r>
    </w:p>
    <w:p w14:paraId="7E785F4E" w14:textId="77777777" w:rsidR="00A82082" w:rsidRDefault="00E946F9">
      <w:pPr>
        <w:spacing w:before="180"/>
      </w:pPr>
      <w:r>
        <w:rPr>
          <w:rFonts w:ascii="Times New Roman" w:eastAsia="宋体" w:hAnsi="Times New Roman"/>
          <w:b/>
          <w:bCs/>
          <w:color w:val="000000"/>
          <w:sz w:val="20"/>
          <w:szCs w:val="20"/>
        </w:rPr>
        <w:t>Item 3. Quantitative and Qualitative Disclosures About Market Risk</w:t>
      </w:r>
    </w:p>
    <w:p w14:paraId="7E785F4F" w14:textId="77777777" w:rsidR="00A82082" w:rsidRDefault="00E946F9">
      <w:pPr>
        <w:spacing w:before="100"/>
      </w:pPr>
      <w:r>
        <w:rPr>
          <w:rFonts w:ascii="Times New Roman" w:eastAsia="宋体" w:hAnsi="Times New Roman"/>
          <w:color w:val="000000"/>
          <w:sz w:val="20"/>
          <w:szCs w:val="20"/>
        </w:rPr>
        <w:t xml:space="preserve">Market risks relating to our operations result primarily from changes in interest rates, currency exchange rates or the market value of our investments. Our </w:t>
      </w:r>
      <w:r>
        <w:rPr>
          <w:rFonts w:ascii="Times New Roman" w:eastAsia="宋体" w:hAnsi="Times New Roman"/>
          <w:color w:val="000000"/>
          <w:sz w:val="20"/>
          <w:szCs w:val="20"/>
        </w:rPr>
        <w:t>market risks at October 31, 2020 are similar to those disclosed in our Annual Report on Form 10-K for the fiscal year ended January 31, 2020. The information concerning market risk set forth in Part II, Item 7A. of our Annual Report on Form 10-K for the fi</w:t>
      </w:r>
      <w:r>
        <w:rPr>
          <w:rFonts w:ascii="Times New Roman" w:eastAsia="宋体" w:hAnsi="Times New Roman"/>
          <w:color w:val="000000"/>
          <w:sz w:val="20"/>
          <w:szCs w:val="20"/>
        </w:rPr>
        <w:t>scal year ended January 31, 2020, as filed with the SEC on March 20, 2020, under the caption "Quantitative and Qualitative Disclosures About Market Risk," is hereby incorporated by reference into this Quarterly Report on Form 10-Q.</w:t>
      </w:r>
    </w:p>
    <w:p w14:paraId="7E785F50" w14:textId="77777777" w:rsidR="00A82082" w:rsidRDefault="00E946F9">
      <w:pPr>
        <w:jc w:val="center"/>
      </w:pPr>
      <w:r>
        <w:rPr>
          <w:rFonts w:ascii="Times New Roman" w:eastAsia="宋体" w:hAnsi="Times New Roman"/>
          <w:color w:val="000000"/>
          <w:sz w:val="20"/>
          <w:szCs w:val="20"/>
        </w:rPr>
        <w:t>27</w:t>
      </w:r>
    </w:p>
    <w:p w14:paraId="7E785F51" w14:textId="77777777" w:rsidR="00A82082" w:rsidRDefault="00E946F9">
      <w:r>
        <w:pict w14:anchorId="7E786163">
          <v:rect id="_x0000_i1051" style="width:415.3pt;height:1.5pt" o:hralign="center" o:hrstd="t" o:hr="t" fillcolor="#a0a0a0" stroked="f"/>
        </w:pict>
      </w:r>
    </w:p>
    <w:p w14:paraId="7E785F52" w14:textId="77777777" w:rsidR="00A82082" w:rsidRDefault="00E946F9">
      <w:hyperlink r:id="rId106" w:anchor="i5c815528a95c4409b9043de534639b9a_7" w:history="1">
        <w:r>
          <w:rPr>
            <w:rStyle w:val="a5"/>
            <w:rFonts w:ascii="Times New Roman" w:eastAsia="宋体" w:hAnsi="Times New Roman"/>
            <w:sz w:val="20"/>
            <w:szCs w:val="20"/>
          </w:rPr>
          <w:t>Table of C</w:t>
        </w:r>
      </w:hyperlink>
      <w:hyperlink r:id="rId107" w:anchor="i5c815528a95c4409b9043de534639b9a_7" w:history="1">
        <w:r>
          <w:rPr>
            <w:rStyle w:val="a5"/>
            <w:rFonts w:ascii="Times New Roman" w:eastAsia="宋体" w:hAnsi="Times New Roman"/>
            <w:sz w:val="20"/>
            <w:szCs w:val="20"/>
          </w:rPr>
          <w:t>ontents</w:t>
        </w:r>
      </w:hyperlink>
    </w:p>
    <w:p w14:paraId="7E785F53" w14:textId="77777777" w:rsidR="00A82082" w:rsidRDefault="00E946F9">
      <w:pPr>
        <w:spacing w:before="180"/>
      </w:pPr>
      <w:r>
        <w:rPr>
          <w:rFonts w:ascii="Times New Roman" w:eastAsia="宋体" w:hAnsi="Times New Roman"/>
          <w:b/>
          <w:bCs/>
          <w:color w:val="000000"/>
          <w:sz w:val="20"/>
          <w:szCs w:val="20"/>
        </w:rPr>
        <w:t>Item 4. Controls and Procedures</w:t>
      </w:r>
    </w:p>
    <w:p w14:paraId="7E785F54" w14:textId="77777777" w:rsidR="00A82082" w:rsidRDefault="00E946F9">
      <w:pPr>
        <w:spacing w:before="100"/>
      </w:pPr>
      <w:r>
        <w:rPr>
          <w:rFonts w:ascii="Times New Roman" w:eastAsia="宋体" w:hAnsi="Times New Roman"/>
          <w:color w:val="000000"/>
          <w:sz w:val="20"/>
          <w:szCs w:val="20"/>
        </w:rPr>
        <w:t>We maintain disclosure controls and procedures that are designed to provide reasonable assurance that information, which is required to be timely disclosed, is accumulated and c</w:t>
      </w:r>
      <w:r>
        <w:rPr>
          <w:rFonts w:ascii="Times New Roman" w:eastAsia="宋体" w:hAnsi="Times New Roman"/>
          <w:color w:val="000000"/>
          <w:sz w:val="20"/>
          <w:szCs w:val="20"/>
        </w:rPr>
        <w:t>ommunicated to management in a timely fashion. In designing and evaluating such controls and procedures, we recognize that any controls and procedures, no matter how well designed and operated, can provide only reasonable assurance of achieving the desired</w:t>
      </w:r>
      <w:r>
        <w:rPr>
          <w:rFonts w:ascii="Times New Roman" w:eastAsia="宋体" w:hAnsi="Times New Roman"/>
          <w:color w:val="000000"/>
          <w:sz w:val="20"/>
          <w:szCs w:val="20"/>
        </w:rPr>
        <w:t xml:space="preserve"> control objectives. Our management is necessarily required to use judgment in evaluating controls and procedures. Also, we have investments in unconsolidated entities. Since we do not control or manage those entities, our controls and procedures with resp</w:t>
      </w:r>
      <w:r>
        <w:rPr>
          <w:rFonts w:ascii="Times New Roman" w:eastAsia="宋体" w:hAnsi="Times New Roman"/>
          <w:color w:val="000000"/>
          <w:sz w:val="20"/>
          <w:szCs w:val="20"/>
        </w:rPr>
        <w:t>ect to those entities are substantially more limited than those we maintain with respect to our consolidated subsidiaries.</w:t>
      </w:r>
    </w:p>
    <w:p w14:paraId="7E785F55" w14:textId="77777777" w:rsidR="00A82082" w:rsidRDefault="00E946F9">
      <w:pPr>
        <w:spacing w:before="100"/>
      </w:pPr>
      <w:r>
        <w:rPr>
          <w:rFonts w:ascii="Times New Roman" w:eastAsia="宋体" w:hAnsi="Times New Roman"/>
          <w:color w:val="000000"/>
          <w:sz w:val="20"/>
          <w:szCs w:val="20"/>
        </w:rPr>
        <w:t>In the ordinary course of business, we review our internal control over financial reporting and make changes to our systems and proce</w:t>
      </w:r>
      <w:r>
        <w:rPr>
          <w:rFonts w:ascii="Times New Roman" w:eastAsia="宋体" w:hAnsi="Times New Roman"/>
          <w:color w:val="000000"/>
          <w:sz w:val="20"/>
          <w:szCs w:val="20"/>
        </w:rPr>
        <w:t xml:space="preserve">sses to improve such controls and increase efficiency, while ensuring that we maintain an effective internal control environment. Changes may include such activities as implementing new, more efficient systems, updating existing systems, automating manual </w:t>
      </w:r>
      <w:r>
        <w:rPr>
          <w:rFonts w:ascii="Times New Roman" w:eastAsia="宋体" w:hAnsi="Times New Roman"/>
          <w:color w:val="000000"/>
          <w:sz w:val="20"/>
          <w:szCs w:val="20"/>
        </w:rPr>
        <w:t>processes, standardizing controls globally, migrating certain processes to our shared services organizations and increasing monitoring controls. These changes have not materially affected, and are not reasonably likely to materially affect, the Company's i</w:t>
      </w:r>
      <w:r>
        <w:rPr>
          <w:rFonts w:ascii="Times New Roman" w:eastAsia="宋体" w:hAnsi="Times New Roman"/>
          <w:color w:val="000000"/>
          <w:sz w:val="20"/>
          <w:szCs w:val="20"/>
        </w:rPr>
        <w:t xml:space="preserve">nternal control over financial reporting and they allow us to continue to enhance our internal controls over financial reporting and ensure that they remain effective. </w:t>
      </w:r>
    </w:p>
    <w:p w14:paraId="7E785F56" w14:textId="77777777" w:rsidR="00A82082" w:rsidRDefault="00E946F9">
      <w:pPr>
        <w:spacing w:before="100"/>
      </w:pPr>
      <w:r>
        <w:rPr>
          <w:rFonts w:ascii="Times New Roman" w:eastAsia="宋体" w:hAnsi="Times New Roman"/>
          <w:color w:val="000000"/>
          <w:sz w:val="20"/>
          <w:szCs w:val="20"/>
        </w:rPr>
        <w:t>An evaluation of the effectiveness of the design and operation of our disclosure contro</w:t>
      </w:r>
      <w:r>
        <w:rPr>
          <w:rFonts w:ascii="Times New Roman" w:eastAsia="宋体" w:hAnsi="Times New Roman"/>
          <w:color w:val="000000"/>
          <w:sz w:val="20"/>
          <w:szCs w:val="20"/>
        </w:rPr>
        <w:t>ls and procedures as of the end of the period covered by this report was performed under the supervision and with the participation of management, including our Chief Executive Officer and Chief Financial Officer. Based upon that evaluation, our Chief Exec</w:t>
      </w:r>
      <w:r>
        <w:rPr>
          <w:rFonts w:ascii="Times New Roman" w:eastAsia="宋体" w:hAnsi="Times New Roman"/>
          <w:color w:val="000000"/>
          <w:sz w:val="20"/>
          <w:szCs w:val="20"/>
        </w:rPr>
        <w:t>utive Officer and Chief Financial Officer concluded that our disclosure controls and procedures are effective to provide reasonable assurance that information required to be disclosed by the Company in the reports that it files or submits under the Securit</w:t>
      </w:r>
      <w:r>
        <w:rPr>
          <w:rFonts w:ascii="Times New Roman" w:eastAsia="宋体" w:hAnsi="Times New Roman"/>
          <w:color w:val="000000"/>
          <w:sz w:val="20"/>
          <w:szCs w:val="20"/>
        </w:rPr>
        <w:t>ies Exchange Act of 1934, as amended, is accumulated and communicated to management, including our Chief Executive Officer and Chief Financial Officer, as appropriate, to allow timely decisions regarding required disclosure and are effective to provide rea</w:t>
      </w:r>
      <w:r>
        <w:rPr>
          <w:rFonts w:ascii="Times New Roman" w:eastAsia="宋体" w:hAnsi="Times New Roman"/>
          <w:color w:val="000000"/>
          <w:sz w:val="20"/>
          <w:szCs w:val="20"/>
        </w:rPr>
        <w:t xml:space="preserve">sonable assurance that such information is recorded, processed, summarized and reported within the time periods specified by the SEC's rules and forms. </w:t>
      </w:r>
    </w:p>
    <w:p w14:paraId="7E785F57" w14:textId="77777777" w:rsidR="00A82082" w:rsidRDefault="00E946F9">
      <w:pPr>
        <w:spacing w:before="100"/>
      </w:pPr>
      <w:r>
        <w:rPr>
          <w:rFonts w:ascii="Times New Roman" w:eastAsia="宋体" w:hAnsi="Times New Roman"/>
          <w:color w:val="000000"/>
          <w:sz w:val="20"/>
          <w:szCs w:val="20"/>
        </w:rPr>
        <w:t>There has been no change in the Company's internal control over financial reporting during the most rec</w:t>
      </w:r>
      <w:r>
        <w:rPr>
          <w:rFonts w:ascii="Times New Roman" w:eastAsia="宋体" w:hAnsi="Times New Roman"/>
          <w:color w:val="000000"/>
          <w:sz w:val="20"/>
          <w:szCs w:val="20"/>
        </w:rPr>
        <w:t>ently completed fiscal quarter, that has materially affected, or is reasonably likely to materially affect, the Company's internal control over financial reporting.</w:t>
      </w:r>
    </w:p>
    <w:p w14:paraId="7E785F58" w14:textId="77777777" w:rsidR="00A82082" w:rsidRDefault="00E946F9">
      <w:pPr>
        <w:jc w:val="center"/>
      </w:pPr>
      <w:r>
        <w:rPr>
          <w:rFonts w:ascii="Times New Roman" w:eastAsia="宋体" w:hAnsi="Times New Roman"/>
          <w:color w:val="000000"/>
          <w:sz w:val="20"/>
          <w:szCs w:val="20"/>
        </w:rPr>
        <w:t>28</w:t>
      </w:r>
    </w:p>
    <w:p w14:paraId="7E785F59" w14:textId="77777777" w:rsidR="00A82082" w:rsidRDefault="00E946F9">
      <w:r>
        <w:pict w14:anchorId="7E786164">
          <v:rect id="_x0000_i1052" style="width:415.3pt;height:1.5pt" o:hralign="center" o:hrstd="t" o:hr="t" fillcolor="#a0a0a0" stroked="f"/>
        </w:pict>
      </w:r>
    </w:p>
    <w:p w14:paraId="7E785F5A" w14:textId="77777777" w:rsidR="00A82082" w:rsidRDefault="00E946F9">
      <w:hyperlink r:id="rId108" w:anchor="i5c815528a95c4409b9043de534639b9a_7" w:history="1">
        <w:r>
          <w:rPr>
            <w:rStyle w:val="a5"/>
            <w:rFonts w:ascii="Times New Roman" w:eastAsia="宋体" w:hAnsi="Times New Roman"/>
            <w:sz w:val="20"/>
            <w:szCs w:val="20"/>
          </w:rPr>
          <w:t>Table of C</w:t>
        </w:r>
      </w:hyperlink>
      <w:hyperlink r:id="rId109" w:anchor="i5c815528a95c4409b9043de534639b9a_7" w:history="1">
        <w:r>
          <w:rPr>
            <w:rStyle w:val="a5"/>
            <w:rFonts w:ascii="Times New Roman" w:eastAsia="宋体" w:hAnsi="Times New Roman"/>
            <w:sz w:val="20"/>
            <w:szCs w:val="20"/>
          </w:rPr>
          <w:t>ontents</w:t>
        </w:r>
      </w:hyperlink>
    </w:p>
    <w:p w14:paraId="7E785F5B" w14:textId="77777777" w:rsidR="00A82082" w:rsidRDefault="00E946F9">
      <w:pPr>
        <w:spacing w:before="180"/>
      </w:pPr>
      <w:r>
        <w:rPr>
          <w:rFonts w:ascii="Times New Roman" w:eastAsia="宋体" w:hAnsi="Times New Roman"/>
          <w:b/>
          <w:bCs/>
          <w:color w:val="000000"/>
          <w:sz w:val="20"/>
          <w:szCs w:val="20"/>
        </w:rPr>
        <w:t xml:space="preserve">PART II. OTHER </w:t>
      </w:r>
      <w:r>
        <w:rPr>
          <w:rFonts w:ascii="Times New Roman" w:eastAsia="宋体" w:hAnsi="Times New Roman"/>
          <w:b/>
          <w:bCs/>
          <w:color w:val="000000"/>
          <w:sz w:val="20"/>
          <w:szCs w:val="20"/>
        </w:rPr>
        <w:t>INFORMATION</w:t>
      </w:r>
    </w:p>
    <w:p w14:paraId="7E785F5C" w14:textId="77777777" w:rsidR="00A82082" w:rsidRDefault="00E946F9">
      <w:pPr>
        <w:spacing w:before="180"/>
      </w:pPr>
      <w:r>
        <w:rPr>
          <w:rFonts w:ascii="Times New Roman" w:eastAsia="宋体" w:hAnsi="Times New Roman"/>
          <w:b/>
          <w:bCs/>
          <w:color w:val="000000"/>
          <w:sz w:val="20"/>
          <w:szCs w:val="20"/>
        </w:rPr>
        <w:t>Item 1. Legal Proceedings</w:t>
      </w:r>
    </w:p>
    <w:p w14:paraId="7E785F5D" w14:textId="77777777" w:rsidR="00A82082" w:rsidRDefault="00E946F9">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110" w:anchor="i5c815528a95c4409b9043de534639b9a_67"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w:t>
      </w:r>
      <w:r>
        <w:rPr>
          <w:rFonts w:ascii="Times New Roman" w:eastAsia="宋体" w:hAnsi="Times New Roman"/>
          <w:color w:val="000000"/>
          <w:sz w:val="20"/>
          <w:szCs w:val="20"/>
        </w:rPr>
        <w:t>that discussion for important information concerning those legal proceedings, including the basis for such actions and, where known, the relief sought. We provide the following additional information concerning those legal proceedings, including the name o</w:t>
      </w:r>
      <w:r>
        <w:rPr>
          <w:rFonts w:ascii="Times New Roman" w:eastAsia="宋体" w:hAnsi="Times New Roman"/>
          <w:color w:val="000000"/>
          <w:sz w:val="20"/>
          <w:szCs w:val="20"/>
        </w:rPr>
        <w:t>f the lawsuit, the court in which the lawsuit is pending, and the date on which the petition commencing the lawsuit was filed.</w:t>
      </w:r>
    </w:p>
    <w:p w14:paraId="7E785F5E" w14:textId="77777777" w:rsidR="00A82082" w:rsidRDefault="00E946F9">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xml:space="preserve">: Ms S Brierley &amp; Others v ASDA Stores Ltd (2406372/2008 &amp; Others - Manchester Employment Tribunal); ASDA </w:t>
      </w:r>
      <w:r>
        <w:rPr>
          <w:rFonts w:ascii="Times New Roman" w:eastAsia="宋体" w:hAnsi="Times New Roman"/>
          <w:color w:val="000000"/>
          <w:sz w:val="20"/>
          <w:szCs w:val="20"/>
        </w:rPr>
        <w:t>Stores Ltd v Brierley &amp; Ors (A2/2016/0973 - United Kingdom Court of Appeal); ASDA Stores Ltd v Ms S Brierley &amp; Others (UKEAT/0059/16/DM - United Kingdom Employment Appeal Tribunal); and ASDA Stores Ltd v Ms S Brierley &amp; Others (UKEAT/0009/16/JOJ - United K</w:t>
      </w:r>
      <w:r>
        <w:rPr>
          <w:rFonts w:ascii="Times New Roman" w:eastAsia="宋体" w:hAnsi="Times New Roman"/>
          <w:color w:val="000000"/>
          <w:sz w:val="20"/>
          <w:szCs w:val="20"/>
        </w:rPr>
        <w:t>ingdom Employment Appeal Tribunal).</w:t>
      </w:r>
    </w:p>
    <w:p w14:paraId="7E785F5F" w14:textId="77777777" w:rsidR="00A82082" w:rsidRDefault="00E946F9">
      <w:pPr>
        <w:spacing w:before="100"/>
      </w:pPr>
      <w:r>
        <w:rPr>
          <w:rFonts w:ascii="Times New Roman" w:eastAsia="宋体" w:hAnsi="Times New Roman"/>
          <w:b/>
          <w:bCs/>
          <w:color w:val="000000"/>
          <w:sz w:val="20"/>
          <w:szCs w:val="20"/>
        </w:rPr>
        <w:t>Prescription Opiate Litigation</w:t>
      </w:r>
      <w:r>
        <w:rPr>
          <w:rFonts w:ascii="Times New Roman" w:eastAsia="宋体" w:hAnsi="Times New Roman"/>
          <w:color w:val="000000"/>
          <w:sz w:val="20"/>
          <w:szCs w:val="20"/>
        </w:rPr>
        <w:t>: In re National Prescription Opiate Litigation (MDL No. 2804) (the "MDL"). The MDL is pending in the U.S. District Court for the Northern District of Ohio and includes over 2,000 cases as o</w:t>
      </w:r>
      <w:r>
        <w:rPr>
          <w:rFonts w:ascii="Times New Roman" w:eastAsia="宋体" w:hAnsi="Times New Roman"/>
          <w:color w:val="000000"/>
          <w:sz w:val="20"/>
          <w:szCs w:val="20"/>
        </w:rPr>
        <w:t>f November 19, 2020; some cases are in the process of being transferred to the MDL or have remand motions pending. A trial previously scheduled to begin on November 9, 2020 against a number of parties, including the Company, regarding opioid distribution c</w:t>
      </w:r>
      <w:r>
        <w:rPr>
          <w:rFonts w:ascii="Times New Roman" w:eastAsia="宋体" w:hAnsi="Times New Roman"/>
          <w:color w:val="000000"/>
          <w:sz w:val="20"/>
          <w:szCs w:val="20"/>
        </w:rPr>
        <w:t xml:space="preserve">laims has been postponed and no new trial date has been set. A trial is currently scheduled to begin in the MDL in May 2021 against a number of parties, including the Company, regarding opioid dispensing and distribution claims. There is one case in which </w:t>
      </w:r>
      <w:r>
        <w:rPr>
          <w:rFonts w:ascii="Times New Roman" w:eastAsia="宋体" w:hAnsi="Times New Roman"/>
          <w:color w:val="000000"/>
          <w:sz w:val="20"/>
          <w:szCs w:val="20"/>
        </w:rPr>
        <w:t>the Company is named as a defendant that was remanded from the MDL court to the United States District Court for the Eastern District of Oklahoma. In addition, there are over 200 state court cases pending as of November 19, 2020, some of which may be remov</w:t>
      </w:r>
      <w:r>
        <w:rPr>
          <w:rFonts w:ascii="Times New Roman" w:eastAsia="宋体" w:hAnsi="Times New Roman"/>
          <w:color w:val="000000"/>
          <w:sz w:val="20"/>
          <w:szCs w:val="20"/>
        </w:rPr>
        <w:t xml:space="preserve">ed to federal court to seek MDL transfer. The case citations for the state court cases and other information are included on </w:t>
      </w:r>
      <w:hyperlink r:id="rId111" w:history="1">
        <w:r>
          <w:rPr>
            <w:rStyle w:val="a5"/>
            <w:rFonts w:ascii="Times New Roman" w:eastAsia="宋体" w:hAnsi="Times New Roman"/>
            <w:sz w:val="20"/>
            <w:szCs w:val="20"/>
          </w:rPr>
          <w:t>Exhibit 99.1</w:t>
        </w:r>
      </w:hyperlink>
      <w:r>
        <w:rPr>
          <w:rFonts w:ascii="Times New Roman" w:eastAsia="宋体" w:hAnsi="Times New Roman"/>
          <w:color w:val="000000"/>
          <w:sz w:val="20"/>
          <w:szCs w:val="20"/>
        </w:rPr>
        <w:t xml:space="preserve"> to this Form 10</w:t>
      </w:r>
      <w:r>
        <w:rPr>
          <w:rFonts w:ascii="Times New Roman" w:eastAsia="宋体" w:hAnsi="Times New Roman"/>
          <w:color w:val="000000"/>
          <w:sz w:val="20"/>
          <w:szCs w:val="20"/>
        </w:rPr>
        <w:t xml:space="preserve">-Q. On October 22, 2020, the Company filed a declaratory judgment action against the U.S. Department of Justice and the U.S. Drug Enforcement Administration, asking a federal court to clarify the roles and responsibilities of pharmacists and pharmacies as </w:t>
      </w:r>
      <w:r>
        <w:rPr>
          <w:rFonts w:ascii="Times New Roman" w:eastAsia="宋体" w:hAnsi="Times New Roman"/>
          <w:color w:val="000000"/>
          <w:sz w:val="20"/>
          <w:szCs w:val="20"/>
        </w:rPr>
        <w:t xml:space="preserve">to the dispensing and distribution of opioids under the Controlled Substances Act. </w:t>
      </w:r>
      <w:r>
        <w:rPr>
          <w:rFonts w:ascii="Times New Roman" w:eastAsia="宋体" w:hAnsi="Times New Roman"/>
          <w:i/>
          <w:iCs/>
          <w:color w:val="000000"/>
          <w:sz w:val="20"/>
          <w:szCs w:val="20"/>
        </w:rPr>
        <w:t xml:space="preserve">Walmart Inc. v. DOJ, et al. </w:t>
      </w:r>
      <w:r>
        <w:rPr>
          <w:rFonts w:ascii="Times New Roman" w:eastAsia="宋体" w:hAnsi="Times New Roman"/>
          <w:color w:val="000000"/>
          <w:sz w:val="20"/>
          <w:szCs w:val="20"/>
        </w:rPr>
        <w:t>is pending before the U.S. District Court for the Eastern District of Texas.</w:t>
      </w:r>
    </w:p>
    <w:p w14:paraId="7E785F60" w14:textId="77777777" w:rsidR="00A82082" w:rsidRDefault="00E946F9">
      <w:pPr>
        <w:spacing w:before="100"/>
      </w:pPr>
      <w:r>
        <w:rPr>
          <w:rFonts w:ascii="Times New Roman" w:eastAsia="宋体" w:hAnsi="Times New Roman"/>
          <w:b/>
          <w:bCs/>
          <w:color w:val="000000"/>
          <w:sz w:val="20"/>
          <w:szCs w:val="20"/>
        </w:rPr>
        <w:t>II. CERTAIN OTHER MATTERS</w:t>
      </w:r>
      <w:r>
        <w:rPr>
          <w:rFonts w:ascii="Times New Roman" w:eastAsia="宋体" w:hAnsi="Times New Roman"/>
          <w:color w:val="000000"/>
          <w:sz w:val="20"/>
          <w:szCs w:val="20"/>
        </w:rPr>
        <w:t xml:space="preserve">: The Company has received grand jury </w:t>
      </w:r>
      <w:r>
        <w:rPr>
          <w:rFonts w:ascii="Times New Roman" w:eastAsia="宋体" w:hAnsi="Times New Roman"/>
          <w:color w:val="000000"/>
          <w:sz w:val="20"/>
          <w:szCs w:val="20"/>
        </w:rPr>
        <w:t xml:space="preserve">subpoenas issued by the U.S. Attorney’s Office for the Middle District of Pennsylvania seeking documents regarding the Company’s consumer fraud program and anti-money laundering compliance related to the Company’s money transfer services, where Walmart is </w:t>
      </w:r>
      <w:r>
        <w:rPr>
          <w:rFonts w:ascii="Times New Roman" w:eastAsia="宋体" w:hAnsi="Times New Roman"/>
          <w:color w:val="000000"/>
          <w:sz w:val="20"/>
          <w:szCs w:val="20"/>
        </w:rPr>
        <w:t>an agent. The Company has been responding to these subpoenas. The Company has also been responding to civil investigative demands from the U.S. Federal Trade Commission related to money transfers and the Company’s anti-fraud program. Due to the investigati</w:t>
      </w:r>
      <w:r>
        <w:rPr>
          <w:rFonts w:ascii="Times New Roman" w:eastAsia="宋体" w:hAnsi="Times New Roman"/>
          <w:color w:val="000000"/>
          <w:sz w:val="20"/>
          <w:szCs w:val="20"/>
        </w:rPr>
        <w:t xml:space="preserve">ve stage of these matters, the Company is unable to predict the outcome of the investigations by the governmental entities. While the Company does not currently believe that the outcome of these matters will have a material adverse effect on its business, </w:t>
      </w:r>
      <w:r>
        <w:rPr>
          <w:rFonts w:ascii="Times New Roman" w:eastAsia="宋体" w:hAnsi="Times New Roman"/>
          <w:color w:val="000000"/>
          <w:sz w:val="20"/>
          <w:szCs w:val="20"/>
        </w:rPr>
        <w:t>financial condition, results of operations or cash flows, the Company can provide no assurance as to the scope and outcome of these matters and whether its business, financial position, results of operations or cash flows will not be materially adversely a</w:t>
      </w:r>
      <w:r>
        <w:rPr>
          <w:rFonts w:ascii="Times New Roman" w:eastAsia="宋体" w:hAnsi="Times New Roman"/>
          <w:color w:val="000000"/>
          <w:sz w:val="20"/>
          <w:szCs w:val="20"/>
        </w:rPr>
        <w:t>ffected.</w:t>
      </w:r>
    </w:p>
    <w:p w14:paraId="7E785F61" w14:textId="77777777" w:rsidR="00A82082" w:rsidRDefault="00E946F9">
      <w:pPr>
        <w:spacing w:before="10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xml:space="preserve">: Item 103 of SEC Regulation S-K requires disclosure of certain environmental matters when a governmental authority is a party to the proceedings and such proceedings involve potential monetary sanctions that the Company </w:t>
      </w:r>
      <w:r>
        <w:rPr>
          <w:rFonts w:ascii="Times New Roman" w:eastAsia="宋体" w:hAnsi="Times New Roman"/>
          <w:color w:val="000000"/>
          <w:sz w:val="20"/>
          <w:szCs w:val="20"/>
        </w:rPr>
        <w:t>reasonably believes will exceed a specified threshold. Pursuant to recent SEC amendments to this item, the Company will be using a threshold of $1 million for such proceedings. Applying this threshold, there are no environmental matters to disclose for thi</w:t>
      </w:r>
      <w:r>
        <w:rPr>
          <w:rFonts w:ascii="Times New Roman" w:eastAsia="宋体" w:hAnsi="Times New Roman"/>
          <w:color w:val="000000"/>
          <w:sz w:val="20"/>
          <w:szCs w:val="20"/>
        </w:rPr>
        <w:t xml:space="preserve">s period. </w:t>
      </w:r>
    </w:p>
    <w:p w14:paraId="7E785F62" w14:textId="77777777" w:rsidR="00A82082" w:rsidRDefault="00A82082">
      <w:pPr>
        <w:spacing w:before="100"/>
      </w:pPr>
    </w:p>
    <w:p w14:paraId="7E785F63" w14:textId="77777777" w:rsidR="00A82082" w:rsidRDefault="00E946F9">
      <w:pPr>
        <w:jc w:val="center"/>
      </w:pPr>
      <w:r>
        <w:rPr>
          <w:rFonts w:ascii="Times New Roman" w:eastAsia="宋体" w:hAnsi="Times New Roman"/>
          <w:color w:val="000000"/>
          <w:sz w:val="20"/>
          <w:szCs w:val="20"/>
        </w:rPr>
        <w:t>29</w:t>
      </w:r>
    </w:p>
    <w:p w14:paraId="7E785F64" w14:textId="77777777" w:rsidR="00A82082" w:rsidRDefault="00E946F9">
      <w:r>
        <w:pict w14:anchorId="7E786165">
          <v:rect id="_x0000_i1053" style="width:415.3pt;height:1.5pt" o:hralign="center" o:hrstd="t" o:hr="t" fillcolor="#a0a0a0" stroked="f"/>
        </w:pict>
      </w:r>
    </w:p>
    <w:p w14:paraId="7E785F65" w14:textId="77777777" w:rsidR="00A82082" w:rsidRDefault="00E946F9">
      <w:hyperlink r:id="rId112" w:anchor="i5c815528a95c4409b9043de534639b9a_7" w:history="1">
        <w:r>
          <w:rPr>
            <w:rStyle w:val="a5"/>
            <w:rFonts w:ascii="Times New Roman" w:eastAsia="宋体" w:hAnsi="Times New Roman"/>
            <w:sz w:val="20"/>
            <w:szCs w:val="20"/>
          </w:rPr>
          <w:t>Table of C</w:t>
        </w:r>
      </w:hyperlink>
      <w:hyperlink r:id="rId113" w:anchor="i5c815528a95c4409b9043de534639b9a_7" w:history="1">
        <w:r>
          <w:rPr>
            <w:rStyle w:val="a5"/>
            <w:rFonts w:ascii="Times New Roman" w:eastAsia="宋体" w:hAnsi="Times New Roman"/>
            <w:sz w:val="20"/>
            <w:szCs w:val="20"/>
          </w:rPr>
          <w:t>ontents</w:t>
        </w:r>
      </w:hyperlink>
    </w:p>
    <w:p w14:paraId="7E785F66" w14:textId="77777777" w:rsidR="00A82082" w:rsidRDefault="00E946F9">
      <w:pPr>
        <w:spacing w:before="180" w:after="180"/>
      </w:pPr>
      <w:r>
        <w:rPr>
          <w:rFonts w:ascii="Times New Roman" w:eastAsia="宋体" w:hAnsi="Times New Roman"/>
          <w:b/>
          <w:bCs/>
          <w:color w:val="000000"/>
          <w:sz w:val="20"/>
          <w:szCs w:val="20"/>
        </w:rPr>
        <w:t>Item 1A. Risk Factors</w:t>
      </w:r>
    </w:p>
    <w:p w14:paraId="7E785F67" w14:textId="77777777" w:rsidR="00A82082" w:rsidRDefault="00E946F9">
      <w:r>
        <w:rPr>
          <w:rFonts w:ascii="Times New Roman" w:eastAsia="宋体" w:hAnsi="Times New Roman"/>
          <w:color w:val="000000"/>
          <w:sz w:val="20"/>
          <w:szCs w:val="20"/>
        </w:rPr>
        <w:t>In addition to the other information set forth in this report, you should carefully consider the risk factors disclosed in Item 1A, "Risk Factors" of o</w:t>
      </w:r>
      <w:r>
        <w:rPr>
          <w:rFonts w:ascii="Times New Roman" w:eastAsia="宋体" w:hAnsi="Times New Roman"/>
          <w:color w:val="000000"/>
          <w:sz w:val="20"/>
          <w:szCs w:val="20"/>
        </w:rPr>
        <w:t>ur Annual Report on Form 10-K for the fiscal year ended January 31, 2020.  The COVID-19 pandemic and related governmental actions have had wide-ranging effects on our business and the global economy and have exacerbated the potential for certain risks iden</w:t>
      </w:r>
      <w:r>
        <w:rPr>
          <w:rFonts w:ascii="Times New Roman" w:eastAsia="宋体" w:hAnsi="Times New Roman"/>
          <w:color w:val="000000"/>
          <w:sz w:val="20"/>
          <w:szCs w:val="20"/>
        </w:rPr>
        <w:t>tified in that disclosure, including, without limitation, risks related to the successful execution of our omni-channel strategy, operational risks associated with geo-political and catastrophic events, risks associated with our suppliers, reputational ris</w:t>
      </w:r>
      <w:r>
        <w:rPr>
          <w:rFonts w:ascii="Times New Roman" w:eastAsia="宋体" w:hAnsi="Times New Roman"/>
          <w:color w:val="000000"/>
          <w:sz w:val="20"/>
          <w:szCs w:val="20"/>
        </w:rPr>
        <w:t>ks and risk associated with changes in and failure to comply with laws and regulations, to materially and adversely affect our financial performance.  The financial impact to the Company of the COVID-19 pandemic during the nine month period ended October 3</w:t>
      </w:r>
      <w:r>
        <w:rPr>
          <w:rFonts w:ascii="Times New Roman" w:eastAsia="宋体" w:hAnsi="Times New Roman"/>
          <w:color w:val="000000"/>
          <w:sz w:val="20"/>
          <w:szCs w:val="20"/>
        </w:rPr>
        <w:t>1, 2020, as well as certain of the actions we have taken to protect the health and safety of our associates, customers, members and the communities we serve, are discussed in Item 2 of Part I, “Management’s Discussion and Analysis of Financial Condition an</w:t>
      </w:r>
      <w:r>
        <w:rPr>
          <w:rFonts w:ascii="Times New Roman" w:eastAsia="宋体" w:hAnsi="Times New Roman"/>
          <w:color w:val="000000"/>
          <w:sz w:val="20"/>
          <w:szCs w:val="20"/>
        </w:rPr>
        <w:t>d Results of Operations.”  Given the uncertainty regarding the duration and scope of the COVID-19 pandemic and its economic effect in the U.S and the other markets we serve, there can be no assurance that the pandemic will not materially and adversely affe</w:t>
      </w:r>
      <w:r>
        <w:rPr>
          <w:rFonts w:ascii="Times New Roman" w:eastAsia="宋体" w:hAnsi="Times New Roman"/>
          <w:color w:val="000000"/>
          <w:sz w:val="20"/>
          <w:szCs w:val="20"/>
        </w:rPr>
        <w:t>ct our business, results of operations, financial condition, or liquidity in the future.</w:t>
      </w:r>
    </w:p>
    <w:p w14:paraId="7E785F68" w14:textId="77777777" w:rsidR="00A82082" w:rsidRDefault="00E946F9">
      <w:pPr>
        <w:spacing w:before="240"/>
      </w:pPr>
      <w:r>
        <w:rPr>
          <w:rFonts w:ascii="Times New Roman" w:eastAsia="宋体" w:hAnsi="Times New Roman"/>
          <w:b/>
          <w:bCs/>
          <w:color w:val="000000"/>
          <w:sz w:val="20"/>
          <w:szCs w:val="20"/>
        </w:rPr>
        <w:t>Item 2. Unregistered Sales of Equity Securities and Use of Proceeds</w:t>
      </w:r>
    </w:p>
    <w:p w14:paraId="7E785F69" w14:textId="77777777" w:rsidR="00A82082" w:rsidRDefault="00E946F9">
      <w:pPr>
        <w:spacing w:before="100"/>
      </w:pPr>
      <w:r>
        <w:rPr>
          <w:rFonts w:ascii="Times New Roman" w:eastAsia="宋体" w:hAnsi="Times New Roman"/>
          <w:color w:val="000000"/>
          <w:sz w:val="20"/>
          <w:szCs w:val="20"/>
        </w:rPr>
        <w:t>From time to time, the Company repurchases shares of its common stock under share repurchase progra</w:t>
      </w:r>
      <w:r>
        <w:rPr>
          <w:rFonts w:ascii="Times New Roman" w:eastAsia="宋体" w:hAnsi="Times New Roman"/>
          <w:color w:val="000000"/>
          <w:sz w:val="20"/>
          <w:szCs w:val="20"/>
        </w:rPr>
        <w:t>ms authorized by the Company's Board of Directors. All repurchases made during the nine months ended October 31, 2020, were made under the current $20 billion share repurchase program approved in October 2017, which has no expiration date or other restrict</w:t>
      </w:r>
      <w:r>
        <w:rPr>
          <w:rFonts w:ascii="Times New Roman" w:eastAsia="宋体" w:hAnsi="Times New Roman"/>
          <w:color w:val="000000"/>
          <w:sz w:val="20"/>
          <w:szCs w:val="20"/>
        </w:rPr>
        <w:t>ions limiting the period over which the Company can make share repurchases. As of October 31, 2020, authorization for $4.5 billion of share repurchases remained under the share repurchase program. Any repurchased shares are constructively retired and retur</w:t>
      </w:r>
      <w:r>
        <w:rPr>
          <w:rFonts w:ascii="Times New Roman" w:eastAsia="宋体" w:hAnsi="Times New Roman"/>
          <w:color w:val="000000"/>
          <w:sz w:val="20"/>
          <w:szCs w:val="20"/>
        </w:rPr>
        <w:t xml:space="preserve">ned to an unissued status. </w:t>
      </w:r>
    </w:p>
    <w:p w14:paraId="7E785F6A" w14:textId="77777777" w:rsidR="00A82082" w:rsidRDefault="00E946F9">
      <w:pPr>
        <w:spacing w:before="100"/>
      </w:pPr>
      <w:r>
        <w:rPr>
          <w:rFonts w:ascii="Times New Roman" w:eastAsia="宋体" w:hAnsi="Times New Roman"/>
          <w:color w:val="000000"/>
          <w:sz w:val="20"/>
          <w:szCs w:val="20"/>
        </w:rPr>
        <w:t>The Company regularly reviews its share repurchase activity and considers several factors in determining when to execute share repurchases, including, among other things, current cash needs, capacity for leverage, cost of borrow</w:t>
      </w:r>
      <w:r>
        <w:rPr>
          <w:rFonts w:ascii="Times New Roman" w:eastAsia="宋体" w:hAnsi="Times New Roman"/>
          <w:color w:val="000000"/>
          <w:sz w:val="20"/>
          <w:szCs w:val="20"/>
        </w:rPr>
        <w:t>ings and the market price of its common stock. Share repurchase activity under our share repurchase program, on a trade date basis, for the three months ended October 31, 2020,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7"/>
        <w:gridCol w:w="36"/>
        <w:gridCol w:w="36"/>
        <w:gridCol w:w="36"/>
        <w:gridCol w:w="56"/>
        <w:gridCol w:w="977"/>
        <w:gridCol w:w="36"/>
        <w:gridCol w:w="36"/>
        <w:gridCol w:w="36"/>
        <w:gridCol w:w="36"/>
        <w:gridCol w:w="101"/>
        <w:gridCol w:w="789"/>
        <w:gridCol w:w="36"/>
        <w:gridCol w:w="36"/>
        <w:gridCol w:w="36"/>
        <w:gridCol w:w="36"/>
        <w:gridCol w:w="48"/>
        <w:gridCol w:w="1277"/>
        <w:gridCol w:w="36"/>
        <w:gridCol w:w="36"/>
        <w:gridCol w:w="36"/>
        <w:gridCol w:w="36"/>
        <w:gridCol w:w="101"/>
        <w:gridCol w:w="1278"/>
        <w:gridCol w:w="36"/>
      </w:tblGrid>
      <w:tr w:rsidR="00A82082" w14:paraId="7E785F86" w14:textId="77777777">
        <w:tc>
          <w:tcPr>
            <w:tcW w:w="50" w:type="pct"/>
            <w:shd w:val="clear" w:color="auto" w:fill="auto"/>
          </w:tcPr>
          <w:p w14:paraId="7E785F6B" w14:textId="77777777" w:rsidR="00A82082" w:rsidRDefault="00A82082">
            <w:pPr>
              <w:rPr>
                <w:rFonts w:ascii="宋体"/>
              </w:rPr>
            </w:pPr>
          </w:p>
        </w:tc>
        <w:tc>
          <w:tcPr>
            <w:tcW w:w="1831" w:type="pct"/>
            <w:shd w:val="clear" w:color="auto" w:fill="auto"/>
          </w:tcPr>
          <w:p w14:paraId="7E785F6C" w14:textId="77777777" w:rsidR="00A82082" w:rsidRDefault="00A82082">
            <w:pPr>
              <w:rPr>
                <w:rFonts w:ascii="宋体"/>
              </w:rPr>
            </w:pPr>
          </w:p>
        </w:tc>
        <w:tc>
          <w:tcPr>
            <w:tcW w:w="5" w:type="pct"/>
            <w:shd w:val="clear" w:color="auto" w:fill="auto"/>
          </w:tcPr>
          <w:p w14:paraId="7E785F6D" w14:textId="77777777" w:rsidR="00A82082" w:rsidRDefault="00A82082">
            <w:pPr>
              <w:rPr>
                <w:rFonts w:ascii="宋体"/>
              </w:rPr>
            </w:pPr>
          </w:p>
        </w:tc>
        <w:tc>
          <w:tcPr>
            <w:tcW w:w="5" w:type="pct"/>
            <w:shd w:val="clear" w:color="auto" w:fill="auto"/>
          </w:tcPr>
          <w:p w14:paraId="7E785F6E" w14:textId="77777777" w:rsidR="00A82082" w:rsidRDefault="00A82082">
            <w:pPr>
              <w:rPr>
                <w:rFonts w:ascii="宋体"/>
              </w:rPr>
            </w:pPr>
          </w:p>
        </w:tc>
        <w:tc>
          <w:tcPr>
            <w:tcW w:w="26" w:type="pct"/>
            <w:shd w:val="clear" w:color="auto" w:fill="auto"/>
          </w:tcPr>
          <w:p w14:paraId="7E785F6F" w14:textId="77777777" w:rsidR="00A82082" w:rsidRDefault="00A82082">
            <w:pPr>
              <w:rPr>
                <w:rFonts w:ascii="宋体"/>
              </w:rPr>
            </w:pPr>
          </w:p>
        </w:tc>
        <w:tc>
          <w:tcPr>
            <w:tcW w:w="5" w:type="pct"/>
            <w:shd w:val="clear" w:color="auto" w:fill="auto"/>
          </w:tcPr>
          <w:p w14:paraId="7E785F70" w14:textId="77777777" w:rsidR="00A82082" w:rsidRDefault="00A82082">
            <w:pPr>
              <w:rPr>
                <w:rFonts w:ascii="宋体"/>
              </w:rPr>
            </w:pPr>
          </w:p>
        </w:tc>
        <w:tc>
          <w:tcPr>
            <w:tcW w:w="50" w:type="pct"/>
            <w:shd w:val="clear" w:color="auto" w:fill="auto"/>
          </w:tcPr>
          <w:p w14:paraId="7E785F71" w14:textId="77777777" w:rsidR="00A82082" w:rsidRDefault="00A82082">
            <w:pPr>
              <w:rPr>
                <w:rFonts w:ascii="宋体"/>
              </w:rPr>
            </w:pPr>
          </w:p>
        </w:tc>
        <w:tc>
          <w:tcPr>
            <w:tcW w:w="627" w:type="pct"/>
            <w:shd w:val="clear" w:color="auto" w:fill="auto"/>
          </w:tcPr>
          <w:p w14:paraId="7E785F72" w14:textId="77777777" w:rsidR="00A82082" w:rsidRDefault="00A82082">
            <w:pPr>
              <w:rPr>
                <w:rFonts w:ascii="宋体"/>
              </w:rPr>
            </w:pPr>
          </w:p>
        </w:tc>
        <w:tc>
          <w:tcPr>
            <w:tcW w:w="5" w:type="pct"/>
            <w:shd w:val="clear" w:color="auto" w:fill="auto"/>
          </w:tcPr>
          <w:p w14:paraId="7E785F73" w14:textId="77777777" w:rsidR="00A82082" w:rsidRDefault="00A82082">
            <w:pPr>
              <w:rPr>
                <w:rFonts w:ascii="宋体"/>
              </w:rPr>
            </w:pPr>
          </w:p>
        </w:tc>
        <w:tc>
          <w:tcPr>
            <w:tcW w:w="5" w:type="pct"/>
            <w:shd w:val="clear" w:color="auto" w:fill="auto"/>
          </w:tcPr>
          <w:p w14:paraId="7E785F74" w14:textId="77777777" w:rsidR="00A82082" w:rsidRDefault="00A82082">
            <w:pPr>
              <w:rPr>
                <w:rFonts w:ascii="宋体"/>
              </w:rPr>
            </w:pPr>
          </w:p>
        </w:tc>
        <w:tc>
          <w:tcPr>
            <w:tcW w:w="26" w:type="pct"/>
            <w:shd w:val="clear" w:color="auto" w:fill="auto"/>
          </w:tcPr>
          <w:p w14:paraId="7E785F75" w14:textId="77777777" w:rsidR="00A82082" w:rsidRDefault="00A82082">
            <w:pPr>
              <w:rPr>
                <w:rFonts w:ascii="宋体"/>
              </w:rPr>
            </w:pPr>
          </w:p>
        </w:tc>
        <w:tc>
          <w:tcPr>
            <w:tcW w:w="5" w:type="pct"/>
            <w:shd w:val="clear" w:color="auto" w:fill="auto"/>
          </w:tcPr>
          <w:p w14:paraId="7E785F76" w14:textId="77777777" w:rsidR="00A82082" w:rsidRDefault="00A82082">
            <w:pPr>
              <w:rPr>
                <w:rFonts w:ascii="宋体"/>
              </w:rPr>
            </w:pPr>
          </w:p>
        </w:tc>
        <w:tc>
          <w:tcPr>
            <w:tcW w:w="50" w:type="pct"/>
            <w:shd w:val="clear" w:color="auto" w:fill="auto"/>
          </w:tcPr>
          <w:p w14:paraId="7E785F77" w14:textId="77777777" w:rsidR="00A82082" w:rsidRDefault="00A82082">
            <w:pPr>
              <w:rPr>
                <w:rFonts w:ascii="宋体"/>
              </w:rPr>
            </w:pPr>
          </w:p>
        </w:tc>
        <w:tc>
          <w:tcPr>
            <w:tcW w:w="510" w:type="pct"/>
            <w:shd w:val="clear" w:color="auto" w:fill="auto"/>
          </w:tcPr>
          <w:p w14:paraId="7E785F78" w14:textId="77777777" w:rsidR="00A82082" w:rsidRDefault="00A82082">
            <w:pPr>
              <w:rPr>
                <w:rFonts w:ascii="宋体"/>
              </w:rPr>
            </w:pPr>
          </w:p>
        </w:tc>
        <w:tc>
          <w:tcPr>
            <w:tcW w:w="5" w:type="pct"/>
            <w:shd w:val="clear" w:color="auto" w:fill="auto"/>
          </w:tcPr>
          <w:p w14:paraId="7E785F79" w14:textId="77777777" w:rsidR="00A82082" w:rsidRDefault="00A82082">
            <w:pPr>
              <w:rPr>
                <w:rFonts w:ascii="宋体"/>
              </w:rPr>
            </w:pPr>
          </w:p>
        </w:tc>
        <w:tc>
          <w:tcPr>
            <w:tcW w:w="5" w:type="pct"/>
            <w:shd w:val="clear" w:color="auto" w:fill="auto"/>
          </w:tcPr>
          <w:p w14:paraId="7E785F7A" w14:textId="77777777" w:rsidR="00A82082" w:rsidRDefault="00A82082">
            <w:pPr>
              <w:rPr>
                <w:rFonts w:ascii="宋体"/>
              </w:rPr>
            </w:pPr>
          </w:p>
        </w:tc>
        <w:tc>
          <w:tcPr>
            <w:tcW w:w="26" w:type="pct"/>
            <w:shd w:val="clear" w:color="auto" w:fill="auto"/>
          </w:tcPr>
          <w:p w14:paraId="7E785F7B" w14:textId="77777777" w:rsidR="00A82082" w:rsidRDefault="00A82082">
            <w:pPr>
              <w:rPr>
                <w:rFonts w:ascii="宋体"/>
              </w:rPr>
            </w:pPr>
          </w:p>
        </w:tc>
        <w:tc>
          <w:tcPr>
            <w:tcW w:w="5" w:type="pct"/>
            <w:shd w:val="clear" w:color="auto" w:fill="auto"/>
          </w:tcPr>
          <w:p w14:paraId="7E785F7C" w14:textId="77777777" w:rsidR="00A82082" w:rsidRDefault="00A82082">
            <w:pPr>
              <w:rPr>
                <w:rFonts w:ascii="宋体"/>
              </w:rPr>
            </w:pPr>
          </w:p>
        </w:tc>
        <w:tc>
          <w:tcPr>
            <w:tcW w:w="50" w:type="pct"/>
            <w:shd w:val="clear" w:color="auto" w:fill="auto"/>
          </w:tcPr>
          <w:p w14:paraId="7E785F7D" w14:textId="77777777" w:rsidR="00A82082" w:rsidRDefault="00A82082">
            <w:pPr>
              <w:rPr>
                <w:rFonts w:ascii="宋体"/>
              </w:rPr>
            </w:pPr>
          </w:p>
        </w:tc>
        <w:tc>
          <w:tcPr>
            <w:tcW w:w="803" w:type="pct"/>
            <w:shd w:val="clear" w:color="auto" w:fill="auto"/>
          </w:tcPr>
          <w:p w14:paraId="7E785F7E" w14:textId="77777777" w:rsidR="00A82082" w:rsidRDefault="00A82082">
            <w:pPr>
              <w:rPr>
                <w:rFonts w:ascii="宋体"/>
              </w:rPr>
            </w:pPr>
          </w:p>
        </w:tc>
        <w:tc>
          <w:tcPr>
            <w:tcW w:w="5" w:type="pct"/>
            <w:shd w:val="clear" w:color="auto" w:fill="auto"/>
          </w:tcPr>
          <w:p w14:paraId="7E785F7F" w14:textId="77777777" w:rsidR="00A82082" w:rsidRDefault="00A82082">
            <w:pPr>
              <w:rPr>
                <w:rFonts w:ascii="宋体"/>
              </w:rPr>
            </w:pPr>
          </w:p>
        </w:tc>
        <w:tc>
          <w:tcPr>
            <w:tcW w:w="5" w:type="pct"/>
            <w:shd w:val="clear" w:color="auto" w:fill="auto"/>
          </w:tcPr>
          <w:p w14:paraId="7E785F80" w14:textId="77777777" w:rsidR="00A82082" w:rsidRDefault="00A82082">
            <w:pPr>
              <w:rPr>
                <w:rFonts w:ascii="宋体"/>
              </w:rPr>
            </w:pPr>
          </w:p>
        </w:tc>
        <w:tc>
          <w:tcPr>
            <w:tcW w:w="26" w:type="pct"/>
            <w:shd w:val="clear" w:color="auto" w:fill="auto"/>
          </w:tcPr>
          <w:p w14:paraId="7E785F81" w14:textId="77777777" w:rsidR="00A82082" w:rsidRDefault="00A82082">
            <w:pPr>
              <w:rPr>
                <w:rFonts w:ascii="宋体"/>
              </w:rPr>
            </w:pPr>
          </w:p>
        </w:tc>
        <w:tc>
          <w:tcPr>
            <w:tcW w:w="5" w:type="pct"/>
            <w:shd w:val="clear" w:color="auto" w:fill="auto"/>
          </w:tcPr>
          <w:p w14:paraId="7E785F82" w14:textId="77777777" w:rsidR="00A82082" w:rsidRDefault="00A82082">
            <w:pPr>
              <w:rPr>
                <w:rFonts w:ascii="宋体"/>
              </w:rPr>
            </w:pPr>
          </w:p>
        </w:tc>
        <w:tc>
          <w:tcPr>
            <w:tcW w:w="50" w:type="pct"/>
            <w:shd w:val="clear" w:color="auto" w:fill="auto"/>
          </w:tcPr>
          <w:p w14:paraId="7E785F83" w14:textId="77777777" w:rsidR="00A82082" w:rsidRDefault="00A82082">
            <w:pPr>
              <w:rPr>
                <w:rFonts w:ascii="宋体"/>
              </w:rPr>
            </w:pPr>
          </w:p>
        </w:tc>
        <w:tc>
          <w:tcPr>
            <w:tcW w:w="804" w:type="pct"/>
            <w:shd w:val="clear" w:color="auto" w:fill="auto"/>
          </w:tcPr>
          <w:p w14:paraId="7E785F84" w14:textId="77777777" w:rsidR="00A82082" w:rsidRDefault="00A82082">
            <w:pPr>
              <w:rPr>
                <w:rFonts w:ascii="宋体"/>
              </w:rPr>
            </w:pPr>
          </w:p>
        </w:tc>
        <w:tc>
          <w:tcPr>
            <w:tcW w:w="5" w:type="pct"/>
            <w:shd w:val="clear" w:color="auto" w:fill="auto"/>
          </w:tcPr>
          <w:p w14:paraId="7E785F85" w14:textId="77777777" w:rsidR="00A82082" w:rsidRDefault="00A82082">
            <w:pPr>
              <w:rPr>
                <w:rFonts w:ascii="宋体"/>
              </w:rPr>
            </w:pPr>
          </w:p>
        </w:tc>
      </w:tr>
      <w:tr w:rsidR="00A82082" w14:paraId="7E785F95" w14:textId="77777777">
        <w:tc>
          <w:tcPr>
            <w:tcW w:w="0" w:type="auto"/>
            <w:gridSpan w:val="3"/>
            <w:shd w:val="clear" w:color="auto" w:fill="auto"/>
            <w:tcMar>
              <w:top w:w="40" w:type="dxa"/>
              <w:left w:w="20" w:type="dxa"/>
              <w:bottom w:w="40" w:type="dxa"/>
              <w:right w:w="20" w:type="dxa"/>
            </w:tcMar>
            <w:vAlign w:val="bottom"/>
          </w:tcPr>
          <w:p w14:paraId="7E785F87" w14:textId="77777777" w:rsidR="00A82082" w:rsidRDefault="00E946F9">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tcPr>
          <w:p w14:paraId="7E785F88"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F89" w14:textId="77777777" w:rsidR="00A82082" w:rsidRDefault="00E946F9">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tcPr>
          <w:p w14:paraId="7E785F8A"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F8B" w14:textId="77777777" w:rsidR="00A82082" w:rsidRDefault="00E946F9">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tcPr>
          <w:p w14:paraId="7E785F8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F8D" w14:textId="77777777" w:rsidR="00A82082" w:rsidRDefault="00E946F9">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tcPr>
          <w:p w14:paraId="7E785F8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5F8F" w14:textId="77777777" w:rsidR="00A82082" w:rsidRDefault="00E946F9">
            <w:pPr>
              <w:jc w:val="center"/>
              <w:textAlignment w:val="bottom"/>
            </w:pPr>
            <w:r>
              <w:rPr>
                <w:rFonts w:ascii="Times New Roman" w:eastAsia="宋体" w:hAnsi="Times New Roman"/>
                <w:b/>
                <w:bCs/>
                <w:color w:val="000000"/>
                <w:sz w:val="16"/>
                <w:szCs w:val="16"/>
              </w:rPr>
              <w:t>Approximate Dollar </w:t>
            </w:r>
          </w:p>
          <w:p w14:paraId="7E785F90" w14:textId="77777777" w:rsidR="00A82082" w:rsidRDefault="00E946F9">
            <w:pPr>
              <w:jc w:val="center"/>
              <w:textAlignment w:val="bottom"/>
            </w:pPr>
            <w:r>
              <w:rPr>
                <w:rFonts w:ascii="Times New Roman" w:eastAsia="宋体" w:hAnsi="Times New Roman"/>
                <w:b/>
                <w:bCs/>
                <w:color w:val="000000"/>
                <w:sz w:val="16"/>
                <w:szCs w:val="16"/>
              </w:rPr>
              <w:t>Value of Shares that</w:t>
            </w:r>
          </w:p>
          <w:p w14:paraId="7E785F91" w14:textId="77777777" w:rsidR="00A82082" w:rsidRDefault="00E946F9">
            <w:pPr>
              <w:jc w:val="center"/>
              <w:textAlignment w:val="bottom"/>
            </w:pPr>
            <w:r>
              <w:rPr>
                <w:rFonts w:ascii="Times New Roman" w:eastAsia="宋体" w:hAnsi="Times New Roman"/>
                <w:b/>
                <w:bCs/>
                <w:color w:val="000000"/>
                <w:sz w:val="16"/>
                <w:szCs w:val="16"/>
              </w:rPr>
              <w:t>May Yet Be</w:t>
            </w:r>
          </w:p>
          <w:p w14:paraId="7E785F92" w14:textId="77777777" w:rsidR="00A82082" w:rsidRDefault="00E946F9">
            <w:pPr>
              <w:jc w:val="center"/>
              <w:textAlignment w:val="bottom"/>
            </w:pPr>
            <w:r>
              <w:rPr>
                <w:rFonts w:ascii="Times New Roman" w:eastAsia="宋体" w:hAnsi="Times New Roman"/>
                <w:b/>
                <w:bCs/>
                <w:color w:val="000000"/>
                <w:sz w:val="16"/>
                <w:szCs w:val="16"/>
              </w:rPr>
              <w:t>Purchased Under the</w:t>
            </w:r>
          </w:p>
          <w:p w14:paraId="7E785F93" w14:textId="77777777" w:rsidR="00A82082" w:rsidRDefault="00E946F9">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7E785F94" w14:textId="77777777" w:rsidR="00A82082" w:rsidRDefault="00E946F9">
            <w:pPr>
              <w:jc w:val="center"/>
              <w:textAlignment w:val="bottom"/>
            </w:pPr>
            <w:r>
              <w:rPr>
                <w:rFonts w:ascii="Times New Roman" w:eastAsia="宋体" w:hAnsi="Times New Roman"/>
                <w:b/>
                <w:bCs/>
                <w:color w:val="000000"/>
                <w:sz w:val="16"/>
                <w:szCs w:val="16"/>
              </w:rPr>
              <w:t>(billions)</w:t>
            </w:r>
          </w:p>
        </w:tc>
      </w:tr>
      <w:tr w:rsidR="00A82082" w14:paraId="7E785FA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785F96" w14:textId="77777777" w:rsidR="00A82082" w:rsidRDefault="00E946F9">
            <w:pPr>
              <w:textAlignment w:val="center"/>
            </w:pPr>
            <w:r>
              <w:rPr>
                <w:rFonts w:ascii="Times New Roman" w:eastAsia="宋体" w:hAnsi="Times New Roman"/>
                <w:color w:val="000000"/>
                <w:sz w:val="16"/>
                <w:szCs w:val="16"/>
              </w:rPr>
              <w:t>August 1 - 31, 2020</w:t>
            </w:r>
          </w:p>
        </w:tc>
        <w:tc>
          <w:tcPr>
            <w:tcW w:w="0" w:type="auto"/>
            <w:gridSpan w:val="3"/>
            <w:shd w:val="clear" w:color="auto" w:fill="CCEEFF"/>
            <w:tcMar>
              <w:top w:w="0" w:type="dxa"/>
              <w:left w:w="20" w:type="dxa"/>
              <w:bottom w:w="0" w:type="dxa"/>
              <w:right w:w="20" w:type="dxa"/>
            </w:tcMar>
          </w:tcPr>
          <w:p w14:paraId="7E785F97"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F98" w14:textId="77777777" w:rsidR="00A82082" w:rsidRDefault="00E946F9">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F99"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9A"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F9B"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F9C" w14:textId="77777777" w:rsidR="00A82082" w:rsidRDefault="00E946F9">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F9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9E" w14:textId="77777777" w:rsidR="00A82082" w:rsidRDefault="00A8208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785F9F" w14:textId="77777777" w:rsidR="00A82082" w:rsidRDefault="00E946F9">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FA0"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A1" w14:textId="77777777" w:rsidR="00A82082" w:rsidRDefault="00A8208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785FA2" w14:textId="77777777" w:rsidR="00A82082" w:rsidRDefault="00E946F9">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785FA3" w14:textId="77777777" w:rsidR="00A82082" w:rsidRDefault="00E946F9">
            <w:pPr>
              <w:jc w:val="right"/>
              <w:textAlignment w:val="center"/>
            </w:pPr>
            <w:r>
              <w:rPr>
                <w:rFonts w:ascii="Times New Roman" w:eastAsia="宋体" w:hAnsi="Times New Roman"/>
                <w:color w:val="000000"/>
                <w:sz w:val="16"/>
                <w:szCs w:val="16"/>
              </w:rPr>
              <w:t>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785FA4" w14:textId="77777777" w:rsidR="00A82082" w:rsidRDefault="00A82082">
            <w:pPr>
              <w:jc w:val="right"/>
              <w:rPr>
                <w:rFonts w:ascii="宋体"/>
              </w:rPr>
            </w:pPr>
          </w:p>
        </w:tc>
      </w:tr>
      <w:tr w:rsidR="00A82082" w14:paraId="7E785FB3" w14:textId="77777777">
        <w:tc>
          <w:tcPr>
            <w:tcW w:w="0" w:type="auto"/>
            <w:gridSpan w:val="3"/>
            <w:shd w:val="clear" w:color="auto" w:fill="FFFFFF"/>
            <w:tcMar>
              <w:top w:w="40" w:type="dxa"/>
              <w:left w:w="20" w:type="dxa"/>
              <w:bottom w:w="40" w:type="dxa"/>
              <w:right w:w="20" w:type="dxa"/>
            </w:tcMar>
            <w:vAlign w:val="center"/>
          </w:tcPr>
          <w:p w14:paraId="7E785FA6" w14:textId="77777777" w:rsidR="00A82082" w:rsidRDefault="00E946F9">
            <w:pPr>
              <w:textAlignment w:val="center"/>
            </w:pPr>
            <w:r>
              <w:rPr>
                <w:rFonts w:ascii="Times New Roman" w:eastAsia="宋体" w:hAnsi="Times New Roman"/>
                <w:color w:val="000000"/>
                <w:sz w:val="16"/>
                <w:szCs w:val="16"/>
              </w:rPr>
              <w:t>September 1 - 30, 2020</w:t>
            </w:r>
          </w:p>
        </w:tc>
        <w:tc>
          <w:tcPr>
            <w:tcW w:w="0" w:type="auto"/>
            <w:gridSpan w:val="3"/>
            <w:shd w:val="clear" w:color="auto" w:fill="FFFFFF"/>
            <w:tcMar>
              <w:top w:w="0" w:type="dxa"/>
              <w:left w:w="20" w:type="dxa"/>
              <w:bottom w:w="0" w:type="dxa"/>
              <w:right w:w="20" w:type="dxa"/>
            </w:tcMar>
          </w:tcPr>
          <w:p w14:paraId="7E785FA7"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FA8" w14:textId="77777777" w:rsidR="00A82082" w:rsidRDefault="00E946F9">
            <w:pPr>
              <w:jc w:val="right"/>
              <w:textAlignment w:val="center"/>
            </w:pPr>
            <w:r>
              <w:rPr>
                <w:rFonts w:ascii="Times New Roman" w:eastAsia="宋体" w:hAnsi="Times New Roman"/>
                <w:color w:val="000000"/>
                <w:sz w:val="16"/>
                <w:szCs w:val="16"/>
              </w:rPr>
              <w:t>1,901,067 </w:t>
            </w:r>
          </w:p>
        </w:tc>
        <w:tc>
          <w:tcPr>
            <w:tcW w:w="0" w:type="auto"/>
            <w:shd w:val="clear" w:color="auto" w:fill="FFFFFF"/>
            <w:tcMar>
              <w:top w:w="40" w:type="dxa"/>
              <w:left w:w="0" w:type="dxa"/>
              <w:bottom w:w="40" w:type="dxa"/>
              <w:right w:w="20" w:type="dxa"/>
            </w:tcMar>
            <w:vAlign w:val="center"/>
          </w:tcPr>
          <w:p w14:paraId="7E785FA9"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AA"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FAB" w14:textId="77777777" w:rsidR="00A82082" w:rsidRDefault="00E946F9">
            <w:pPr>
              <w:jc w:val="right"/>
              <w:textAlignment w:val="center"/>
            </w:pPr>
            <w:r>
              <w:rPr>
                <w:rFonts w:ascii="Times New Roman" w:eastAsia="宋体" w:hAnsi="Times New Roman"/>
                <w:color w:val="000000"/>
                <w:sz w:val="16"/>
                <w:szCs w:val="16"/>
              </w:rPr>
              <w:t>138.31 </w:t>
            </w:r>
          </w:p>
        </w:tc>
        <w:tc>
          <w:tcPr>
            <w:tcW w:w="0" w:type="auto"/>
            <w:shd w:val="clear" w:color="auto" w:fill="FFFFFF"/>
            <w:tcMar>
              <w:top w:w="40" w:type="dxa"/>
              <w:left w:w="0" w:type="dxa"/>
              <w:bottom w:w="40" w:type="dxa"/>
              <w:right w:w="20" w:type="dxa"/>
            </w:tcMar>
            <w:vAlign w:val="center"/>
          </w:tcPr>
          <w:p w14:paraId="7E785FAC"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AD"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FAE" w14:textId="77777777" w:rsidR="00A82082" w:rsidRDefault="00E946F9">
            <w:pPr>
              <w:jc w:val="right"/>
              <w:textAlignment w:val="center"/>
            </w:pPr>
            <w:r>
              <w:rPr>
                <w:rFonts w:ascii="Times New Roman" w:eastAsia="宋体" w:hAnsi="Times New Roman"/>
                <w:color w:val="000000"/>
                <w:sz w:val="16"/>
                <w:szCs w:val="16"/>
              </w:rPr>
              <w:t>1,901,067 </w:t>
            </w:r>
          </w:p>
        </w:tc>
        <w:tc>
          <w:tcPr>
            <w:tcW w:w="0" w:type="auto"/>
            <w:shd w:val="clear" w:color="auto" w:fill="FFFFFF"/>
            <w:tcMar>
              <w:top w:w="40" w:type="dxa"/>
              <w:left w:w="0" w:type="dxa"/>
              <w:bottom w:w="40" w:type="dxa"/>
              <w:right w:w="20" w:type="dxa"/>
            </w:tcMar>
            <w:vAlign w:val="center"/>
          </w:tcPr>
          <w:p w14:paraId="7E785FAF"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B0" w14:textId="77777777" w:rsidR="00A82082" w:rsidRDefault="00A82082">
            <w:pPr>
              <w:rPr>
                <w:rFonts w:ascii="宋体"/>
              </w:rPr>
            </w:pPr>
          </w:p>
        </w:tc>
        <w:tc>
          <w:tcPr>
            <w:tcW w:w="0" w:type="auto"/>
            <w:gridSpan w:val="2"/>
            <w:shd w:val="clear" w:color="auto" w:fill="FFFFFF"/>
            <w:tcMar>
              <w:top w:w="40" w:type="dxa"/>
              <w:left w:w="20" w:type="dxa"/>
              <w:bottom w:w="40" w:type="dxa"/>
              <w:right w:w="0" w:type="dxa"/>
            </w:tcMar>
            <w:vAlign w:val="center"/>
          </w:tcPr>
          <w:p w14:paraId="7E785FB1" w14:textId="77777777" w:rsidR="00A82082" w:rsidRDefault="00E946F9">
            <w:pPr>
              <w:jc w:val="right"/>
              <w:textAlignment w:val="center"/>
            </w:pPr>
            <w:r>
              <w:rPr>
                <w:rFonts w:ascii="Times New Roman" w:eastAsia="宋体" w:hAnsi="Times New Roman"/>
                <w:color w:val="000000"/>
                <w:sz w:val="16"/>
                <w:szCs w:val="16"/>
              </w:rPr>
              <w:t>4.7 </w:t>
            </w:r>
          </w:p>
        </w:tc>
        <w:tc>
          <w:tcPr>
            <w:tcW w:w="0" w:type="auto"/>
            <w:shd w:val="clear" w:color="auto" w:fill="FFFFFF"/>
            <w:tcMar>
              <w:top w:w="40" w:type="dxa"/>
              <w:left w:w="0" w:type="dxa"/>
              <w:bottom w:w="40" w:type="dxa"/>
              <w:right w:w="20" w:type="dxa"/>
            </w:tcMar>
            <w:vAlign w:val="center"/>
          </w:tcPr>
          <w:p w14:paraId="7E785FB2" w14:textId="77777777" w:rsidR="00A82082" w:rsidRDefault="00A82082">
            <w:pPr>
              <w:jc w:val="right"/>
              <w:rPr>
                <w:rFonts w:ascii="宋体"/>
              </w:rPr>
            </w:pPr>
          </w:p>
        </w:tc>
      </w:tr>
      <w:tr w:rsidR="00A82082" w14:paraId="7E785FC1" w14:textId="77777777">
        <w:tc>
          <w:tcPr>
            <w:tcW w:w="0" w:type="auto"/>
            <w:gridSpan w:val="3"/>
            <w:shd w:val="clear" w:color="auto" w:fill="CCEEFF"/>
            <w:tcMar>
              <w:top w:w="40" w:type="dxa"/>
              <w:left w:w="20" w:type="dxa"/>
              <w:bottom w:w="40" w:type="dxa"/>
              <w:right w:w="20" w:type="dxa"/>
            </w:tcMar>
            <w:vAlign w:val="center"/>
          </w:tcPr>
          <w:p w14:paraId="7E785FB4" w14:textId="77777777" w:rsidR="00A82082" w:rsidRDefault="00E946F9">
            <w:pPr>
              <w:textAlignment w:val="center"/>
            </w:pPr>
            <w:r>
              <w:rPr>
                <w:rFonts w:ascii="Times New Roman" w:eastAsia="宋体" w:hAnsi="Times New Roman"/>
                <w:color w:val="000000"/>
                <w:sz w:val="16"/>
                <w:szCs w:val="16"/>
              </w:rPr>
              <w:t>October 1 - 31, 2020</w:t>
            </w:r>
          </w:p>
        </w:tc>
        <w:tc>
          <w:tcPr>
            <w:tcW w:w="0" w:type="auto"/>
            <w:gridSpan w:val="3"/>
            <w:shd w:val="clear" w:color="auto" w:fill="CCEEFF"/>
            <w:tcMar>
              <w:top w:w="0" w:type="dxa"/>
              <w:left w:w="20" w:type="dxa"/>
              <w:bottom w:w="0" w:type="dxa"/>
              <w:right w:w="20" w:type="dxa"/>
            </w:tcMar>
          </w:tcPr>
          <w:p w14:paraId="7E785FB5"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FB6" w14:textId="77777777" w:rsidR="00A82082" w:rsidRDefault="00E946F9">
            <w:pPr>
              <w:jc w:val="right"/>
              <w:textAlignment w:val="center"/>
            </w:pPr>
            <w:r>
              <w:rPr>
                <w:rFonts w:ascii="Times New Roman" w:eastAsia="宋体" w:hAnsi="Times New Roman"/>
                <w:color w:val="000000"/>
                <w:sz w:val="16"/>
                <w:szCs w:val="16"/>
              </w:rPr>
              <w:t>1,570,350 </w:t>
            </w:r>
          </w:p>
        </w:tc>
        <w:tc>
          <w:tcPr>
            <w:tcW w:w="0" w:type="auto"/>
            <w:shd w:val="clear" w:color="auto" w:fill="CCEEFF"/>
            <w:tcMar>
              <w:top w:w="40" w:type="dxa"/>
              <w:left w:w="0" w:type="dxa"/>
              <w:bottom w:w="40" w:type="dxa"/>
              <w:right w:w="20" w:type="dxa"/>
            </w:tcMar>
            <w:vAlign w:val="center"/>
          </w:tcPr>
          <w:p w14:paraId="7E785FB7"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B8"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FB9" w14:textId="77777777" w:rsidR="00A82082" w:rsidRDefault="00E946F9">
            <w:pPr>
              <w:jc w:val="right"/>
              <w:textAlignment w:val="center"/>
            </w:pPr>
            <w:r>
              <w:rPr>
                <w:rFonts w:ascii="Times New Roman" w:eastAsia="宋体" w:hAnsi="Times New Roman"/>
                <w:color w:val="000000"/>
                <w:sz w:val="16"/>
                <w:szCs w:val="16"/>
              </w:rPr>
              <w:t>142.74 </w:t>
            </w:r>
          </w:p>
        </w:tc>
        <w:tc>
          <w:tcPr>
            <w:tcW w:w="0" w:type="auto"/>
            <w:shd w:val="clear" w:color="auto" w:fill="CCEEFF"/>
            <w:tcMar>
              <w:top w:w="40" w:type="dxa"/>
              <w:left w:w="0" w:type="dxa"/>
              <w:bottom w:w="40" w:type="dxa"/>
              <w:right w:w="20" w:type="dxa"/>
            </w:tcMar>
            <w:vAlign w:val="center"/>
          </w:tcPr>
          <w:p w14:paraId="7E785FBA"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BB"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FBC" w14:textId="77777777" w:rsidR="00A82082" w:rsidRDefault="00E946F9">
            <w:pPr>
              <w:jc w:val="right"/>
              <w:textAlignment w:val="center"/>
            </w:pPr>
            <w:r>
              <w:rPr>
                <w:rFonts w:ascii="Times New Roman" w:eastAsia="宋体" w:hAnsi="Times New Roman"/>
                <w:color w:val="000000"/>
                <w:sz w:val="16"/>
                <w:szCs w:val="16"/>
              </w:rPr>
              <w:t>1,570,350 </w:t>
            </w:r>
          </w:p>
        </w:tc>
        <w:tc>
          <w:tcPr>
            <w:tcW w:w="0" w:type="auto"/>
            <w:shd w:val="clear" w:color="auto" w:fill="CCEEFF"/>
            <w:tcMar>
              <w:top w:w="40" w:type="dxa"/>
              <w:left w:w="0" w:type="dxa"/>
              <w:bottom w:w="40" w:type="dxa"/>
              <w:right w:w="20" w:type="dxa"/>
            </w:tcMar>
            <w:vAlign w:val="center"/>
          </w:tcPr>
          <w:p w14:paraId="7E785FBD" w14:textId="77777777" w:rsidR="00A82082" w:rsidRDefault="00A82082">
            <w:pPr>
              <w:jc w:val="right"/>
              <w:rPr>
                <w:rFonts w:ascii="宋体"/>
              </w:rPr>
            </w:pPr>
          </w:p>
        </w:tc>
        <w:tc>
          <w:tcPr>
            <w:tcW w:w="0" w:type="auto"/>
            <w:gridSpan w:val="3"/>
            <w:shd w:val="clear" w:color="auto" w:fill="CCEEFF"/>
            <w:tcMar>
              <w:top w:w="0" w:type="dxa"/>
              <w:left w:w="20" w:type="dxa"/>
              <w:bottom w:w="0" w:type="dxa"/>
              <w:right w:w="20" w:type="dxa"/>
            </w:tcMar>
          </w:tcPr>
          <w:p w14:paraId="7E785FBE" w14:textId="77777777" w:rsidR="00A82082" w:rsidRDefault="00A82082">
            <w:pPr>
              <w:rPr>
                <w:rFonts w:ascii="宋体"/>
              </w:rPr>
            </w:pPr>
          </w:p>
        </w:tc>
        <w:tc>
          <w:tcPr>
            <w:tcW w:w="0" w:type="auto"/>
            <w:gridSpan w:val="2"/>
            <w:shd w:val="clear" w:color="auto" w:fill="CCEEFF"/>
            <w:tcMar>
              <w:top w:w="40" w:type="dxa"/>
              <w:left w:w="20" w:type="dxa"/>
              <w:bottom w:w="40" w:type="dxa"/>
              <w:right w:w="0" w:type="dxa"/>
            </w:tcMar>
            <w:vAlign w:val="center"/>
          </w:tcPr>
          <w:p w14:paraId="7E785FBF" w14:textId="77777777" w:rsidR="00A82082" w:rsidRDefault="00E946F9">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7E785FC0" w14:textId="77777777" w:rsidR="00A82082" w:rsidRDefault="00A82082">
            <w:pPr>
              <w:jc w:val="right"/>
              <w:rPr>
                <w:rFonts w:ascii="宋体"/>
              </w:rPr>
            </w:pPr>
          </w:p>
        </w:tc>
      </w:tr>
      <w:tr w:rsidR="00A82082" w14:paraId="7E785FCD" w14:textId="77777777">
        <w:tc>
          <w:tcPr>
            <w:tcW w:w="0" w:type="auto"/>
            <w:gridSpan w:val="3"/>
            <w:shd w:val="clear" w:color="auto" w:fill="FFFFFF"/>
            <w:tcMar>
              <w:top w:w="40" w:type="dxa"/>
              <w:left w:w="20" w:type="dxa"/>
              <w:bottom w:w="40" w:type="dxa"/>
              <w:right w:w="20" w:type="dxa"/>
            </w:tcMar>
            <w:vAlign w:val="center"/>
          </w:tcPr>
          <w:p w14:paraId="7E785FC2" w14:textId="77777777" w:rsidR="00A82082" w:rsidRDefault="00E946F9">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7E785FC3" w14:textId="77777777" w:rsidR="00A82082" w:rsidRDefault="00A8208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FC4" w14:textId="77777777" w:rsidR="00A82082" w:rsidRDefault="00E946F9">
            <w:pPr>
              <w:jc w:val="right"/>
              <w:textAlignment w:val="center"/>
            </w:pPr>
            <w:r>
              <w:rPr>
                <w:rFonts w:ascii="Times New Roman" w:eastAsia="宋体" w:hAnsi="Times New Roman"/>
                <w:color w:val="000000"/>
                <w:sz w:val="16"/>
                <w:szCs w:val="16"/>
              </w:rPr>
              <w:t>3,471,417 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FC5"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C6"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FC7"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FC8" w14:textId="77777777" w:rsidR="00A82082" w:rsidRDefault="00A8208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785FC9" w14:textId="77777777" w:rsidR="00A82082" w:rsidRDefault="00E946F9">
            <w:pPr>
              <w:jc w:val="right"/>
              <w:textAlignment w:val="center"/>
            </w:pPr>
            <w:r>
              <w:rPr>
                <w:rFonts w:ascii="Times New Roman" w:eastAsia="宋体" w:hAnsi="Times New Roman"/>
                <w:color w:val="000000"/>
                <w:sz w:val="16"/>
                <w:szCs w:val="16"/>
              </w:rPr>
              <w:t>3,471,417 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785FCA" w14:textId="77777777" w:rsidR="00A82082" w:rsidRDefault="00A82082">
            <w:pPr>
              <w:jc w:val="right"/>
              <w:rPr>
                <w:rFonts w:ascii="宋体"/>
              </w:rPr>
            </w:pPr>
          </w:p>
        </w:tc>
        <w:tc>
          <w:tcPr>
            <w:tcW w:w="0" w:type="auto"/>
            <w:gridSpan w:val="3"/>
            <w:shd w:val="clear" w:color="auto" w:fill="FFFFFF"/>
            <w:tcMar>
              <w:top w:w="0" w:type="dxa"/>
              <w:left w:w="20" w:type="dxa"/>
              <w:bottom w:w="0" w:type="dxa"/>
              <w:right w:w="20" w:type="dxa"/>
            </w:tcMar>
          </w:tcPr>
          <w:p w14:paraId="7E785FCB" w14:textId="77777777" w:rsidR="00A82082" w:rsidRDefault="00A82082">
            <w:pPr>
              <w:rPr>
                <w:rFonts w:ascii="宋体"/>
              </w:rPr>
            </w:pPr>
          </w:p>
        </w:tc>
        <w:tc>
          <w:tcPr>
            <w:tcW w:w="0" w:type="auto"/>
            <w:gridSpan w:val="3"/>
            <w:shd w:val="clear" w:color="auto" w:fill="FFFFFF"/>
            <w:tcMar>
              <w:top w:w="0" w:type="dxa"/>
              <w:left w:w="20" w:type="dxa"/>
              <w:bottom w:w="0" w:type="dxa"/>
              <w:right w:w="20" w:type="dxa"/>
            </w:tcMar>
          </w:tcPr>
          <w:p w14:paraId="7E785FCC" w14:textId="77777777" w:rsidR="00A82082" w:rsidRDefault="00A82082">
            <w:pPr>
              <w:rPr>
                <w:rFonts w:ascii="宋体"/>
              </w:rPr>
            </w:pPr>
          </w:p>
        </w:tc>
      </w:tr>
    </w:tbl>
    <w:p w14:paraId="7E785FCE" w14:textId="77777777" w:rsidR="00A82082" w:rsidRDefault="00E946F9">
      <w:pPr>
        <w:spacing w:before="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w:t>
      </w:r>
      <w:r>
        <w:rPr>
          <w:rFonts w:ascii="Times New Roman" w:eastAsia="宋体" w:hAnsi="Times New Roman"/>
          <w:color w:val="000000"/>
          <w:sz w:val="16"/>
          <w:szCs w:val="16"/>
        </w:rPr>
        <w:t>resents approximate dollar value of shares that could have been purchased under the plan in effect at the end of the month.</w:t>
      </w:r>
    </w:p>
    <w:p w14:paraId="7E785FCF" w14:textId="77777777" w:rsidR="00A82082" w:rsidRDefault="00E946F9">
      <w:pPr>
        <w:spacing w:before="240"/>
      </w:pPr>
      <w:r>
        <w:rPr>
          <w:rFonts w:ascii="Times New Roman" w:eastAsia="宋体" w:hAnsi="Times New Roman"/>
          <w:b/>
          <w:bCs/>
          <w:color w:val="000000"/>
          <w:sz w:val="20"/>
          <w:szCs w:val="20"/>
        </w:rPr>
        <w:t>Item 5. Other Information</w:t>
      </w:r>
    </w:p>
    <w:p w14:paraId="7E785FD0" w14:textId="77777777" w:rsidR="00A82082" w:rsidRDefault="00E946F9">
      <w:pPr>
        <w:spacing w:before="180"/>
      </w:pPr>
      <w:r>
        <w:rPr>
          <w:rFonts w:ascii="Times New Roman" w:eastAsia="宋体" w:hAnsi="Times New Roman"/>
          <w:b/>
          <w:bCs/>
          <w:i/>
          <w:iCs/>
          <w:color w:val="000000"/>
          <w:sz w:val="20"/>
          <w:szCs w:val="20"/>
        </w:rPr>
        <w:t>Cautionary Statement Regarding Forward-Looking Statements</w:t>
      </w:r>
    </w:p>
    <w:p w14:paraId="7E785FD1" w14:textId="77777777" w:rsidR="00A82082" w:rsidRDefault="00E946F9">
      <w:pPr>
        <w:spacing w:before="100"/>
      </w:pPr>
      <w:r>
        <w:rPr>
          <w:rFonts w:ascii="Times New Roman" w:eastAsia="宋体" w:hAnsi="Times New Roman"/>
          <w:color w:val="000000"/>
          <w:sz w:val="20"/>
          <w:szCs w:val="20"/>
        </w:rPr>
        <w:t>This Quarterly Report on Form 10-Q contains stat</w:t>
      </w:r>
      <w:r>
        <w:rPr>
          <w:rFonts w:ascii="Times New Roman" w:eastAsia="宋体" w:hAnsi="Times New Roman"/>
          <w:color w:val="000000"/>
          <w:sz w:val="20"/>
          <w:szCs w:val="20"/>
        </w:rPr>
        <w:t>ements that Walmart believes are "forward-looking statements" within the meaning of the Private Securities Litigation Reform Act of 1995. Those forward-looking statements are intended to enjoy the protection of the safe harbor for forward-looking statement</w:t>
      </w:r>
      <w:r>
        <w:rPr>
          <w:rFonts w:ascii="Times New Roman" w:eastAsia="宋体" w:hAnsi="Times New Roman"/>
          <w:color w:val="000000"/>
          <w:sz w:val="20"/>
          <w:szCs w:val="20"/>
        </w:rPr>
        <w:t>s provided by that Act as well as protections afforded by other federal securities laws.</w:t>
      </w:r>
    </w:p>
    <w:p w14:paraId="7E785FD2" w14:textId="77777777" w:rsidR="00A82082" w:rsidRDefault="00E946F9">
      <w:pPr>
        <w:spacing w:before="180"/>
      </w:pPr>
      <w:r>
        <w:rPr>
          <w:rFonts w:ascii="Times New Roman" w:eastAsia="宋体" w:hAnsi="Times New Roman"/>
          <w:b/>
          <w:bCs/>
          <w:i/>
          <w:iCs/>
          <w:color w:val="000000"/>
          <w:sz w:val="20"/>
          <w:szCs w:val="20"/>
        </w:rPr>
        <w:t>Forward-looking Statements</w:t>
      </w:r>
    </w:p>
    <w:p w14:paraId="7E785FD3" w14:textId="77777777" w:rsidR="00A82082" w:rsidRDefault="00E946F9">
      <w:pPr>
        <w:spacing w:before="100"/>
      </w:pPr>
      <w:r>
        <w:rPr>
          <w:rFonts w:ascii="Times New Roman" w:eastAsia="宋体" w:hAnsi="Times New Roman"/>
          <w:color w:val="000000"/>
          <w:sz w:val="20"/>
          <w:szCs w:val="20"/>
        </w:rPr>
        <w:t xml:space="preserve">The forward-looking statements in this report include, among other things: </w:t>
      </w:r>
    </w:p>
    <w:p w14:paraId="7E785FD4" w14:textId="77777777" w:rsidR="00A82082" w:rsidRDefault="00E946F9">
      <w:pPr>
        <w:spacing w:before="100"/>
        <w:ind w:hanging="360"/>
      </w:pPr>
      <w:r>
        <w:rPr>
          <w:rFonts w:ascii="Times New Roman" w:eastAsia="宋体" w:hAnsi="Times New Roman"/>
          <w:color w:val="000000"/>
          <w:sz w:val="20"/>
          <w:szCs w:val="20"/>
        </w:rPr>
        <w:t xml:space="preserve">•statements in </w:t>
      </w:r>
      <w:hyperlink r:id="rId114" w:anchor="i5c815528a95c4409b9043de534639b9a_5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to those Condensed Consolidated Financial Statements regarding the expected insignificance of the amounts relating to certain net investment and cash flow derivative financial instruments to which Walmart is a party that are expected to be reclassified fr</w:t>
      </w:r>
      <w:r>
        <w:rPr>
          <w:rFonts w:ascii="Times New Roman" w:eastAsia="宋体" w:hAnsi="Times New Roman"/>
          <w:color w:val="000000"/>
          <w:sz w:val="20"/>
          <w:szCs w:val="20"/>
        </w:rPr>
        <w:t xml:space="preserve">om accumulated other comprehensive loss to net income in the next 12 months; statements in </w:t>
      </w:r>
      <w:hyperlink r:id="rId115" w:anchor="i5c815528a95c4409b9043de534639b9a_1207"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w:t>
      </w:r>
      <w:r>
        <w:rPr>
          <w:rFonts w:ascii="Times New Roman" w:eastAsia="宋体" w:hAnsi="Times New Roman"/>
          <w:color w:val="000000"/>
          <w:sz w:val="20"/>
          <w:szCs w:val="20"/>
        </w:rPr>
        <w:t xml:space="preserve">those Condensed Consolidated Financial Statements regarding the possible financial impact of the disclosed transactions; and statements in </w:t>
      </w:r>
      <w:hyperlink r:id="rId116" w:anchor="i5c815528a95c4409b9043de534639b9a_67"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those Condensed Consolidated Financial Statements regarding the possible outcome of, and future effect on Walmart's financial condition and results of operations of, certain litigation and other proceedings to </w:t>
      </w:r>
      <w:r>
        <w:rPr>
          <w:rFonts w:ascii="Times New Roman" w:eastAsia="宋体" w:hAnsi="Times New Roman"/>
          <w:color w:val="000000"/>
          <w:sz w:val="20"/>
          <w:szCs w:val="20"/>
        </w:rPr>
        <w:t>which Walmart is a party, the possible outcome of, and future effect on Walmart's business of, certain other matters to which Walmart is subject, including Walmart's existing ASDA Equal Value Claims and the Prescription Opiate Litigation and Other Matters,</w:t>
      </w:r>
      <w:r>
        <w:rPr>
          <w:rFonts w:ascii="Times New Roman" w:eastAsia="宋体" w:hAnsi="Times New Roman"/>
          <w:color w:val="000000"/>
          <w:sz w:val="20"/>
          <w:szCs w:val="20"/>
        </w:rPr>
        <w:t xml:space="preserve"> and the liabilities, losses, expenses and costs that Walmart may incur in connection with such matters;</w:t>
      </w:r>
    </w:p>
    <w:p w14:paraId="7E785FD5" w14:textId="77777777" w:rsidR="00A82082" w:rsidRDefault="00E946F9">
      <w:pPr>
        <w:jc w:val="center"/>
      </w:pPr>
      <w:r>
        <w:rPr>
          <w:rFonts w:ascii="Times New Roman" w:eastAsia="宋体" w:hAnsi="Times New Roman"/>
          <w:color w:val="000000"/>
          <w:sz w:val="20"/>
          <w:szCs w:val="20"/>
        </w:rPr>
        <w:t>30</w:t>
      </w:r>
    </w:p>
    <w:p w14:paraId="7E785FD6" w14:textId="77777777" w:rsidR="00A82082" w:rsidRDefault="00E946F9">
      <w:r>
        <w:pict w14:anchorId="7E786166">
          <v:rect id="_x0000_i1054" style="width:415.3pt;height:1.5pt" o:hralign="center" o:hrstd="t" o:hr="t" fillcolor="#a0a0a0" stroked="f"/>
        </w:pict>
      </w:r>
    </w:p>
    <w:p w14:paraId="7E785FD7" w14:textId="77777777" w:rsidR="00A82082" w:rsidRDefault="00E946F9">
      <w:hyperlink r:id="rId117" w:anchor="i5c815528a95c4409b9043de534639b9a_7" w:history="1">
        <w:r>
          <w:rPr>
            <w:rStyle w:val="a5"/>
            <w:rFonts w:ascii="Times New Roman" w:eastAsia="宋体" w:hAnsi="Times New Roman"/>
            <w:sz w:val="20"/>
            <w:szCs w:val="20"/>
          </w:rPr>
          <w:t>Table of C</w:t>
        </w:r>
      </w:hyperlink>
      <w:hyperlink r:id="rId118" w:anchor="i5c815528a95c4409b9043de534639b9a_7" w:history="1">
        <w:r>
          <w:rPr>
            <w:rStyle w:val="a5"/>
            <w:rFonts w:ascii="Times New Roman" w:eastAsia="宋体" w:hAnsi="Times New Roman"/>
            <w:sz w:val="20"/>
            <w:szCs w:val="20"/>
          </w:rPr>
          <w:t>ontents</w:t>
        </w:r>
      </w:hyperlink>
    </w:p>
    <w:p w14:paraId="7E785FD8" w14:textId="77777777" w:rsidR="00A82082" w:rsidRDefault="00E946F9">
      <w:pPr>
        <w:spacing w:before="100"/>
        <w:ind w:hanging="360"/>
      </w:pPr>
      <w:r>
        <w:rPr>
          <w:rFonts w:ascii="Times New Roman" w:eastAsia="宋体" w:hAnsi="Times New Roman"/>
          <w:color w:val="000000"/>
          <w:sz w:val="20"/>
          <w:szCs w:val="20"/>
        </w:rPr>
        <w:t>•in Part I, Item 2 "</w:t>
      </w:r>
      <w:hyperlink r:id="rId119" w:anchor="i5c815528a95c4409b9043de534639b9a_76"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statements rega</w:t>
      </w:r>
      <w:r>
        <w:rPr>
          <w:rFonts w:ascii="Times New Roman" w:eastAsia="宋体" w:hAnsi="Times New Roman"/>
          <w:color w:val="000000"/>
          <w:sz w:val="20"/>
          <w:szCs w:val="20"/>
        </w:rPr>
        <w:t>rding future changes to our business and our expectations about the potential impacts on our business, financial position, results of operations or cash flows as a result of the COVID-19 pandemic, as well as statements related to the sale of Asda Group Lim</w:t>
      </w:r>
      <w:r>
        <w:rPr>
          <w:rFonts w:ascii="Times New Roman" w:eastAsia="宋体" w:hAnsi="Times New Roman"/>
          <w:color w:val="000000"/>
          <w:sz w:val="20"/>
          <w:szCs w:val="20"/>
        </w:rPr>
        <w:t>ited and Seiyu and their potential financial impact; statements under the caption "</w:t>
      </w:r>
      <w:hyperlink r:id="rId120" w:anchor="i5c815528a95c4409b9043de534639b9a_79"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w:t>
      </w:r>
      <w:r>
        <w:rPr>
          <w:rFonts w:ascii="Times New Roman" w:eastAsia="宋体" w:hAnsi="Times New Roman"/>
          <w:color w:val="000000"/>
          <w:sz w:val="20"/>
          <w:szCs w:val="20"/>
        </w:rPr>
        <w:t>o the possible impact of volatility in currency exchange rates on the results, including net sales and operating income, of Walmart and the Walmart International segment; statements under the caption “</w:t>
      </w:r>
      <w:hyperlink r:id="rId121" w:anchor="i5c815528a95c4409b9043de534639b9a_79" w:history="1">
        <w:r>
          <w:rPr>
            <w:rStyle w:val="a5"/>
            <w:rFonts w:ascii="Times New Roman" w:eastAsia="宋体" w:hAnsi="Times New Roman"/>
            <w:sz w:val="20"/>
            <w:szCs w:val="20"/>
          </w:rPr>
          <w:t>COVID-19 Update</w:t>
        </w:r>
      </w:hyperlink>
      <w:hyperlink r:id="rId122" w:anchor="i5c815528a95c4409b9043de534639b9a_79" w:history="1">
        <w:r>
          <w:rPr>
            <w:rStyle w:val="a5"/>
            <w:rFonts w:ascii="Times New Roman" w:eastAsia="宋体" w:hAnsi="Times New Roman"/>
            <w:sz w:val="20"/>
            <w:szCs w:val="20"/>
          </w:rPr>
          <w:t>s</w:t>
        </w:r>
      </w:hyperlink>
      <w:r>
        <w:rPr>
          <w:rFonts w:ascii="Times New Roman" w:eastAsia="宋体" w:hAnsi="Times New Roman"/>
          <w:color w:val="000000"/>
          <w:sz w:val="20"/>
          <w:szCs w:val="20"/>
        </w:rPr>
        <w:t>” regarding the continued uncertainty in our business and the global economy due to the duration and intensity of the COVID-19 pandemic; statements under the caption "</w:t>
      </w:r>
      <w:hyperlink r:id="rId123" w:anchor="i5c815528a95c4409b9043de534639b9a_85" w:history="1">
        <w:r>
          <w:rPr>
            <w:rStyle w:val="a5"/>
            <w:rFonts w:ascii="Times New Roman" w:eastAsia="宋体" w:hAnsi="Times New Roman"/>
            <w:sz w:val="20"/>
            <w:szCs w:val="20"/>
          </w:rPr>
          <w:t>Company Performance Metrics - Strong, Efficient Growth</w:t>
        </w:r>
      </w:hyperlink>
      <w:r>
        <w:rPr>
          <w:rFonts w:ascii="Times New Roman" w:eastAsia="宋体" w:hAnsi="Times New Roman"/>
          <w:color w:val="000000"/>
          <w:sz w:val="20"/>
          <w:szCs w:val="20"/>
        </w:rPr>
        <w:t>" regarding the focus of our investments and the impact of such investments; statements under the caption "</w:t>
      </w:r>
      <w:hyperlink r:id="rId124" w:anchor="i5c815528a95c4409b9043de534639b9a_91"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regarding our strategy and discipline for capital allocation; s</w:t>
      </w:r>
      <w:r>
        <w:rPr>
          <w:rFonts w:ascii="Times New Roman" w:eastAsia="宋体" w:hAnsi="Times New Roman"/>
          <w:color w:val="000000"/>
          <w:sz w:val="20"/>
          <w:szCs w:val="20"/>
        </w:rPr>
        <w:t>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caption "</w:t>
      </w:r>
      <w:hyperlink r:id="rId125" w:anchor="i5c815528a95c4409b9043de534639b9a_82"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and the "- </w:t>
      </w:r>
      <w:hyperlink r:id="rId126" w:anchor="i5c815528a95c4409b9043de534639b9a_94" w:history="1">
        <w:r>
          <w:rPr>
            <w:rStyle w:val="a5"/>
            <w:rFonts w:ascii="Times New Roman" w:eastAsia="宋体" w:hAnsi="Times New Roman"/>
            <w:sz w:val="20"/>
            <w:szCs w:val="20"/>
          </w:rPr>
          <w:t>Returns</w:t>
        </w:r>
      </w:hyperlink>
      <w:r>
        <w:rPr>
          <w:rFonts w:ascii="Times New Roman" w:eastAsia="宋体" w:hAnsi="Times New Roman"/>
          <w:color w:val="000000"/>
          <w:sz w:val="20"/>
          <w:szCs w:val="20"/>
        </w:rPr>
        <w:t xml:space="preserve">" sub-heading under that caption, regarding our belief that returns on capital will improve as we execute on our </w:t>
      </w:r>
      <w:r>
        <w:rPr>
          <w:rFonts w:ascii="Times New Roman" w:eastAsia="宋体" w:hAnsi="Times New Roman"/>
          <w:color w:val="000000"/>
          <w:sz w:val="20"/>
          <w:szCs w:val="20"/>
        </w:rPr>
        <w:t>strategic framework; statements under the caption "</w:t>
      </w:r>
      <w:hyperlink r:id="rId127" w:anchor="i5c815528a95c4409b9043de534639b9a_100" w:history="1">
        <w:r>
          <w:rPr>
            <w:rStyle w:val="a5"/>
            <w:rFonts w:ascii="Times New Roman" w:eastAsia="宋体" w:hAnsi="Times New Roman"/>
            <w:sz w:val="20"/>
            <w:szCs w:val="20"/>
          </w:rPr>
          <w:t>Results of Operations - Consolidated Results of Operat</w:t>
        </w:r>
        <w:r>
          <w:rPr>
            <w:rStyle w:val="a5"/>
            <w:rFonts w:ascii="Times New Roman" w:eastAsia="宋体" w:hAnsi="Times New Roman"/>
            <w:sz w:val="20"/>
            <w:szCs w:val="20"/>
          </w:rPr>
          <w:t>ions</w:t>
        </w:r>
      </w:hyperlink>
      <w:r>
        <w:rPr>
          <w:rFonts w:ascii="Times New Roman" w:eastAsia="宋体" w:hAnsi="Times New Roman"/>
          <w:color w:val="000000"/>
          <w:sz w:val="20"/>
          <w:szCs w:val="20"/>
        </w:rPr>
        <w:t>" regarding the possibility of fluctuations in Walmart's effective income tax rate from quarter to quarter, the factors that may cause those fluctuations and actual and potential impacts on our financial results and operations from the COVID-19 pand</w:t>
      </w:r>
      <w:r>
        <w:rPr>
          <w:rFonts w:ascii="Times New Roman" w:eastAsia="宋体" w:hAnsi="Times New Roman"/>
          <w:color w:val="000000"/>
          <w:sz w:val="20"/>
          <w:szCs w:val="20"/>
        </w:rPr>
        <w:t>emic; a statement under the caption "</w:t>
      </w:r>
      <w:hyperlink r:id="rId128" w:anchor="i5c815528a95c4409b9043de534639b9a_109" w:history="1">
        <w:r>
          <w:rPr>
            <w:rStyle w:val="a5"/>
            <w:rFonts w:ascii="Times New Roman" w:eastAsia="宋体" w:hAnsi="Times New Roman"/>
            <w:sz w:val="20"/>
            <w:szCs w:val="20"/>
          </w:rPr>
          <w:t>Results of Operations - Sam's Club Segment</w:t>
        </w:r>
      </w:hyperlink>
      <w:r>
        <w:rPr>
          <w:rFonts w:ascii="Times New Roman" w:eastAsia="宋体" w:hAnsi="Times New Roman"/>
          <w:color w:val="000000"/>
          <w:sz w:val="20"/>
          <w:szCs w:val="20"/>
        </w:rPr>
        <w:t>" relating to the possi</w:t>
      </w:r>
      <w:r>
        <w:rPr>
          <w:rFonts w:ascii="Times New Roman" w:eastAsia="宋体" w:hAnsi="Times New Roman"/>
          <w:color w:val="000000"/>
          <w:sz w:val="20"/>
          <w:szCs w:val="20"/>
        </w:rPr>
        <w:t>ble continuing impact of volatility in fuel prices on the future operating results of the Sam's Club segment; a statement under the caption "</w:t>
      </w:r>
      <w:hyperlink r:id="rId129" w:anchor="i5c815528a95c4409b9043de534639b9a_112"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that Walmart's sources of liquidity will be adequate to fund its operations, finance its global investment and expansion activities, pay dividends and fund share repurchase</w:t>
      </w:r>
      <w:r>
        <w:rPr>
          <w:rFonts w:ascii="Times New Roman" w:eastAsia="宋体" w:hAnsi="Times New Roman"/>
          <w:color w:val="000000"/>
          <w:sz w:val="20"/>
          <w:szCs w:val="20"/>
        </w:rPr>
        <w:t>s; statements under the caption "</w:t>
      </w:r>
      <w:hyperlink r:id="rId130" w:anchor="i5c815528a95c4409b9043de534639b9a_112" w:history="1">
        <w:r>
          <w:rPr>
            <w:rStyle w:val="a5"/>
            <w:rFonts w:ascii="Times New Roman" w:eastAsia="宋体" w:hAnsi="Times New Roman"/>
            <w:sz w:val="20"/>
            <w:szCs w:val="20"/>
          </w:rPr>
          <w:t>Liquidity and Capital Resources - Liquidity - Net Cash Provided by Opera</w:t>
        </w:r>
        <w:r>
          <w:rPr>
            <w:rStyle w:val="a5"/>
            <w:rFonts w:ascii="Times New Roman" w:eastAsia="宋体" w:hAnsi="Times New Roman"/>
            <w:sz w:val="20"/>
            <w:szCs w:val="20"/>
          </w:rPr>
          <w:t>ting Activities - Cash Equivalents and Working Capital</w:t>
        </w:r>
      </w:hyperlink>
      <w:hyperlink r:id="rId131" w:anchor="i5c815528a95c4409b9043de534639b9a_112" w:history="1">
        <w:r>
          <w:rPr>
            <w:rStyle w:val="a5"/>
            <w:rFonts w:ascii="Times New Roman" w:eastAsia="宋体" w:hAnsi="Times New Roman"/>
            <w:sz w:val="20"/>
            <w:szCs w:val="20"/>
          </w:rPr>
          <w:t xml:space="preserve"> Deficit</w:t>
        </w:r>
      </w:hyperlink>
      <w:r>
        <w:rPr>
          <w:rFonts w:ascii="Times New Roman" w:eastAsia="宋体" w:hAnsi="Times New Roman"/>
          <w:color w:val="000000"/>
          <w:sz w:val="20"/>
          <w:szCs w:val="20"/>
        </w:rPr>
        <w:t xml:space="preserve">" regarding management's expectation </w:t>
      </w:r>
      <w:r>
        <w:rPr>
          <w:rFonts w:ascii="Times New Roman" w:eastAsia="宋体" w:hAnsi="Times New Roman"/>
          <w:color w:val="000000"/>
          <w:sz w:val="20"/>
          <w:szCs w:val="20"/>
        </w:rPr>
        <w:t>that cash in market will be utilized to fund Flipkart's operations; a statement under the caption "</w:t>
      </w:r>
      <w:hyperlink r:id="rId132" w:anchor="i5c815528a95c4409b9043de534639b9a_112" w:history="1">
        <w:r>
          <w:rPr>
            <w:rStyle w:val="a5"/>
            <w:rFonts w:ascii="Times New Roman" w:eastAsia="宋体" w:hAnsi="Times New Roman"/>
            <w:sz w:val="20"/>
            <w:szCs w:val="20"/>
          </w:rPr>
          <w:t>Liquid</w:t>
        </w:r>
        <w:r>
          <w:rPr>
            <w:rStyle w:val="a5"/>
            <w:rFonts w:ascii="Times New Roman" w:eastAsia="宋体" w:hAnsi="Times New Roman"/>
            <w:sz w:val="20"/>
            <w:szCs w:val="20"/>
          </w:rPr>
          <w:t>ity and Capital Resources Liquidity - Net Cash Used in Financing Activities - Dividends</w:t>
        </w:r>
      </w:hyperlink>
      <w:r>
        <w:rPr>
          <w:rFonts w:ascii="Times New Roman" w:eastAsia="宋体" w:hAnsi="Times New Roman"/>
          <w:color w:val="000000"/>
          <w:sz w:val="20"/>
          <w:szCs w:val="20"/>
        </w:rPr>
        <w:t>" regarding the payment of dividends in fiscal 2020; a statement under the caption "</w:t>
      </w:r>
      <w:hyperlink r:id="rId133" w:anchor="i5c815528a95c4409b9043de534639b9a_112" w:history="1">
        <w:r>
          <w:rPr>
            <w:rStyle w:val="a5"/>
            <w:rFonts w:ascii="Times New Roman" w:eastAsia="宋体" w:hAnsi="Times New Roman"/>
            <w:sz w:val="20"/>
            <w:szCs w:val="20"/>
          </w:rPr>
          <w:t>Liquidity and Capital Resources Liquidity - Net Cash Used in Financing Activities - Company Share Repurchase Program</w:t>
        </w:r>
      </w:hyperlink>
      <w:r>
        <w:rPr>
          <w:rFonts w:ascii="Times New Roman" w:eastAsia="宋体" w:hAnsi="Times New Roman"/>
          <w:color w:val="000000"/>
          <w:sz w:val="20"/>
          <w:szCs w:val="20"/>
        </w:rPr>
        <w:t>" regarding funding of the ongoing share repurchase program; stateme</w:t>
      </w:r>
      <w:r>
        <w:rPr>
          <w:rFonts w:ascii="Times New Roman" w:eastAsia="宋体" w:hAnsi="Times New Roman"/>
          <w:color w:val="000000"/>
          <w:sz w:val="20"/>
          <w:szCs w:val="20"/>
        </w:rPr>
        <w:t>nts under the caption "</w:t>
      </w:r>
      <w:hyperlink r:id="rId134" w:anchor="i5c815528a95c4409b9043de534639b9a_112"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management's exp</w:t>
      </w:r>
      <w:r>
        <w:rPr>
          <w:rFonts w:ascii="Times New Roman" w:eastAsia="宋体" w:hAnsi="Times New Roman"/>
          <w:color w:val="000000"/>
          <w:sz w:val="20"/>
          <w:szCs w:val="20"/>
        </w:rPr>
        <w:t>ectations regarding the Company's cash flows from operations, current cash position and access to capital markets continuing to be sufficient to meet its anticipated operating cash needs, the Company's commercial paper and long-term debt ratings continuing</w:t>
      </w:r>
      <w:r>
        <w:rPr>
          <w:rFonts w:ascii="Times New Roman" w:eastAsia="宋体" w:hAnsi="Times New Roman"/>
          <w:color w:val="000000"/>
          <w:sz w:val="20"/>
          <w:szCs w:val="20"/>
        </w:rPr>
        <w:t xml:space="preserve"> to enable it to refinance its debts at favorable rates, factors that could affect its credit ratings, and the effect that lower credit ratings would have on its access to capital and credit markets and borrowing costs; and statements under the caption "</w:t>
      </w:r>
      <w:hyperlink r:id="rId135" w:anchor="i5c815528a95c4409b9043de534639b9a_115"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liabilities of the Company that may or may not result in the inc</w:t>
      </w:r>
      <w:r>
        <w:rPr>
          <w:rFonts w:ascii="Times New Roman" w:eastAsia="宋体" w:hAnsi="Times New Roman"/>
          <w:color w:val="000000"/>
          <w:sz w:val="20"/>
          <w:szCs w:val="20"/>
        </w:rPr>
        <w:t>urrence of a material liability by the Company;</w:t>
      </w:r>
    </w:p>
    <w:p w14:paraId="7E785FD9" w14:textId="77777777" w:rsidR="00A82082" w:rsidRDefault="00E946F9">
      <w:pPr>
        <w:spacing w:before="100"/>
        <w:ind w:hanging="360"/>
      </w:pPr>
      <w:r>
        <w:rPr>
          <w:rFonts w:ascii="Times New Roman" w:eastAsia="宋体" w:hAnsi="Times New Roman"/>
          <w:color w:val="000000"/>
          <w:sz w:val="20"/>
          <w:szCs w:val="20"/>
        </w:rPr>
        <w:t>•in Part I, Item 4 "</w:t>
      </w:r>
      <w:hyperlink r:id="rId136" w:anchor="i5c815528a95c4409b9043de534639b9a_121"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the stat</w:t>
      </w:r>
      <w:r>
        <w:rPr>
          <w:rFonts w:ascii="Times New Roman" w:eastAsia="宋体" w:hAnsi="Times New Roman"/>
          <w:color w:val="000000"/>
          <w:sz w:val="20"/>
          <w:szCs w:val="20"/>
        </w:rPr>
        <w:t xml:space="preserve">ements regarding the effect of changes to systems and processes on our internal control over financial reporting; </w:t>
      </w:r>
    </w:p>
    <w:p w14:paraId="7E785FDA" w14:textId="77777777" w:rsidR="00A82082" w:rsidRDefault="00E946F9">
      <w:pPr>
        <w:spacing w:before="100"/>
        <w:ind w:hanging="360"/>
      </w:pPr>
      <w:r>
        <w:rPr>
          <w:rFonts w:ascii="Times New Roman" w:eastAsia="宋体" w:hAnsi="Times New Roman"/>
          <w:color w:val="000000"/>
          <w:sz w:val="20"/>
          <w:szCs w:val="20"/>
        </w:rPr>
        <w:t>•statements in Part II, Item 1 "</w:t>
      </w:r>
      <w:hyperlink r:id="rId137" w:anchor="i5c815528a95c4409b9043de534639b9a_127"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regarding the effect that possible losses or the range of possible losses that might be incurred in connection with the legal proceedings and other matters discussed therein may have on our fi</w:t>
      </w:r>
      <w:r>
        <w:rPr>
          <w:rFonts w:ascii="Times New Roman" w:eastAsia="宋体" w:hAnsi="Times New Roman"/>
          <w:color w:val="000000"/>
          <w:sz w:val="20"/>
          <w:szCs w:val="20"/>
        </w:rPr>
        <w:t xml:space="preserve">nancial condition or results of operations; and </w:t>
      </w:r>
    </w:p>
    <w:p w14:paraId="7E785FDB" w14:textId="77777777" w:rsidR="00A82082" w:rsidRDefault="00E946F9">
      <w:pPr>
        <w:spacing w:before="100"/>
        <w:ind w:hanging="360"/>
      </w:pPr>
      <w:r>
        <w:rPr>
          <w:rFonts w:ascii="Times New Roman" w:eastAsia="宋体" w:hAnsi="Times New Roman"/>
          <w:color w:val="000000"/>
          <w:sz w:val="20"/>
          <w:szCs w:val="20"/>
        </w:rPr>
        <w:t>•statements in Part II, Item 1A. "</w:t>
      </w:r>
      <w:hyperlink r:id="rId138" w:anchor="i5c815528a95c4409b9043de534639b9a_130" w:history="1">
        <w:r>
          <w:rPr>
            <w:rStyle w:val="a5"/>
            <w:rFonts w:ascii="Times New Roman" w:eastAsia="宋体" w:hAnsi="Times New Roman"/>
            <w:sz w:val="20"/>
            <w:szCs w:val="20"/>
          </w:rPr>
          <w:t>Risk Factors</w:t>
        </w:r>
      </w:hyperlink>
      <w:r>
        <w:rPr>
          <w:rFonts w:ascii="Times New Roman" w:eastAsia="宋体" w:hAnsi="Times New Roman"/>
          <w:color w:val="000000"/>
          <w:sz w:val="20"/>
          <w:szCs w:val="20"/>
        </w:rPr>
        <w:t>" regar</w:t>
      </w:r>
      <w:r>
        <w:rPr>
          <w:rFonts w:ascii="Times New Roman" w:eastAsia="宋体" w:hAnsi="Times New Roman"/>
          <w:color w:val="000000"/>
          <w:sz w:val="20"/>
          <w:szCs w:val="20"/>
        </w:rPr>
        <w:t>ding the uncertainty of the duration and scope of the COVID-19 pandemic and its potential impact on our business, results of operations, financial condition or liquidity in the future and its effect on other risk factors disclosed in Item 1A. “Risk Factors</w:t>
      </w:r>
      <w:r>
        <w:rPr>
          <w:rFonts w:ascii="Times New Roman" w:eastAsia="宋体" w:hAnsi="Times New Roman"/>
          <w:color w:val="000000"/>
          <w:sz w:val="20"/>
          <w:szCs w:val="20"/>
        </w:rPr>
        <w:t>” of our Annual Report on Form 10-K.</w:t>
      </w:r>
    </w:p>
    <w:p w14:paraId="7E785FDC" w14:textId="77777777" w:rsidR="00A82082" w:rsidRDefault="00E946F9">
      <w:pPr>
        <w:jc w:val="center"/>
      </w:pPr>
      <w:r>
        <w:rPr>
          <w:rFonts w:ascii="Times New Roman" w:eastAsia="宋体" w:hAnsi="Times New Roman"/>
          <w:color w:val="000000"/>
          <w:sz w:val="20"/>
          <w:szCs w:val="20"/>
        </w:rPr>
        <w:t>31</w:t>
      </w:r>
    </w:p>
    <w:p w14:paraId="7E785FDD" w14:textId="77777777" w:rsidR="00A82082" w:rsidRDefault="00E946F9">
      <w:r>
        <w:pict w14:anchorId="7E786167">
          <v:rect id="_x0000_i1055" style="width:415.3pt;height:1.5pt" o:hralign="center" o:hrstd="t" o:hr="t" fillcolor="#a0a0a0" stroked="f"/>
        </w:pict>
      </w:r>
    </w:p>
    <w:p w14:paraId="7E785FDE" w14:textId="77777777" w:rsidR="00A82082" w:rsidRDefault="00E946F9">
      <w:hyperlink r:id="rId139" w:anchor="i5c815528a95c4409b9043de534639b9a_7" w:history="1">
        <w:r>
          <w:rPr>
            <w:rStyle w:val="a5"/>
            <w:rFonts w:ascii="Times New Roman" w:eastAsia="宋体" w:hAnsi="Times New Roman"/>
            <w:sz w:val="20"/>
            <w:szCs w:val="20"/>
          </w:rPr>
          <w:t>Table of C</w:t>
        </w:r>
      </w:hyperlink>
      <w:hyperlink r:id="rId140" w:anchor="i5c815528a95c4409b9043de534639b9a_7" w:history="1">
        <w:r>
          <w:rPr>
            <w:rStyle w:val="a5"/>
            <w:rFonts w:ascii="Times New Roman" w:eastAsia="宋体" w:hAnsi="Times New Roman"/>
            <w:sz w:val="20"/>
            <w:szCs w:val="20"/>
          </w:rPr>
          <w:t>ontents</w:t>
        </w:r>
      </w:hyperlink>
    </w:p>
    <w:p w14:paraId="7E785FDF" w14:textId="77777777" w:rsidR="00A82082" w:rsidRDefault="00E946F9">
      <w:pPr>
        <w:spacing w:before="180"/>
      </w:pPr>
      <w:r>
        <w:rPr>
          <w:rFonts w:ascii="Times New Roman" w:eastAsia="宋体" w:hAnsi="Times New Roman"/>
          <w:b/>
          <w:bCs/>
          <w:i/>
          <w:iCs/>
          <w:color w:val="000000"/>
          <w:sz w:val="20"/>
          <w:szCs w:val="20"/>
        </w:rPr>
        <w:t>Risks, Factors and Uncertainties Regarding Our Business</w:t>
      </w:r>
    </w:p>
    <w:p w14:paraId="7E785FE0" w14:textId="77777777" w:rsidR="00A82082" w:rsidRDefault="00E946F9">
      <w:pPr>
        <w:spacing w:before="100"/>
      </w:pPr>
      <w:r>
        <w:rPr>
          <w:rFonts w:ascii="Times New Roman" w:eastAsia="宋体" w:hAnsi="Times New Roman"/>
          <w:color w:val="000000"/>
          <w:sz w:val="20"/>
          <w:szCs w:val="20"/>
        </w:rPr>
        <w:t>These forward-looking statements are subject to risks, uncertainties and other factors, domestically and internationally, including:</w:t>
      </w:r>
    </w:p>
    <w:p w14:paraId="7E785FE1" w14:textId="77777777" w:rsidR="00A82082" w:rsidRDefault="00E946F9">
      <w:pPr>
        <w:spacing w:before="100" w:after="120"/>
        <w:ind w:firstLine="360"/>
        <w:jc w:val="both"/>
      </w:pPr>
      <w:r>
        <w:rPr>
          <w:rFonts w:ascii="Times New Roman" w:eastAsia="宋体" w:hAnsi="Times New Roman"/>
          <w:b/>
          <w:bCs/>
          <w:color w:val="000000"/>
          <w:sz w:val="20"/>
          <w:szCs w:val="20"/>
        </w:rPr>
        <w:t>E</w:t>
      </w:r>
      <w:r>
        <w:rPr>
          <w:rFonts w:ascii="Times New Roman" w:eastAsia="宋体" w:hAnsi="Times New Roman"/>
          <w:b/>
          <w:bCs/>
          <w:color w:val="000000"/>
          <w:sz w:val="20"/>
          <w:szCs w:val="20"/>
        </w:rPr>
        <w:t>conomic Factors</w:t>
      </w:r>
    </w:p>
    <w:p w14:paraId="7E785FE2" w14:textId="77777777" w:rsidR="00A82082" w:rsidRDefault="00E946F9">
      <w:pPr>
        <w:ind w:hanging="360"/>
      </w:pPr>
      <w:r>
        <w:rPr>
          <w:rFonts w:ascii="Times New Roman" w:eastAsia="宋体" w:hAnsi="Times New Roman"/>
          <w:color w:val="000000"/>
          <w:sz w:val="20"/>
          <w:szCs w:val="20"/>
        </w:rPr>
        <w:t>•economic, geo-political, capital markets and business conditions, trends and events around the world and in the markets in which Walmart operates;</w:t>
      </w:r>
    </w:p>
    <w:p w14:paraId="7E785FE3" w14:textId="77777777" w:rsidR="00A82082" w:rsidRDefault="00E946F9">
      <w:pPr>
        <w:ind w:hanging="360"/>
      </w:pPr>
      <w:r>
        <w:rPr>
          <w:rFonts w:ascii="Times New Roman" w:eastAsia="宋体" w:hAnsi="Times New Roman"/>
          <w:color w:val="000000"/>
          <w:sz w:val="20"/>
          <w:szCs w:val="20"/>
        </w:rPr>
        <w:t>•currency exchange rate fluctuations;</w:t>
      </w:r>
    </w:p>
    <w:p w14:paraId="7E785FE4" w14:textId="77777777" w:rsidR="00A82082" w:rsidRDefault="00E946F9">
      <w:pPr>
        <w:ind w:hanging="360"/>
      </w:pPr>
      <w:r>
        <w:rPr>
          <w:rFonts w:ascii="Times New Roman" w:eastAsia="宋体" w:hAnsi="Times New Roman"/>
          <w:color w:val="000000"/>
          <w:sz w:val="20"/>
          <w:szCs w:val="20"/>
        </w:rPr>
        <w:t>•changes in market rates of interest;</w:t>
      </w:r>
    </w:p>
    <w:p w14:paraId="7E785FE5" w14:textId="77777777" w:rsidR="00A82082" w:rsidRDefault="00E946F9">
      <w:pPr>
        <w:ind w:hanging="360"/>
      </w:pPr>
      <w:r>
        <w:rPr>
          <w:rFonts w:ascii="Times New Roman" w:eastAsia="宋体" w:hAnsi="Times New Roman"/>
          <w:color w:val="000000"/>
          <w:sz w:val="20"/>
          <w:szCs w:val="20"/>
        </w:rPr>
        <w:t>•changes in mark</w:t>
      </w:r>
      <w:r>
        <w:rPr>
          <w:rFonts w:ascii="Times New Roman" w:eastAsia="宋体" w:hAnsi="Times New Roman"/>
          <w:color w:val="000000"/>
          <w:sz w:val="20"/>
          <w:szCs w:val="20"/>
        </w:rPr>
        <w:t>et levels of wages;</w:t>
      </w:r>
    </w:p>
    <w:p w14:paraId="7E785FE6" w14:textId="77777777" w:rsidR="00A82082" w:rsidRDefault="00E946F9">
      <w:pPr>
        <w:ind w:hanging="360"/>
      </w:pPr>
      <w:r>
        <w:rPr>
          <w:rFonts w:ascii="Times New Roman" w:eastAsia="宋体" w:hAnsi="Times New Roman"/>
          <w:color w:val="000000"/>
          <w:sz w:val="20"/>
          <w:szCs w:val="20"/>
        </w:rPr>
        <w:t>•changes in the size of various markets, including eCommerce markets;</w:t>
      </w:r>
    </w:p>
    <w:p w14:paraId="7E785FE7" w14:textId="77777777" w:rsidR="00A82082" w:rsidRDefault="00E946F9">
      <w:pPr>
        <w:ind w:hanging="360"/>
      </w:pPr>
      <w:r>
        <w:rPr>
          <w:rFonts w:ascii="Times New Roman" w:eastAsia="宋体" w:hAnsi="Times New Roman"/>
          <w:color w:val="000000"/>
          <w:sz w:val="20"/>
          <w:szCs w:val="20"/>
        </w:rPr>
        <w:t>•unemployment levels;</w:t>
      </w:r>
    </w:p>
    <w:p w14:paraId="7E785FE8" w14:textId="77777777" w:rsidR="00A82082" w:rsidRDefault="00E946F9">
      <w:pPr>
        <w:ind w:hanging="360"/>
      </w:pPr>
      <w:r>
        <w:rPr>
          <w:rFonts w:ascii="Times New Roman" w:eastAsia="宋体" w:hAnsi="Times New Roman"/>
          <w:color w:val="000000"/>
          <w:sz w:val="20"/>
          <w:szCs w:val="20"/>
        </w:rPr>
        <w:t>•inflation or deflation, generally and in certain product categories;</w:t>
      </w:r>
    </w:p>
    <w:p w14:paraId="7E785FE9" w14:textId="77777777" w:rsidR="00A82082" w:rsidRDefault="00E946F9">
      <w:pPr>
        <w:ind w:hanging="360"/>
      </w:pPr>
      <w:r>
        <w:rPr>
          <w:rFonts w:ascii="Times New Roman" w:eastAsia="宋体" w:hAnsi="Times New Roman"/>
          <w:color w:val="000000"/>
          <w:sz w:val="20"/>
          <w:szCs w:val="20"/>
        </w:rPr>
        <w:t>•transportation, energy and utility costs;</w:t>
      </w:r>
    </w:p>
    <w:p w14:paraId="7E785FEA" w14:textId="77777777" w:rsidR="00A82082" w:rsidRDefault="00E946F9">
      <w:pPr>
        <w:ind w:hanging="360"/>
      </w:pPr>
      <w:r>
        <w:rPr>
          <w:rFonts w:ascii="Times New Roman" w:eastAsia="宋体" w:hAnsi="Times New Roman"/>
          <w:color w:val="000000"/>
          <w:sz w:val="20"/>
          <w:szCs w:val="20"/>
        </w:rPr>
        <w:t>•commodity prices, including th</w:t>
      </w:r>
      <w:r>
        <w:rPr>
          <w:rFonts w:ascii="Times New Roman" w:eastAsia="宋体" w:hAnsi="Times New Roman"/>
          <w:color w:val="000000"/>
          <w:sz w:val="20"/>
          <w:szCs w:val="20"/>
        </w:rPr>
        <w:t>e prices of oil and natural gas;</w:t>
      </w:r>
    </w:p>
    <w:p w14:paraId="7E785FEB" w14:textId="77777777" w:rsidR="00A82082" w:rsidRDefault="00E946F9">
      <w:pPr>
        <w:ind w:hanging="360"/>
        <w:jc w:val="both"/>
      </w:pPr>
      <w:r>
        <w:rPr>
          <w:rFonts w:ascii="Times New Roman" w:eastAsia="宋体" w:hAnsi="Times New Roman"/>
          <w:color w:val="000000"/>
          <w:sz w:val="20"/>
          <w:szCs w:val="20"/>
        </w:rPr>
        <w:t>•consumer confidence, disposable income, credit availability, spending levels, shopping patterns, debt levels, and demand for certain merchandise;</w:t>
      </w:r>
    </w:p>
    <w:p w14:paraId="7E785FEC" w14:textId="77777777" w:rsidR="00A82082" w:rsidRDefault="00E946F9">
      <w:pPr>
        <w:ind w:hanging="360"/>
        <w:jc w:val="both"/>
      </w:pPr>
      <w:r>
        <w:rPr>
          <w:rFonts w:ascii="Times New Roman" w:eastAsia="宋体" w:hAnsi="Times New Roman"/>
          <w:color w:val="000000"/>
          <w:sz w:val="20"/>
          <w:szCs w:val="20"/>
        </w:rPr>
        <w:t>•trends in consumer shopping habits around the world and in the markets in w</w:t>
      </w:r>
      <w:r>
        <w:rPr>
          <w:rFonts w:ascii="Times New Roman" w:eastAsia="宋体" w:hAnsi="Times New Roman"/>
          <w:color w:val="000000"/>
          <w:sz w:val="20"/>
          <w:szCs w:val="20"/>
        </w:rPr>
        <w:t>hich Walmart operates;</w:t>
      </w:r>
    </w:p>
    <w:p w14:paraId="7E785FED" w14:textId="77777777" w:rsidR="00A82082" w:rsidRDefault="00E946F9">
      <w:pPr>
        <w:ind w:hanging="360"/>
        <w:jc w:val="both"/>
      </w:pPr>
      <w:r>
        <w:rPr>
          <w:rFonts w:ascii="Times New Roman" w:eastAsia="宋体" w:hAnsi="Times New Roman"/>
          <w:color w:val="000000"/>
          <w:sz w:val="20"/>
          <w:szCs w:val="20"/>
        </w:rPr>
        <w:t>•consumer enrollment in health and drug insurance programs and such programs' reimbursement rates and drug formularies; and</w:t>
      </w:r>
    </w:p>
    <w:p w14:paraId="7E785FEE" w14:textId="77777777" w:rsidR="00A82082" w:rsidRDefault="00E946F9">
      <w:pPr>
        <w:ind w:hanging="360"/>
        <w:jc w:val="both"/>
      </w:pPr>
      <w:r>
        <w:rPr>
          <w:rFonts w:ascii="Times New Roman" w:eastAsia="宋体" w:hAnsi="Times New Roman"/>
          <w:color w:val="000000"/>
          <w:sz w:val="20"/>
          <w:szCs w:val="20"/>
        </w:rPr>
        <w:t>•initiatives of competitors, competitors' entry into and expansion in Walmart's markets, and competitive pres</w:t>
      </w:r>
      <w:r>
        <w:rPr>
          <w:rFonts w:ascii="Times New Roman" w:eastAsia="宋体" w:hAnsi="Times New Roman"/>
          <w:color w:val="000000"/>
          <w:sz w:val="20"/>
          <w:szCs w:val="20"/>
        </w:rPr>
        <w:t>sures.</w:t>
      </w:r>
    </w:p>
    <w:p w14:paraId="7E785FEF" w14:textId="77777777" w:rsidR="00A82082" w:rsidRDefault="00E946F9">
      <w:pPr>
        <w:spacing w:before="100" w:after="120"/>
        <w:ind w:firstLine="360"/>
        <w:jc w:val="both"/>
      </w:pPr>
      <w:r>
        <w:rPr>
          <w:rFonts w:ascii="Times New Roman" w:eastAsia="宋体" w:hAnsi="Times New Roman"/>
          <w:b/>
          <w:bCs/>
          <w:color w:val="000000"/>
          <w:sz w:val="20"/>
          <w:szCs w:val="20"/>
        </w:rPr>
        <w:t>Operating Factors</w:t>
      </w:r>
    </w:p>
    <w:p w14:paraId="7E785FF0" w14:textId="77777777" w:rsidR="00A82082" w:rsidRDefault="00E946F9">
      <w:pPr>
        <w:ind w:hanging="360"/>
      </w:pPr>
      <w:r>
        <w:rPr>
          <w:rFonts w:ascii="Times New Roman" w:eastAsia="宋体" w:hAnsi="Times New Roman"/>
          <w:color w:val="000000"/>
          <w:sz w:val="20"/>
          <w:szCs w:val="20"/>
        </w:rPr>
        <w:t>•the amount of Walmart's net sales and operating expenses denominated in U.S. dollar and various foreign currencies;</w:t>
      </w:r>
    </w:p>
    <w:p w14:paraId="7E785FF1" w14:textId="77777777" w:rsidR="00A82082" w:rsidRDefault="00E946F9">
      <w:pPr>
        <w:ind w:hanging="360"/>
      </w:pPr>
      <w:r>
        <w:rPr>
          <w:rFonts w:ascii="Times New Roman" w:eastAsia="宋体" w:hAnsi="Times New Roman"/>
          <w:color w:val="000000"/>
          <w:sz w:val="20"/>
          <w:szCs w:val="20"/>
        </w:rPr>
        <w:t xml:space="preserve">•the financial performance of Walmart and each of its segments, including the amount of Walmart's cash flow </w:t>
      </w:r>
      <w:r>
        <w:rPr>
          <w:rFonts w:ascii="Times New Roman" w:eastAsia="宋体" w:hAnsi="Times New Roman"/>
          <w:color w:val="000000"/>
          <w:sz w:val="20"/>
          <w:szCs w:val="20"/>
        </w:rPr>
        <w:t>during various periods;</w:t>
      </w:r>
    </w:p>
    <w:p w14:paraId="7E785FF2" w14:textId="77777777" w:rsidR="00A82082" w:rsidRDefault="00E946F9">
      <w:pPr>
        <w:ind w:hanging="360"/>
      </w:pPr>
      <w:r>
        <w:rPr>
          <w:rFonts w:ascii="Times New Roman" w:eastAsia="宋体" w:hAnsi="Times New Roman"/>
          <w:color w:val="000000"/>
          <w:sz w:val="20"/>
          <w:szCs w:val="20"/>
        </w:rPr>
        <w:t>•customer transaction and average ticket in Walmart's stores and clubs and on its eCommerce platforms;</w:t>
      </w:r>
    </w:p>
    <w:p w14:paraId="7E785FF3" w14:textId="77777777" w:rsidR="00A82082" w:rsidRDefault="00E946F9">
      <w:pPr>
        <w:ind w:hanging="360"/>
      </w:pPr>
      <w:r>
        <w:rPr>
          <w:rFonts w:ascii="Times New Roman" w:eastAsia="宋体" w:hAnsi="Times New Roman"/>
          <w:color w:val="000000"/>
          <w:sz w:val="20"/>
          <w:szCs w:val="20"/>
        </w:rPr>
        <w:t>•the mix of merchandise Walmart sells and its customers purchase;</w:t>
      </w:r>
    </w:p>
    <w:p w14:paraId="7E785FF4" w14:textId="77777777" w:rsidR="00A82082" w:rsidRDefault="00E946F9">
      <w:pPr>
        <w:ind w:hanging="360"/>
      </w:pPr>
      <w:r>
        <w:rPr>
          <w:rFonts w:ascii="Times New Roman" w:eastAsia="宋体" w:hAnsi="Times New Roman"/>
          <w:color w:val="000000"/>
          <w:sz w:val="20"/>
          <w:szCs w:val="20"/>
        </w:rPr>
        <w:t>•the availability of goods from suppliers and the cost of goods</w:t>
      </w:r>
      <w:r>
        <w:rPr>
          <w:rFonts w:ascii="Times New Roman" w:eastAsia="宋体" w:hAnsi="Times New Roman"/>
          <w:color w:val="000000"/>
          <w:sz w:val="20"/>
          <w:szCs w:val="20"/>
        </w:rPr>
        <w:t xml:space="preserve"> acquired from suppliers;</w:t>
      </w:r>
    </w:p>
    <w:p w14:paraId="7E785FF5" w14:textId="77777777" w:rsidR="00A82082" w:rsidRDefault="00E946F9">
      <w:pPr>
        <w:ind w:hanging="360"/>
      </w:pPr>
      <w:r>
        <w:rPr>
          <w:rFonts w:ascii="Times New Roman" w:eastAsia="宋体" w:hAnsi="Times New Roman"/>
          <w:color w:val="000000"/>
          <w:sz w:val="20"/>
          <w:szCs w:val="20"/>
        </w:rPr>
        <w:t>•the effectiveness of the implementation and operation of Walmart's strategies, plans, programs and initiatives;</w:t>
      </w:r>
    </w:p>
    <w:p w14:paraId="7E785FF6" w14:textId="77777777" w:rsidR="00A82082" w:rsidRDefault="00E946F9">
      <w:pPr>
        <w:ind w:hanging="360"/>
      </w:pPr>
      <w:r>
        <w:rPr>
          <w:rFonts w:ascii="Times New Roman" w:eastAsia="宋体" w:hAnsi="Times New Roman"/>
          <w:color w:val="000000"/>
          <w:sz w:val="20"/>
          <w:szCs w:val="20"/>
        </w:rPr>
        <w:t>•COVID-19 related challenges, including reduced customer transaction and ticket, reduced store hours, shifts in deman</w:t>
      </w:r>
      <w:r>
        <w:rPr>
          <w:rFonts w:ascii="Times New Roman" w:eastAsia="宋体" w:hAnsi="Times New Roman"/>
          <w:color w:val="000000"/>
          <w:sz w:val="20"/>
          <w:szCs w:val="20"/>
        </w:rPr>
        <w:t>d from discretionary products, supply chain disruption and the availability and efficacy of a vaccine;</w:t>
      </w:r>
    </w:p>
    <w:p w14:paraId="7E785FF7" w14:textId="77777777" w:rsidR="00A82082" w:rsidRDefault="00E946F9">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7E785FF8" w14:textId="77777777" w:rsidR="00A82082" w:rsidRDefault="00E946F9">
      <w:pPr>
        <w:ind w:hanging="360"/>
      </w:pPr>
      <w:r>
        <w:rPr>
          <w:rFonts w:ascii="Times New Roman" w:eastAsia="宋体" w:hAnsi="Times New Roman"/>
          <w:color w:val="000000"/>
          <w:sz w:val="20"/>
          <w:szCs w:val="20"/>
        </w:rPr>
        <w:t>•Walmart's ability to successfully integrate acquired b</w:t>
      </w:r>
      <w:r>
        <w:rPr>
          <w:rFonts w:ascii="Times New Roman" w:eastAsia="宋体" w:hAnsi="Times New Roman"/>
          <w:color w:val="000000"/>
          <w:sz w:val="20"/>
          <w:szCs w:val="20"/>
        </w:rPr>
        <w:t>usinesses, including within the eCommerce space;</w:t>
      </w:r>
    </w:p>
    <w:p w14:paraId="7E785FF9" w14:textId="77777777" w:rsidR="00A82082" w:rsidRDefault="00E946F9">
      <w:pPr>
        <w:ind w:hanging="360"/>
      </w:pPr>
      <w:r>
        <w:rPr>
          <w:rFonts w:ascii="Times New Roman" w:eastAsia="宋体" w:hAnsi="Times New Roman"/>
          <w:color w:val="000000"/>
          <w:sz w:val="20"/>
          <w:szCs w:val="20"/>
        </w:rPr>
        <w:t>•unexpected changes in Walmart's objectives and plans;</w:t>
      </w:r>
    </w:p>
    <w:p w14:paraId="7E785FFA" w14:textId="77777777" w:rsidR="00A82082" w:rsidRDefault="00E946F9">
      <w:pPr>
        <w:ind w:hanging="360"/>
      </w:pPr>
      <w:r>
        <w:rPr>
          <w:rFonts w:ascii="Times New Roman" w:eastAsia="宋体" w:hAnsi="Times New Roman"/>
          <w:color w:val="000000"/>
          <w:sz w:val="20"/>
          <w:szCs w:val="20"/>
        </w:rPr>
        <w:t>•the amount of shrinkage Walmart experiences;</w:t>
      </w:r>
    </w:p>
    <w:p w14:paraId="7E785FFB" w14:textId="77777777" w:rsidR="00A82082" w:rsidRDefault="00E946F9">
      <w:pPr>
        <w:ind w:hanging="360"/>
      </w:pPr>
      <w:r>
        <w:rPr>
          <w:rFonts w:ascii="Times New Roman" w:eastAsia="宋体" w:hAnsi="Times New Roman"/>
          <w:color w:val="000000"/>
          <w:sz w:val="20"/>
          <w:szCs w:val="20"/>
        </w:rPr>
        <w:t>•consumer acceptance of and response to Walmart's stores and clubs, eCommerce platforms, programs, merchan</w:t>
      </w:r>
      <w:r>
        <w:rPr>
          <w:rFonts w:ascii="Times New Roman" w:eastAsia="宋体" w:hAnsi="Times New Roman"/>
          <w:color w:val="000000"/>
          <w:sz w:val="20"/>
          <w:szCs w:val="20"/>
        </w:rPr>
        <w:t>dise offerings and delivery methods;</w:t>
      </w:r>
    </w:p>
    <w:p w14:paraId="7E785FFC" w14:textId="77777777" w:rsidR="00A82082" w:rsidRDefault="00E946F9">
      <w:pPr>
        <w:ind w:hanging="360"/>
      </w:pPr>
      <w:r>
        <w:rPr>
          <w:rFonts w:ascii="Times New Roman" w:eastAsia="宋体" w:hAnsi="Times New Roman"/>
          <w:color w:val="000000"/>
          <w:sz w:val="20"/>
          <w:szCs w:val="20"/>
        </w:rPr>
        <w:t>•Walmart's gross profit margins, including pharmacy margins and margins of other product categories;</w:t>
      </w:r>
    </w:p>
    <w:p w14:paraId="7E785FFD" w14:textId="77777777" w:rsidR="00A82082" w:rsidRDefault="00E946F9">
      <w:pPr>
        <w:ind w:hanging="360"/>
      </w:pPr>
      <w:r>
        <w:rPr>
          <w:rFonts w:ascii="Times New Roman" w:eastAsia="宋体" w:hAnsi="Times New Roman"/>
          <w:color w:val="000000"/>
          <w:sz w:val="20"/>
          <w:szCs w:val="20"/>
        </w:rPr>
        <w:t>•the selling prices of gasoline and diesel fuel;</w:t>
      </w:r>
    </w:p>
    <w:p w14:paraId="7E785FFE" w14:textId="77777777" w:rsidR="00A82082" w:rsidRDefault="00E946F9">
      <w:pPr>
        <w:ind w:hanging="360"/>
      </w:pPr>
      <w:r>
        <w:rPr>
          <w:rFonts w:ascii="Times New Roman" w:eastAsia="宋体" w:hAnsi="Times New Roman"/>
          <w:color w:val="000000"/>
          <w:sz w:val="20"/>
          <w:szCs w:val="20"/>
        </w:rPr>
        <w:t>•disruption of seasonal buying patterns in Walmart's markets;</w:t>
      </w:r>
    </w:p>
    <w:p w14:paraId="7E785FFF" w14:textId="77777777" w:rsidR="00A82082" w:rsidRDefault="00E946F9">
      <w:pPr>
        <w:ind w:hanging="360"/>
      </w:pPr>
      <w:r>
        <w:rPr>
          <w:rFonts w:ascii="Times New Roman" w:eastAsia="宋体" w:hAnsi="Times New Roman"/>
          <w:color w:val="000000"/>
          <w:sz w:val="20"/>
          <w:szCs w:val="20"/>
        </w:rPr>
        <w:t>•disrup</w:t>
      </w:r>
      <w:r>
        <w:rPr>
          <w:rFonts w:ascii="Times New Roman" w:eastAsia="宋体" w:hAnsi="Times New Roman"/>
          <w:color w:val="000000"/>
          <w:sz w:val="20"/>
          <w:szCs w:val="20"/>
        </w:rPr>
        <w:t>tions in Walmart's supply chain and inventory management;</w:t>
      </w:r>
    </w:p>
    <w:p w14:paraId="7E786000" w14:textId="77777777" w:rsidR="00A82082" w:rsidRDefault="00E946F9">
      <w:pPr>
        <w:ind w:hanging="360"/>
      </w:pPr>
      <w:r>
        <w:rPr>
          <w:rFonts w:ascii="Times New Roman" w:eastAsia="宋体" w:hAnsi="Times New Roman"/>
          <w:color w:val="000000"/>
          <w:sz w:val="20"/>
          <w:szCs w:val="20"/>
        </w:rPr>
        <w:t>•cybersecurity events affecting Walmart and related costs and impact of any disruption in business;</w:t>
      </w:r>
    </w:p>
    <w:p w14:paraId="7E786001" w14:textId="77777777" w:rsidR="00A82082" w:rsidRDefault="00E946F9">
      <w:pPr>
        <w:ind w:hanging="360"/>
      </w:pPr>
      <w:r>
        <w:rPr>
          <w:rFonts w:ascii="Times New Roman" w:eastAsia="宋体" w:hAnsi="Times New Roman"/>
          <w:color w:val="000000"/>
          <w:sz w:val="20"/>
          <w:szCs w:val="20"/>
        </w:rPr>
        <w:t>•Walmart's labor costs, including healthcare and other benefit costs;</w:t>
      </w:r>
    </w:p>
    <w:p w14:paraId="7E786002" w14:textId="77777777" w:rsidR="00A82082" w:rsidRDefault="00E946F9">
      <w:pPr>
        <w:ind w:hanging="360"/>
      </w:pPr>
      <w:r>
        <w:rPr>
          <w:rFonts w:ascii="Times New Roman" w:eastAsia="宋体" w:hAnsi="Times New Roman"/>
          <w:color w:val="000000"/>
          <w:sz w:val="20"/>
          <w:szCs w:val="20"/>
        </w:rPr>
        <w:t>•Walmart's casualty and acci</w:t>
      </w:r>
      <w:r>
        <w:rPr>
          <w:rFonts w:ascii="Times New Roman" w:eastAsia="宋体" w:hAnsi="Times New Roman"/>
          <w:color w:val="000000"/>
          <w:sz w:val="20"/>
          <w:szCs w:val="20"/>
        </w:rPr>
        <w:t>dent-related costs and insurance costs;</w:t>
      </w:r>
    </w:p>
    <w:p w14:paraId="7E786003" w14:textId="77777777" w:rsidR="00A82082" w:rsidRDefault="00E946F9">
      <w:pPr>
        <w:ind w:hanging="360"/>
      </w:pPr>
      <w:r>
        <w:rPr>
          <w:rFonts w:ascii="Times New Roman" w:eastAsia="宋体" w:hAnsi="Times New Roman"/>
          <w:color w:val="000000"/>
          <w:sz w:val="20"/>
          <w:szCs w:val="20"/>
        </w:rPr>
        <w:t>•the size of and turnover in Walmart's workforce and the number of associates at various pay levels within that workforce;</w:t>
      </w:r>
    </w:p>
    <w:p w14:paraId="7E786004" w14:textId="77777777" w:rsidR="00A82082" w:rsidRDefault="00E946F9">
      <w:pPr>
        <w:ind w:hanging="360"/>
      </w:pPr>
      <w:r>
        <w:rPr>
          <w:rFonts w:ascii="Times New Roman" w:eastAsia="宋体" w:hAnsi="Times New Roman"/>
          <w:color w:val="000000"/>
          <w:sz w:val="20"/>
          <w:szCs w:val="20"/>
        </w:rPr>
        <w:t>•the availability of necessary personnel to staff Walmart's stores, clubs and other facilitie</w:t>
      </w:r>
      <w:r>
        <w:rPr>
          <w:rFonts w:ascii="Times New Roman" w:eastAsia="宋体" w:hAnsi="Times New Roman"/>
          <w:color w:val="000000"/>
          <w:sz w:val="20"/>
          <w:szCs w:val="20"/>
        </w:rPr>
        <w:t>s;</w:t>
      </w:r>
    </w:p>
    <w:p w14:paraId="7E786005" w14:textId="77777777" w:rsidR="00A82082" w:rsidRDefault="00E946F9">
      <w:pPr>
        <w:ind w:hanging="360"/>
      </w:pPr>
      <w:r>
        <w:rPr>
          <w:rFonts w:ascii="Times New Roman" w:eastAsia="宋体" w:hAnsi="Times New Roman"/>
          <w:color w:val="000000"/>
          <w:sz w:val="20"/>
          <w:szCs w:val="20"/>
        </w:rPr>
        <w:t>•delays in the opening of new, expanded, relocated or remodeled units;</w:t>
      </w:r>
    </w:p>
    <w:p w14:paraId="7E786006" w14:textId="77777777" w:rsidR="00A82082" w:rsidRDefault="00E946F9">
      <w:pPr>
        <w:ind w:hanging="360"/>
      </w:pPr>
      <w:r>
        <w:rPr>
          <w:rFonts w:ascii="Times New Roman" w:eastAsia="宋体" w:hAnsi="Times New Roman"/>
          <w:color w:val="000000"/>
          <w:sz w:val="20"/>
          <w:szCs w:val="20"/>
        </w:rPr>
        <w:t>•developments in, and the outcome of, legal and regulatory proceedings and investigations to which Walmart is a party or is subject, and the liabilities, obligations and expenses, if</w:t>
      </w:r>
      <w:r>
        <w:rPr>
          <w:rFonts w:ascii="Times New Roman" w:eastAsia="宋体" w:hAnsi="Times New Roman"/>
          <w:color w:val="000000"/>
          <w:sz w:val="20"/>
          <w:szCs w:val="20"/>
        </w:rPr>
        <w:t xml:space="preserve"> any, that Walmart may incur in connection therewith;</w:t>
      </w:r>
    </w:p>
    <w:p w14:paraId="7E786007" w14:textId="77777777" w:rsidR="00A82082" w:rsidRDefault="00E946F9">
      <w:pPr>
        <w:ind w:hanging="360"/>
      </w:pPr>
      <w:r>
        <w:rPr>
          <w:rFonts w:ascii="Times New Roman" w:eastAsia="宋体" w:hAnsi="Times New Roman"/>
          <w:color w:val="000000"/>
          <w:sz w:val="20"/>
          <w:szCs w:val="20"/>
        </w:rPr>
        <w:t>•changes in the credit ratings assigned to the Company's commercial paper and debt securities by credit rating agencies;</w:t>
      </w:r>
    </w:p>
    <w:p w14:paraId="7E786008" w14:textId="77777777" w:rsidR="00A82082" w:rsidRDefault="00E946F9">
      <w:pPr>
        <w:ind w:hanging="360"/>
      </w:pPr>
      <w:r>
        <w:rPr>
          <w:rFonts w:ascii="Times New Roman" w:eastAsia="宋体" w:hAnsi="Times New Roman"/>
          <w:color w:val="000000"/>
          <w:sz w:val="20"/>
          <w:szCs w:val="20"/>
        </w:rPr>
        <w:t>•Walmart's effective tax rate; and</w:t>
      </w:r>
    </w:p>
    <w:p w14:paraId="7E786009" w14:textId="77777777" w:rsidR="00A82082" w:rsidRDefault="00E946F9">
      <w:pPr>
        <w:ind w:hanging="360"/>
      </w:pPr>
      <w:r>
        <w:rPr>
          <w:rFonts w:ascii="Times New Roman" w:eastAsia="宋体" w:hAnsi="Times New Roman"/>
          <w:color w:val="000000"/>
          <w:sz w:val="20"/>
          <w:szCs w:val="20"/>
        </w:rPr>
        <w:t>•unanticipated changes in accounting judgments</w:t>
      </w:r>
      <w:r>
        <w:rPr>
          <w:rFonts w:ascii="Times New Roman" w:eastAsia="宋体" w:hAnsi="Times New Roman"/>
          <w:color w:val="000000"/>
          <w:sz w:val="20"/>
          <w:szCs w:val="20"/>
        </w:rPr>
        <w:t xml:space="preserve"> and estimates.</w:t>
      </w:r>
    </w:p>
    <w:p w14:paraId="7E78600A" w14:textId="77777777" w:rsidR="00A82082" w:rsidRDefault="00E946F9">
      <w:pPr>
        <w:jc w:val="center"/>
      </w:pPr>
      <w:r>
        <w:rPr>
          <w:rFonts w:ascii="Times New Roman" w:eastAsia="宋体" w:hAnsi="Times New Roman"/>
          <w:color w:val="000000"/>
          <w:sz w:val="20"/>
          <w:szCs w:val="20"/>
        </w:rPr>
        <w:t>32</w:t>
      </w:r>
    </w:p>
    <w:p w14:paraId="7E78600B" w14:textId="77777777" w:rsidR="00A82082" w:rsidRDefault="00E946F9">
      <w:r>
        <w:pict w14:anchorId="7E786168">
          <v:rect id="_x0000_i1056" style="width:415.3pt;height:1.5pt" o:hralign="center" o:hrstd="t" o:hr="t" fillcolor="#a0a0a0" stroked="f"/>
        </w:pict>
      </w:r>
    </w:p>
    <w:p w14:paraId="7E78600C" w14:textId="77777777" w:rsidR="00A82082" w:rsidRDefault="00E946F9">
      <w:hyperlink r:id="rId141" w:anchor="i5c815528a95c4409b9043de534639b9a_7" w:history="1">
        <w:r>
          <w:rPr>
            <w:rStyle w:val="a5"/>
            <w:rFonts w:ascii="Times New Roman" w:eastAsia="宋体" w:hAnsi="Times New Roman"/>
            <w:sz w:val="20"/>
            <w:szCs w:val="20"/>
          </w:rPr>
          <w:t>Table of C</w:t>
        </w:r>
      </w:hyperlink>
      <w:hyperlink r:id="rId142" w:anchor="i5c815528a95c4409b9043de534639b9a_7" w:history="1">
        <w:r>
          <w:rPr>
            <w:rStyle w:val="a5"/>
            <w:rFonts w:ascii="Times New Roman" w:eastAsia="宋体" w:hAnsi="Times New Roman"/>
            <w:sz w:val="20"/>
            <w:szCs w:val="20"/>
          </w:rPr>
          <w:t>ontents</w:t>
        </w:r>
      </w:hyperlink>
    </w:p>
    <w:p w14:paraId="7E78600D" w14:textId="77777777" w:rsidR="00A82082" w:rsidRDefault="00E946F9">
      <w:pPr>
        <w:spacing w:before="100" w:after="120"/>
        <w:ind w:firstLine="360"/>
      </w:pPr>
      <w:r>
        <w:rPr>
          <w:rFonts w:ascii="Times New Roman" w:eastAsia="宋体" w:hAnsi="Times New Roman"/>
          <w:b/>
          <w:bCs/>
          <w:color w:val="000000"/>
          <w:sz w:val="20"/>
          <w:szCs w:val="20"/>
        </w:rPr>
        <w:t>Regulatory and Other Factors</w:t>
      </w:r>
    </w:p>
    <w:p w14:paraId="7E78600E" w14:textId="77777777" w:rsidR="00A82082" w:rsidRDefault="00E946F9">
      <w:pPr>
        <w:ind w:hanging="360"/>
      </w:pPr>
      <w:r>
        <w:rPr>
          <w:rFonts w:ascii="Times New Roman" w:eastAsia="宋体" w:hAnsi="Times New Roman"/>
          <w:color w:val="000000"/>
          <w:sz w:val="20"/>
          <w:szCs w:val="20"/>
        </w:rPr>
        <w:t xml:space="preserve">•changes in existing, tax, labor and other laws and changes in tax </w:t>
      </w:r>
      <w:r>
        <w:rPr>
          <w:rFonts w:ascii="Times New Roman" w:eastAsia="宋体" w:hAnsi="Times New Roman"/>
          <w:color w:val="000000"/>
          <w:sz w:val="20"/>
          <w:szCs w:val="20"/>
        </w:rPr>
        <w:t>rates, including the enactment of laws and the adoption and interpretation of administrative rules and regulations;</w:t>
      </w:r>
    </w:p>
    <w:p w14:paraId="7E78600F" w14:textId="77777777" w:rsidR="00A82082" w:rsidRDefault="00E946F9">
      <w:pPr>
        <w:ind w:hanging="360"/>
      </w:pPr>
      <w:r>
        <w:rPr>
          <w:rFonts w:ascii="Times New Roman" w:eastAsia="宋体" w:hAnsi="Times New Roman"/>
          <w:color w:val="000000"/>
          <w:sz w:val="20"/>
          <w:szCs w:val="20"/>
        </w:rPr>
        <w:t xml:space="preserve">•the imposition of new taxes on imports, new tariffs and changes in existing tariff rates; </w:t>
      </w:r>
    </w:p>
    <w:p w14:paraId="7E786010" w14:textId="77777777" w:rsidR="00A82082" w:rsidRDefault="00E946F9">
      <w:pPr>
        <w:ind w:hanging="360"/>
      </w:pPr>
      <w:r>
        <w:rPr>
          <w:rFonts w:ascii="Times New Roman" w:eastAsia="宋体" w:hAnsi="Times New Roman"/>
          <w:color w:val="000000"/>
          <w:sz w:val="20"/>
          <w:szCs w:val="20"/>
        </w:rPr>
        <w:t>•the imposition of new trade restrictions and ch</w:t>
      </w:r>
      <w:r>
        <w:rPr>
          <w:rFonts w:ascii="Times New Roman" w:eastAsia="宋体" w:hAnsi="Times New Roman"/>
          <w:color w:val="000000"/>
          <w:sz w:val="20"/>
          <w:szCs w:val="20"/>
        </w:rPr>
        <w:t>anges in existing trade restrictions;</w:t>
      </w:r>
    </w:p>
    <w:p w14:paraId="7E786011" w14:textId="77777777" w:rsidR="00A82082" w:rsidRDefault="00E946F9">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elsewhere and actions with respect to such policies, pro</w:t>
      </w:r>
      <w:r>
        <w:rPr>
          <w:rFonts w:ascii="Times New Roman" w:eastAsia="宋体" w:hAnsi="Times New Roman"/>
          <w:color w:val="000000"/>
          <w:sz w:val="20"/>
          <w:szCs w:val="20"/>
        </w:rPr>
        <w:t>grams and initiatives;</w:t>
      </w:r>
    </w:p>
    <w:p w14:paraId="7E786012" w14:textId="77777777" w:rsidR="00A82082" w:rsidRDefault="00E946F9">
      <w:pPr>
        <w:ind w:hanging="360"/>
      </w:pPr>
      <w:r>
        <w:rPr>
          <w:rFonts w:ascii="Times New Roman" w:eastAsia="宋体" w:hAnsi="Times New Roman"/>
          <w:color w:val="000000"/>
          <w:sz w:val="20"/>
          <w:szCs w:val="20"/>
        </w:rPr>
        <w:t>•changes in government-funded benefit programs and the extent and effectiveness of any COVID-19 related stimulus packages;</w:t>
      </w:r>
    </w:p>
    <w:p w14:paraId="7E786013" w14:textId="77777777" w:rsidR="00A82082" w:rsidRDefault="00E946F9">
      <w:pPr>
        <w:ind w:hanging="360"/>
      </w:pPr>
      <w:r>
        <w:rPr>
          <w:rFonts w:ascii="Times New Roman" w:eastAsia="宋体" w:hAnsi="Times New Roman"/>
          <w:color w:val="000000"/>
          <w:sz w:val="20"/>
          <w:szCs w:val="20"/>
        </w:rPr>
        <w:t>•changes in currency control laws;</w:t>
      </w:r>
    </w:p>
    <w:p w14:paraId="7E786014" w14:textId="77777777" w:rsidR="00A82082" w:rsidRDefault="00E946F9">
      <w:pPr>
        <w:ind w:hanging="360"/>
      </w:pPr>
      <w:r>
        <w:rPr>
          <w:rFonts w:ascii="Times New Roman" w:eastAsia="宋体" w:hAnsi="Times New Roman"/>
          <w:color w:val="000000"/>
          <w:sz w:val="20"/>
          <w:szCs w:val="20"/>
        </w:rPr>
        <w:t>•changes in the level of public assistance payments;</w:t>
      </w:r>
    </w:p>
    <w:p w14:paraId="7E786015" w14:textId="77777777" w:rsidR="00A82082" w:rsidRDefault="00E946F9">
      <w:pPr>
        <w:ind w:hanging="360"/>
      </w:pPr>
      <w:r>
        <w:rPr>
          <w:rFonts w:ascii="Times New Roman" w:eastAsia="宋体" w:hAnsi="Times New Roman"/>
          <w:color w:val="000000"/>
          <w:sz w:val="20"/>
          <w:szCs w:val="20"/>
        </w:rPr>
        <w:t>•one or more prolonged</w:t>
      </w:r>
      <w:r>
        <w:rPr>
          <w:rFonts w:ascii="Times New Roman" w:eastAsia="宋体" w:hAnsi="Times New Roman"/>
          <w:color w:val="000000"/>
          <w:sz w:val="20"/>
          <w:szCs w:val="20"/>
        </w:rPr>
        <w:t xml:space="preserve"> federal government shutdowns;</w:t>
      </w:r>
    </w:p>
    <w:p w14:paraId="7E786016" w14:textId="77777777" w:rsidR="00A82082" w:rsidRDefault="00E946F9">
      <w:pPr>
        <w:ind w:hanging="360"/>
      </w:pPr>
      <w:r>
        <w:rPr>
          <w:rFonts w:ascii="Times New Roman" w:eastAsia="宋体" w:hAnsi="Times New Roman"/>
          <w:color w:val="000000"/>
          <w:sz w:val="20"/>
          <w:szCs w:val="20"/>
        </w:rPr>
        <w:t>•the timing of federal income tax refunds;</w:t>
      </w:r>
    </w:p>
    <w:p w14:paraId="7E786017" w14:textId="77777777" w:rsidR="00A82082" w:rsidRDefault="00E946F9">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7E786018" w14:textId="77777777" w:rsidR="00A82082" w:rsidRDefault="00E946F9">
      <w:pPr>
        <w:ind w:hanging="360"/>
      </w:pPr>
      <w:r>
        <w:rPr>
          <w:rFonts w:ascii="Times New Roman" w:eastAsia="宋体" w:hAnsi="Times New Roman"/>
          <w:color w:val="000000"/>
          <w:sz w:val="20"/>
          <w:szCs w:val="20"/>
        </w:rPr>
        <w:t>•changes in generally accepted accounting principles in t</w:t>
      </w:r>
      <w:r>
        <w:rPr>
          <w:rFonts w:ascii="Times New Roman" w:eastAsia="宋体" w:hAnsi="Times New Roman"/>
          <w:color w:val="000000"/>
          <w:sz w:val="20"/>
          <w:szCs w:val="20"/>
        </w:rPr>
        <w:t>he United States.</w:t>
      </w:r>
    </w:p>
    <w:p w14:paraId="7E786019" w14:textId="77777777" w:rsidR="00A82082" w:rsidRDefault="00E946F9">
      <w:pPr>
        <w:spacing w:before="180"/>
      </w:pPr>
      <w:r>
        <w:rPr>
          <w:rFonts w:ascii="Times New Roman" w:eastAsia="宋体" w:hAnsi="Times New Roman"/>
          <w:b/>
          <w:bCs/>
          <w:i/>
          <w:iCs/>
          <w:color w:val="000000"/>
          <w:sz w:val="20"/>
          <w:szCs w:val="20"/>
        </w:rPr>
        <w:t>Other Risk Factors; No Duty to Update</w:t>
      </w:r>
    </w:p>
    <w:p w14:paraId="7E78601A" w14:textId="77777777" w:rsidR="00A82082" w:rsidRDefault="00E946F9">
      <w:pPr>
        <w:spacing w:before="100"/>
      </w:pPr>
      <w:r>
        <w:rPr>
          <w:rFonts w:ascii="Times New Roman" w:eastAsia="宋体" w:hAnsi="Times New Roman"/>
          <w:color w:val="000000"/>
          <w:sz w:val="20"/>
          <w:szCs w:val="20"/>
        </w:rPr>
        <w:t>This Quarterly Report on Form 10-Q should be read in conjunction with Walmart's Annual Report on Form 10-K for the fiscal year ended January 31, 2020 and all of Walmart's subsequent other filings with</w:t>
      </w:r>
      <w:r>
        <w:rPr>
          <w:rFonts w:ascii="Times New Roman" w:eastAsia="宋体" w:hAnsi="Times New Roman"/>
          <w:color w:val="000000"/>
          <w:sz w:val="20"/>
          <w:szCs w:val="20"/>
        </w:rPr>
        <w:t xml:space="preserve"> the Securities and Exchange Commission. Walmart urges investors to consider all of the risks, uncertainties and other factors disclosed in these filings carefully in evaluating the forward-looking statements contained in this Quarterly Report on Form 10-Q</w:t>
      </w:r>
      <w:r>
        <w:rPr>
          <w:rFonts w:ascii="Times New Roman" w:eastAsia="宋体" w:hAnsi="Times New Roman"/>
          <w:color w:val="000000"/>
          <w:sz w:val="20"/>
          <w:szCs w:val="20"/>
        </w:rPr>
        <w:t xml:space="preserve">. The Company cannot assure you that the results or developments anticipated by the Company and reflected or implied by any forward-looking statement contained in this Quarterly Report on Form 10-Q will be realized or, even if substantially realized, that </w:t>
      </w:r>
      <w:r>
        <w:rPr>
          <w:rFonts w:ascii="Times New Roman" w:eastAsia="宋体" w:hAnsi="Times New Roman"/>
          <w:color w:val="000000"/>
          <w:sz w:val="20"/>
          <w:szCs w:val="20"/>
        </w:rPr>
        <w:t>those results or developments will result in the forecasted or expected consequences for the Company or affect the Company, its operations or its financial performance as the Company has forecasted or expected. As a result of the matters discussed above an</w:t>
      </w:r>
      <w:r>
        <w:rPr>
          <w:rFonts w:ascii="Times New Roman" w:eastAsia="宋体" w:hAnsi="Times New Roman"/>
          <w:color w:val="000000"/>
          <w:sz w:val="20"/>
          <w:szCs w:val="20"/>
        </w:rPr>
        <w:t>d other matters, including changes in facts, assumptions not being realized or other factors, the actual results relating to the subject matter of any forward-looking statement in this Quarterly Report on Form 10-Q may differ materially from the anticipate</w:t>
      </w:r>
      <w:r>
        <w:rPr>
          <w:rFonts w:ascii="Times New Roman" w:eastAsia="宋体" w:hAnsi="Times New Roman"/>
          <w:color w:val="000000"/>
          <w:sz w:val="20"/>
          <w:szCs w:val="20"/>
        </w:rPr>
        <w:t xml:space="preserve">d results expressed or implied in that forward-looking statement. The forward-looking statements included in this Quarterly Report on Form 10-Q are made only as of the date of this report, and Walmart undertakes no obligation to update any such statements </w:t>
      </w:r>
      <w:r>
        <w:rPr>
          <w:rFonts w:ascii="Times New Roman" w:eastAsia="宋体" w:hAnsi="Times New Roman"/>
          <w:color w:val="000000"/>
          <w:sz w:val="20"/>
          <w:szCs w:val="20"/>
        </w:rPr>
        <w:t>to reflect subsequent events or circumstances.</w:t>
      </w:r>
    </w:p>
    <w:p w14:paraId="7E78601B" w14:textId="77777777" w:rsidR="00A82082" w:rsidRDefault="00E946F9">
      <w:pPr>
        <w:jc w:val="center"/>
      </w:pPr>
      <w:r>
        <w:rPr>
          <w:rFonts w:ascii="Times New Roman" w:eastAsia="宋体" w:hAnsi="Times New Roman"/>
          <w:color w:val="000000"/>
          <w:sz w:val="20"/>
          <w:szCs w:val="20"/>
        </w:rPr>
        <w:t>33</w:t>
      </w:r>
    </w:p>
    <w:p w14:paraId="7E78601C" w14:textId="77777777" w:rsidR="00A82082" w:rsidRDefault="00E946F9">
      <w:r>
        <w:pict w14:anchorId="7E786169">
          <v:rect id="_x0000_i1057" style="width:415.3pt;height:1.5pt" o:hralign="center" o:hrstd="t" o:hr="t" fillcolor="#a0a0a0" stroked="f"/>
        </w:pict>
      </w:r>
    </w:p>
    <w:p w14:paraId="7E78601D" w14:textId="77777777" w:rsidR="00A82082" w:rsidRDefault="00E946F9">
      <w:hyperlink r:id="rId143" w:anchor="i5c815528a95c4409b9043de534639b9a_7" w:history="1">
        <w:r>
          <w:rPr>
            <w:rStyle w:val="a5"/>
            <w:rFonts w:ascii="Times New Roman" w:eastAsia="宋体" w:hAnsi="Times New Roman"/>
            <w:sz w:val="20"/>
            <w:szCs w:val="20"/>
          </w:rPr>
          <w:t>Table of C</w:t>
        </w:r>
      </w:hyperlink>
      <w:hyperlink r:id="rId144" w:anchor="i5c815528a95c4409b9043de534639b9a_7" w:history="1">
        <w:r>
          <w:rPr>
            <w:rStyle w:val="a5"/>
            <w:rFonts w:ascii="Times New Roman" w:eastAsia="宋体" w:hAnsi="Times New Roman"/>
            <w:sz w:val="20"/>
            <w:szCs w:val="20"/>
          </w:rPr>
          <w:t>ontents</w:t>
        </w:r>
      </w:hyperlink>
    </w:p>
    <w:p w14:paraId="7E78601E" w14:textId="77777777" w:rsidR="00A82082" w:rsidRDefault="00E946F9">
      <w:pPr>
        <w:spacing w:before="180"/>
      </w:pPr>
      <w:r>
        <w:rPr>
          <w:rFonts w:ascii="Times New Roman" w:eastAsia="宋体" w:hAnsi="Times New Roman"/>
          <w:b/>
          <w:bCs/>
          <w:color w:val="000000"/>
          <w:sz w:val="20"/>
          <w:szCs w:val="20"/>
        </w:rPr>
        <w:t>Item 6. Exhibits</w:t>
      </w:r>
    </w:p>
    <w:p w14:paraId="7E78601F" w14:textId="77777777" w:rsidR="00A82082" w:rsidRDefault="00E946F9">
      <w:pPr>
        <w:spacing w:before="180"/>
      </w:pPr>
      <w:r>
        <w:rPr>
          <w:rFonts w:ascii="Times New Roman" w:eastAsia="宋体" w:hAnsi="Times New Roman"/>
          <w:color w:val="000000"/>
          <w:sz w:val="20"/>
          <w:szCs w:val="20"/>
        </w:rPr>
        <w:t>The following documents are filed as an exhibit to this Quarterly Report on Form 10-Q:</w:t>
      </w:r>
    </w:p>
    <w:tbl>
      <w:tblPr>
        <w:tblW w:w="4993" w:type="pct"/>
        <w:tblCellMar>
          <w:top w:w="15" w:type="dxa"/>
          <w:left w:w="15" w:type="dxa"/>
          <w:bottom w:w="15" w:type="dxa"/>
          <w:right w:w="15" w:type="dxa"/>
        </w:tblCellMar>
        <w:tblLook w:val="04A0" w:firstRow="1" w:lastRow="0" w:firstColumn="1" w:lastColumn="0" w:noHBand="0" w:noVBand="1"/>
      </w:tblPr>
      <w:tblGrid>
        <w:gridCol w:w="85"/>
        <w:gridCol w:w="1425"/>
        <w:gridCol w:w="36"/>
        <w:gridCol w:w="36"/>
        <w:gridCol w:w="36"/>
        <w:gridCol w:w="36"/>
        <w:gridCol w:w="37"/>
        <w:gridCol w:w="6597"/>
        <w:gridCol w:w="36"/>
      </w:tblGrid>
      <w:tr w:rsidR="00A82082" w14:paraId="7E786029" w14:textId="77777777">
        <w:tc>
          <w:tcPr>
            <w:tcW w:w="50" w:type="pct"/>
            <w:shd w:val="clear" w:color="auto" w:fill="auto"/>
          </w:tcPr>
          <w:p w14:paraId="7E786020" w14:textId="77777777" w:rsidR="00A82082" w:rsidRDefault="00A82082">
            <w:pPr>
              <w:rPr>
                <w:rFonts w:ascii="宋体"/>
              </w:rPr>
            </w:pPr>
          </w:p>
        </w:tc>
        <w:tc>
          <w:tcPr>
            <w:tcW w:w="845" w:type="pct"/>
            <w:shd w:val="clear" w:color="auto" w:fill="auto"/>
          </w:tcPr>
          <w:p w14:paraId="7E786021" w14:textId="77777777" w:rsidR="00A82082" w:rsidRDefault="00A82082">
            <w:pPr>
              <w:rPr>
                <w:rFonts w:ascii="宋体"/>
              </w:rPr>
            </w:pPr>
          </w:p>
        </w:tc>
        <w:tc>
          <w:tcPr>
            <w:tcW w:w="5" w:type="pct"/>
            <w:shd w:val="clear" w:color="auto" w:fill="auto"/>
          </w:tcPr>
          <w:p w14:paraId="7E786022" w14:textId="77777777" w:rsidR="00A82082" w:rsidRDefault="00A82082">
            <w:pPr>
              <w:rPr>
                <w:rFonts w:ascii="宋体"/>
              </w:rPr>
            </w:pPr>
          </w:p>
        </w:tc>
        <w:tc>
          <w:tcPr>
            <w:tcW w:w="5" w:type="pct"/>
            <w:shd w:val="clear" w:color="auto" w:fill="auto"/>
          </w:tcPr>
          <w:p w14:paraId="7E786023" w14:textId="77777777" w:rsidR="00A82082" w:rsidRDefault="00A82082">
            <w:pPr>
              <w:rPr>
                <w:rFonts w:ascii="宋体"/>
              </w:rPr>
            </w:pPr>
          </w:p>
        </w:tc>
        <w:tc>
          <w:tcPr>
            <w:tcW w:w="26" w:type="pct"/>
            <w:shd w:val="clear" w:color="auto" w:fill="auto"/>
          </w:tcPr>
          <w:p w14:paraId="7E786024" w14:textId="77777777" w:rsidR="00A82082" w:rsidRDefault="00A82082">
            <w:pPr>
              <w:rPr>
                <w:rFonts w:ascii="宋体"/>
              </w:rPr>
            </w:pPr>
          </w:p>
        </w:tc>
        <w:tc>
          <w:tcPr>
            <w:tcW w:w="5" w:type="pct"/>
            <w:shd w:val="clear" w:color="auto" w:fill="auto"/>
          </w:tcPr>
          <w:p w14:paraId="7E786025" w14:textId="77777777" w:rsidR="00A82082" w:rsidRDefault="00A82082">
            <w:pPr>
              <w:rPr>
                <w:rFonts w:ascii="宋体"/>
              </w:rPr>
            </w:pPr>
          </w:p>
        </w:tc>
        <w:tc>
          <w:tcPr>
            <w:tcW w:w="50" w:type="pct"/>
            <w:shd w:val="clear" w:color="auto" w:fill="auto"/>
          </w:tcPr>
          <w:p w14:paraId="7E786026" w14:textId="77777777" w:rsidR="00A82082" w:rsidRDefault="00A82082">
            <w:pPr>
              <w:rPr>
                <w:rFonts w:ascii="宋体"/>
              </w:rPr>
            </w:pPr>
          </w:p>
        </w:tc>
        <w:tc>
          <w:tcPr>
            <w:tcW w:w="4008" w:type="pct"/>
            <w:shd w:val="clear" w:color="auto" w:fill="auto"/>
          </w:tcPr>
          <w:p w14:paraId="7E786027" w14:textId="77777777" w:rsidR="00A82082" w:rsidRDefault="00A82082">
            <w:pPr>
              <w:rPr>
                <w:rFonts w:ascii="宋体"/>
              </w:rPr>
            </w:pPr>
          </w:p>
        </w:tc>
        <w:tc>
          <w:tcPr>
            <w:tcW w:w="5" w:type="pct"/>
            <w:shd w:val="clear" w:color="auto" w:fill="auto"/>
          </w:tcPr>
          <w:p w14:paraId="7E786028" w14:textId="77777777" w:rsidR="00A82082" w:rsidRDefault="00A82082">
            <w:pPr>
              <w:rPr>
                <w:rFonts w:ascii="宋体"/>
              </w:rPr>
            </w:pPr>
          </w:p>
        </w:tc>
      </w:tr>
      <w:tr w:rsidR="00A82082" w14:paraId="7E78602D" w14:textId="77777777">
        <w:tc>
          <w:tcPr>
            <w:tcW w:w="0" w:type="auto"/>
            <w:gridSpan w:val="3"/>
            <w:shd w:val="clear" w:color="auto" w:fill="auto"/>
            <w:tcMar>
              <w:top w:w="40" w:type="dxa"/>
              <w:left w:w="20" w:type="dxa"/>
              <w:bottom w:w="40" w:type="dxa"/>
              <w:right w:w="20" w:type="dxa"/>
            </w:tcMar>
          </w:tcPr>
          <w:p w14:paraId="7E78602A" w14:textId="77777777" w:rsidR="00A82082" w:rsidRDefault="00E946F9">
            <w:pPr>
              <w:textAlignment w:val="top"/>
            </w:pPr>
            <w:r>
              <w:rPr>
                <w:rFonts w:ascii="Times New Roman" w:eastAsia="宋体" w:hAnsi="Times New Roman"/>
                <w:color w:val="000000"/>
                <w:sz w:val="20"/>
                <w:szCs w:val="20"/>
              </w:rPr>
              <w:t>Exhibit 3.1</w:t>
            </w:r>
          </w:p>
        </w:tc>
        <w:tc>
          <w:tcPr>
            <w:tcW w:w="0" w:type="auto"/>
            <w:gridSpan w:val="3"/>
            <w:shd w:val="clear" w:color="auto" w:fill="auto"/>
            <w:tcMar>
              <w:top w:w="0" w:type="dxa"/>
              <w:left w:w="20" w:type="dxa"/>
              <w:bottom w:w="0" w:type="dxa"/>
              <w:right w:w="20" w:type="dxa"/>
            </w:tcMar>
          </w:tcPr>
          <w:p w14:paraId="7E78602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2C" w14:textId="77777777" w:rsidR="00A82082" w:rsidRDefault="00E946F9">
            <w:pPr>
              <w:textAlignment w:val="top"/>
            </w:pPr>
            <w:hyperlink r:id="rId145"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that</w:t>
              </w:r>
              <w:r>
                <w:rPr>
                  <w:rStyle w:val="a5"/>
                  <w:rFonts w:ascii="Times New Roman" w:eastAsia="宋体" w:hAnsi="Times New Roman"/>
                  <w:sz w:val="20"/>
                  <w:szCs w:val="20"/>
                </w:rPr>
                <w:t xml:space="preserve"> the Company filed on February 1, 2018 (File No. 001-06991)</w:t>
              </w:r>
            </w:hyperlink>
          </w:p>
        </w:tc>
      </w:tr>
      <w:tr w:rsidR="00A82082" w14:paraId="7E786031" w14:textId="77777777">
        <w:trPr>
          <w:trHeight w:val="100"/>
        </w:trPr>
        <w:tc>
          <w:tcPr>
            <w:tcW w:w="0" w:type="auto"/>
            <w:gridSpan w:val="3"/>
            <w:shd w:val="clear" w:color="auto" w:fill="auto"/>
            <w:tcMar>
              <w:top w:w="0" w:type="dxa"/>
              <w:left w:w="20" w:type="dxa"/>
              <w:bottom w:w="0" w:type="dxa"/>
              <w:right w:w="20" w:type="dxa"/>
            </w:tcMar>
          </w:tcPr>
          <w:p w14:paraId="7E78602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2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30" w14:textId="77777777" w:rsidR="00A82082" w:rsidRDefault="00A82082">
            <w:pPr>
              <w:rPr>
                <w:rFonts w:ascii="宋体"/>
              </w:rPr>
            </w:pPr>
          </w:p>
        </w:tc>
      </w:tr>
      <w:tr w:rsidR="00A82082" w14:paraId="7E786035" w14:textId="77777777">
        <w:tc>
          <w:tcPr>
            <w:tcW w:w="0" w:type="auto"/>
            <w:gridSpan w:val="3"/>
            <w:shd w:val="clear" w:color="auto" w:fill="auto"/>
            <w:tcMar>
              <w:top w:w="40" w:type="dxa"/>
              <w:left w:w="20" w:type="dxa"/>
              <w:bottom w:w="40" w:type="dxa"/>
              <w:right w:w="20" w:type="dxa"/>
            </w:tcMar>
          </w:tcPr>
          <w:p w14:paraId="7E786032" w14:textId="77777777" w:rsidR="00A82082" w:rsidRDefault="00E946F9">
            <w:pPr>
              <w:textAlignment w:val="top"/>
            </w:pPr>
            <w:r>
              <w:rPr>
                <w:rFonts w:ascii="Times New Roman" w:eastAsia="宋体" w:hAnsi="Times New Roman"/>
                <w:color w:val="000000"/>
                <w:sz w:val="20"/>
                <w:szCs w:val="20"/>
              </w:rPr>
              <w:t>Exhibit 3.2</w:t>
            </w:r>
          </w:p>
        </w:tc>
        <w:tc>
          <w:tcPr>
            <w:tcW w:w="0" w:type="auto"/>
            <w:gridSpan w:val="3"/>
            <w:shd w:val="clear" w:color="auto" w:fill="auto"/>
            <w:tcMar>
              <w:top w:w="0" w:type="dxa"/>
              <w:left w:w="20" w:type="dxa"/>
              <w:bottom w:w="0" w:type="dxa"/>
              <w:right w:w="20" w:type="dxa"/>
            </w:tcMar>
          </w:tcPr>
          <w:p w14:paraId="7E786033"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34" w14:textId="77777777" w:rsidR="00A82082" w:rsidRDefault="00E946F9">
            <w:pPr>
              <w:textAlignment w:val="bottom"/>
            </w:pPr>
            <w:hyperlink r:id="rId146" w:history="1">
              <w:r>
                <w:rPr>
                  <w:rStyle w:val="a5"/>
                  <w:rFonts w:ascii="Times New Roman" w:eastAsia="宋体" w:hAnsi="Times New Roman"/>
                  <w:sz w:val="20"/>
                  <w:szCs w:val="20"/>
                </w:rPr>
                <w:t>Amended and Restated Bylaws of the Company dated July 23, 2019 are incorporated herein by reference to Exhibit 3.1 to the Report on Form 8-K that the Co</w:t>
              </w:r>
              <w:r>
                <w:rPr>
                  <w:rStyle w:val="a5"/>
                  <w:rFonts w:ascii="Times New Roman" w:eastAsia="宋体" w:hAnsi="Times New Roman"/>
                  <w:sz w:val="20"/>
                  <w:szCs w:val="20"/>
                </w:rPr>
                <w:t>mpany filed on July 26, 2019 (File No. 001-06991)</w:t>
              </w:r>
            </w:hyperlink>
          </w:p>
        </w:tc>
      </w:tr>
      <w:tr w:rsidR="00A82082" w14:paraId="7E786039" w14:textId="77777777">
        <w:trPr>
          <w:trHeight w:val="60"/>
        </w:trPr>
        <w:tc>
          <w:tcPr>
            <w:tcW w:w="0" w:type="auto"/>
            <w:gridSpan w:val="3"/>
            <w:shd w:val="clear" w:color="auto" w:fill="auto"/>
            <w:tcMar>
              <w:top w:w="0" w:type="dxa"/>
              <w:left w:w="20" w:type="dxa"/>
              <w:bottom w:w="0" w:type="dxa"/>
              <w:right w:w="20" w:type="dxa"/>
            </w:tcMar>
          </w:tcPr>
          <w:p w14:paraId="7E78603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37"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38" w14:textId="77777777" w:rsidR="00A82082" w:rsidRDefault="00A82082">
            <w:pPr>
              <w:rPr>
                <w:rFonts w:ascii="宋体"/>
              </w:rPr>
            </w:pPr>
          </w:p>
        </w:tc>
      </w:tr>
      <w:tr w:rsidR="00A82082" w14:paraId="7E78603D" w14:textId="77777777">
        <w:tc>
          <w:tcPr>
            <w:tcW w:w="0" w:type="auto"/>
            <w:gridSpan w:val="3"/>
            <w:shd w:val="clear" w:color="auto" w:fill="auto"/>
            <w:tcMar>
              <w:top w:w="40" w:type="dxa"/>
              <w:left w:w="20" w:type="dxa"/>
              <w:bottom w:w="40" w:type="dxa"/>
              <w:right w:w="20" w:type="dxa"/>
            </w:tcMar>
          </w:tcPr>
          <w:p w14:paraId="7E78603A" w14:textId="77777777" w:rsidR="00A82082" w:rsidRDefault="00E946F9">
            <w:pPr>
              <w:textAlignment w:val="top"/>
            </w:pPr>
            <w:r>
              <w:rPr>
                <w:rFonts w:ascii="Times New Roman" w:eastAsia="宋体" w:hAnsi="Times New Roman"/>
                <w:color w:val="000000"/>
                <w:sz w:val="20"/>
                <w:szCs w:val="20"/>
              </w:rPr>
              <w:t>Exhibit 31.1*</w:t>
            </w:r>
          </w:p>
        </w:tc>
        <w:tc>
          <w:tcPr>
            <w:tcW w:w="0" w:type="auto"/>
            <w:gridSpan w:val="3"/>
            <w:shd w:val="clear" w:color="auto" w:fill="auto"/>
            <w:tcMar>
              <w:top w:w="0" w:type="dxa"/>
              <w:left w:w="20" w:type="dxa"/>
              <w:bottom w:w="0" w:type="dxa"/>
              <w:right w:w="20" w:type="dxa"/>
            </w:tcMar>
          </w:tcPr>
          <w:p w14:paraId="7E78603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3C" w14:textId="77777777" w:rsidR="00A82082" w:rsidRDefault="00E946F9">
            <w:pPr>
              <w:textAlignment w:val="top"/>
            </w:pPr>
            <w:hyperlink r:id="rId147" w:history="1">
              <w:r>
                <w:rPr>
                  <w:rStyle w:val="a5"/>
                  <w:rFonts w:ascii="Times New Roman" w:eastAsia="宋体" w:hAnsi="Times New Roman"/>
                  <w:sz w:val="20"/>
                  <w:szCs w:val="20"/>
                </w:rPr>
                <w:t>Chief Executive Officer Section 302 Certification</w:t>
              </w:r>
            </w:hyperlink>
          </w:p>
        </w:tc>
      </w:tr>
      <w:tr w:rsidR="00A82082" w14:paraId="7E786040" w14:textId="77777777">
        <w:trPr>
          <w:trHeight w:val="100"/>
        </w:trPr>
        <w:tc>
          <w:tcPr>
            <w:tcW w:w="0" w:type="auto"/>
            <w:gridSpan w:val="3"/>
            <w:shd w:val="clear" w:color="auto" w:fill="auto"/>
            <w:tcMar>
              <w:top w:w="0" w:type="dxa"/>
              <w:left w:w="20" w:type="dxa"/>
              <w:bottom w:w="0" w:type="dxa"/>
              <w:right w:w="20" w:type="dxa"/>
            </w:tcMar>
          </w:tcPr>
          <w:p w14:paraId="7E78603E"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3F" w14:textId="77777777" w:rsidR="00A82082" w:rsidRDefault="00A82082">
            <w:pPr>
              <w:rPr>
                <w:rFonts w:ascii="宋体"/>
              </w:rPr>
            </w:pPr>
          </w:p>
        </w:tc>
      </w:tr>
      <w:tr w:rsidR="00A82082" w14:paraId="7E786044" w14:textId="77777777">
        <w:tc>
          <w:tcPr>
            <w:tcW w:w="0" w:type="auto"/>
            <w:gridSpan w:val="3"/>
            <w:shd w:val="clear" w:color="auto" w:fill="auto"/>
            <w:tcMar>
              <w:top w:w="40" w:type="dxa"/>
              <w:left w:w="20" w:type="dxa"/>
              <w:bottom w:w="40" w:type="dxa"/>
              <w:right w:w="20" w:type="dxa"/>
            </w:tcMar>
          </w:tcPr>
          <w:p w14:paraId="7E786041" w14:textId="77777777" w:rsidR="00A82082" w:rsidRDefault="00E946F9">
            <w:pPr>
              <w:textAlignment w:val="top"/>
            </w:pPr>
            <w:r>
              <w:rPr>
                <w:rFonts w:ascii="Times New Roman" w:eastAsia="宋体" w:hAnsi="Times New Roman"/>
                <w:color w:val="000000"/>
                <w:sz w:val="20"/>
                <w:szCs w:val="20"/>
              </w:rPr>
              <w:t>Exhibit 31.2*</w:t>
            </w:r>
          </w:p>
        </w:tc>
        <w:tc>
          <w:tcPr>
            <w:tcW w:w="0" w:type="auto"/>
            <w:gridSpan w:val="3"/>
            <w:shd w:val="clear" w:color="auto" w:fill="auto"/>
            <w:tcMar>
              <w:top w:w="0" w:type="dxa"/>
              <w:left w:w="20" w:type="dxa"/>
              <w:bottom w:w="0" w:type="dxa"/>
              <w:right w:w="20" w:type="dxa"/>
            </w:tcMar>
          </w:tcPr>
          <w:p w14:paraId="7E786042"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43" w14:textId="77777777" w:rsidR="00A82082" w:rsidRDefault="00E946F9">
            <w:pPr>
              <w:textAlignment w:val="top"/>
            </w:pPr>
            <w:hyperlink r:id="rId148" w:history="1">
              <w:r>
                <w:rPr>
                  <w:rStyle w:val="a5"/>
                  <w:rFonts w:ascii="Times New Roman" w:eastAsia="宋体" w:hAnsi="Times New Roman"/>
                  <w:sz w:val="20"/>
                  <w:szCs w:val="20"/>
                </w:rPr>
                <w:t>Chief Financial Officer Section 302 Certification</w:t>
              </w:r>
            </w:hyperlink>
          </w:p>
        </w:tc>
      </w:tr>
      <w:tr w:rsidR="00A82082" w14:paraId="7E786047" w14:textId="77777777">
        <w:trPr>
          <w:trHeight w:val="100"/>
        </w:trPr>
        <w:tc>
          <w:tcPr>
            <w:tcW w:w="0" w:type="auto"/>
            <w:gridSpan w:val="3"/>
            <w:shd w:val="clear" w:color="auto" w:fill="auto"/>
            <w:tcMar>
              <w:top w:w="0" w:type="dxa"/>
              <w:left w:w="20" w:type="dxa"/>
              <w:bottom w:w="0" w:type="dxa"/>
              <w:right w:w="20" w:type="dxa"/>
            </w:tcMar>
          </w:tcPr>
          <w:p w14:paraId="7E786045"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46" w14:textId="77777777" w:rsidR="00A82082" w:rsidRDefault="00A82082">
            <w:pPr>
              <w:rPr>
                <w:rFonts w:ascii="宋体"/>
              </w:rPr>
            </w:pPr>
          </w:p>
        </w:tc>
      </w:tr>
      <w:tr w:rsidR="00A82082" w14:paraId="7E78604B" w14:textId="77777777">
        <w:tc>
          <w:tcPr>
            <w:tcW w:w="0" w:type="auto"/>
            <w:gridSpan w:val="3"/>
            <w:shd w:val="clear" w:color="auto" w:fill="auto"/>
            <w:tcMar>
              <w:top w:w="40" w:type="dxa"/>
              <w:left w:w="20" w:type="dxa"/>
              <w:bottom w:w="40" w:type="dxa"/>
              <w:right w:w="20" w:type="dxa"/>
            </w:tcMar>
          </w:tcPr>
          <w:p w14:paraId="7E786048" w14:textId="77777777" w:rsidR="00A82082" w:rsidRDefault="00E946F9">
            <w:pPr>
              <w:textAlignment w:val="top"/>
            </w:pPr>
            <w:r>
              <w:rPr>
                <w:rFonts w:ascii="Times New Roman" w:eastAsia="宋体" w:hAnsi="Times New Roman"/>
                <w:color w:val="000000"/>
                <w:sz w:val="20"/>
                <w:szCs w:val="20"/>
              </w:rPr>
              <w:t>Exhibit 32.1**</w:t>
            </w:r>
          </w:p>
        </w:tc>
        <w:tc>
          <w:tcPr>
            <w:tcW w:w="0" w:type="auto"/>
            <w:gridSpan w:val="3"/>
            <w:shd w:val="clear" w:color="auto" w:fill="auto"/>
            <w:tcMar>
              <w:top w:w="0" w:type="dxa"/>
              <w:left w:w="20" w:type="dxa"/>
              <w:bottom w:w="0" w:type="dxa"/>
              <w:right w:w="20" w:type="dxa"/>
            </w:tcMar>
          </w:tcPr>
          <w:p w14:paraId="7E78604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4A" w14:textId="77777777" w:rsidR="00A82082" w:rsidRDefault="00E946F9">
            <w:pPr>
              <w:textAlignment w:val="top"/>
            </w:pPr>
            <w:hyperlink r:id="rId149" w:history="1">
              <w:r>
                <w:rPr>
                  <w:rStyle w:val="a5"/>
                  <w:rFonts w:ascii="Times New Roman" w:eastAsia="宋体" w:hAnsi="Times New Roman"/>
                  <w:sz w:val="20"/>
                  <w:szCs w:val="20"/>
                </w:rPr>
                <w:t>Chief Executive Officer Section 906 Certification</w:t>
              </w:r>
            </w:hyperlink>
          </w:p>
        </w:tc>
      </w:tr>
      <w:tr w:rsidR="00A82082" w14:paraId="7E78604E" w14:textId="77777777">
        <w:trPr>
          <w:trHeight w:val="100"/>
        </w:trPr>
        <w:tc>
          <w:tcPr>
            <w:tcW w:w="0" w:type="auto"/>
            <w:gridSpan w:val="3"/>
            <w:shd w:val="clear" w:color="auto" w:fill="auto"/>
            <w:tcMar>
              <w:top w:w="0" w:type="dxa"/>
              <w:left w:w="20" w:type="dxa"/>
              <w:bottom w:w="0" w:type="dxa"/>
              <w:right w:w="20" w:type="dxa"/>
            </w:tcMar>
          </w:tcPr>
          <w:p w14:paraId="7E78604C"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4D" w14:textId="77777777" w:rsidR="00A82082" w:rsidRDefault="00A82082">
            <w:pPr>
              <w:rPr>
                <w:rFonts w:ascii="宋体"/>
              </w:rPr>
            </w:pPr>
          </w:p>
        </w:tc>
      </w:tr>
      <w:tr w:rsidR="00A82082" w14:paraId="7E786052" w14:textId="77777777">
        <w:tc>
          <w:tcPr>
            <w:tcW w:w="0" w:type="auto"/>
            <w:gridSpan w:val="3"/>
            <w:shd w:val="clear" w:color="auto" w:fill="auto"/>
            <w:tcMar>
              <w:top w:w="40" w:type="dxa"/>
              <w:left w:w="20" w:type="dxa"/>
              <w:bottom w:w="40" w:type="dxa"/>
              <w:right w:w="20" w:type="dxa"/>
            </w:tcMar>
          </w:tcPr>
          <w:p w14:paraId="7E78604F" w14:textId="77777777" w:rsidR="00A82082" w:rsidRDefault="00E946F9">
            <w:pPr>
              <w:textAlignment w:val="top"/>
            </w:pPr>
            <w:r>
              <w:rPr>
                <w:rFonts w:ascii="Times New Roman" w:eastAsia="宋体" w:hAnsi="Times New Roman"/>
                <w:color w:val="000000"/>
                <w:sz w:val="20"/>
                <w:szCs w:val="20"/>
              </w:rPr>
              <w:t>Exhibit 32.2**</w:t>
            </w:r>
          </w:p>
        </w:tc>
        <w:tc>
          <w:tcPr>
            <w:tcW w:w="0" w:type="auto"/>
            <w:gridSpan w:val="3"/>
            <w:shd w:val="clear" w:color="auto" w:fill="auto"/>
            <w:tcMar>
              <w:top w:w="0" w:type="dxa"/>
              <w:left w:w="20" w:type="dxa"/>
              <w:bottom w:w="0" w:type="dxa"/>
              <w:right w:w="20" w:type="dxa"/>
            </w:tcMar>
          </w:tcPr>
          <w:p w14:paraId="7E786050"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51" w14:textId="77777777" w:rsidR="00A82082" w:rsidRDefault="00E946F9">
            <w:pPr>
              <w:textAlignment w:val="top"/>
            </w:pPr>
            <w:hyperlink r:id="rId150" w:history="1">
              <w:r>
                <w:rPr>
                  <w:rStyle w:val="a5"/>
                  <w:rFonts w:ascii="Times New Roman" w:eastAsia="宋体" w:hAnsi="Times New Roman"/>
                  <w:sz w:val="20"/>
                  <w:szCs w:val="20"/>
                </w:rPr>
                <w:t>Chief Financial Officer Section 906 Certification</w:t>
              </w:r>
            </w:hyperlink>
          </w:p>
        </w:tc>
      </w:tr>
      <w:tr w:rsidR="00A82082" w14:paraId="7E786058" w14:textId="77777777">
        <w:trPr>
          <w:hidden/>
        </w:trPr>
        <w:tc>
          <w:tcPr>
            <w:tcW w:w="0" w:type="auto"/>
            <w:gridSpan w:val="3"/>
            <w:shd w:val="clear" w:color="auto" w:fill="auto"/>
          </w:tcPr>
          <w:p w14:paraId="7E786053" w14:textId="77777777" w:rsidR="00A82082" w:rsidRDefault="00A82082">
            <w:pPr>
              <w:rPr>
                <w:rFonts w:ascii="宋体"/>
                <w:vanish/>
              </w:rPr>
            </w:pPr>
          </w:p>
        </w:tc>
        <w:tc>
          <w:tcPr>
            <w:tcW w:w="0" w:type="auto"/>
            <w:gridSpan w:val="3"/>
            <w:shd w:val="clear" w:color="auto" w:fill="auto"/>
          </w:tcPr>
          <w:p w14:paraId="7E786054" w14:textId="77777777" w:rsidR="00A82082" w:rsidRDefault="00A82082">
            <w:pPr>
              <w:rPr>
                <w:rFonts w:ascii="宋体"/>
                <w:vanish/>
              </w:rPr>
            </w:pPr>
          </w:p>
        </w:tc>
        <w:tc>
          <w:tcPr>
            <w:tcW w:w="0" w:type="auto"/>
            <w:shd w:val="clear" w:color="auto" w:fill="auto"/>
          </w:tcPr>
          <w:p w14:paraId="7E786055" w14:textId="77777777" w:rsidR="00A82082" w:rsidRDefault="00A82082">
            <w:pPr>
              <w:rPr>
                <w:rFonts w:ascii="宋体"/>
              </w:rPr>
            </w:pPr>
          </w:p>
        </w:tc>
        <w:tc>
          <w:tcPr>
            <w:tcW w:w="0" w:type="auto"/>
            <w:shd w:val="clear" w:color="auto" w:fill="auto"/>
          </w:tcPr>
          <w:p w14:paraId="7E786056" w14:textId="77777777" w:rsidR="00A82082" w:rsidRDefault="00A82082">
            <w:pPr>
              <w:rPr>
                <w:rFonts w:ascii="宋体"/>
              </w:rPr>
            </w:pPr>
          </w:p>
        </w:tc>
        <w:tc>
          <w:tcPr>
            <w:tcW w:w="0" w:type="auto"/>
            <w:shd w:val="clear" w:color="auto" w:fill="auto"/>
          </w:tcPr>
          <w:p w14:paraId="7E786057" w14:textId="77777777" w:rsidR="00A82082" w:rsidRDefault="00A82082">
            <w:pPr>
              <w:rPr>
                <w:rFonts w:ascii="宋体"/>
              </w:rPr>
            </w:pPr>
          </w:p>
        </w:tc>
      </w:tr>
      <w:tr w:rsidR="00A82082" w14:paraId="7E78605C" w14:textId="77777777">
        <w:trPr>
          <w:hidden/>
        </w:trPr>
        <w:tc>
          <w:tcPr>
            <w:tcW w:w="0" w:type="auto"/>
            <w:gridSpan w:val="3"/>
            <w:shd w:val="clear" w:color="auto" w:fill="auto"/>
          </w:tcPr>
          <w:p w14:paraId="7E786059" w14:textId="77777777" w:rsidR="00A82082" w:rsidRDefault="00A82082">
            <w:pPr>
              <w:rPr>
                <w:rFonts w:ascii="宋体"/>
                <w:vanish/>
              </w:rPr>
            </w:pPr>
          </w:p>
        </w:tc>
        <w:tc>
          <w:tcPr>
            <w:tcW w:w="0" w:type="auto"/>
            <w:gridSpan w:val="3"/>
            <w:shd w:val="clear" w:color="auto" w:fill="auto"/>
          </w:tcPr>
          <w:p w14:paraId="7E78605A" w14:textId="77777777" w:rsidR="00A82082" w:rsidRDefault="00A82082">
            <w:pPr>
              <w:rPr>
                <w:rFonts w:ascii="宋体"/>
                <w:vanish/>
              </w:rPr>
            </w:pPr>
          </w:p>
        </w:tc>
        <w:tc>
          <w:tcPr>
            <w:tcW w:w="0" w:type="auto"/>
            <w:gridSpan w:val="3"/>
            <w:shd w:val="clear" w:color="auto" w:fill="auto"/>
          </w:tcPr>
          <w:p w14:paraId="7E78605B" w14:textId="77777777" w:rsidR="00A82082" w:rsidRDefault="00A82082">
            <w:pPr>
              <w:rPr>
                <w:rFonts w:ascii="宋体"/>
                <w:vanish/>
              </w:rPr>
            </w:pPr>
          </w:p>
        </w:tc>
      </w:tr>
      <w:tr w:rsidR="00A82082" w14:paraId="7E786060" w14:textId="77777777">
        <w:trPr>
          <w:trHeight w:val="100"/>
        </w:trPr>
        <w:tc>
          <w:tcPr>
            <w:tcW w:w="0" w:type="auto"/>
            <w:gridSpan w:val="3"/>
            <w:shd w:val="clear" w:color="auto" w:fill="auto"/>
            <w:tcMar>
              <w:top w:w="0" w:type="dxa"/>
              <w:left w:w="20" w:type="dxa"/>
              <w:bottom w:w="0" w:type="dxa"/>
              <w:right w:w="20" w:type="dxa"/>
            </w:tcMar>
          </w:tcPr>
          <w:p w14:paraId="7E78605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5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5F" w14:textId="77777777" w:rsidR="00A82082" w:rsidRDefault="00A82082">
            <w:pPr>
              <w:rPr>
                <w:rFonts w:ascii="宋体"/>
              </w:rPr>
            </w:pPr>
          </w:p>
        </w:tc>
      </w:tr>
      <w:tr w:rsidR="00A82082" w14:paraId="7E786064" w14:textId="77777777">
        <w:tc>
          <w:tcPr>
            <w:tcW w:w="0" w:type="auto"/>
            <w:gridSpan w:val="3"/>
            <w:shd w:val="clear" w:color="auto" w:fill="auto"/>
            <w:tcMar>
              <w:top w:w="40" w:type="dxa"/>
              <w:left w:w="20" w:type="dxa"/>
              <w:bottom w:w="40" w:type="dxa"/>
              <w:right w:w="20" w:type="dxa"/>
            </w:tcMar>
            <w:vAlign w:val="bottom"/>
          </w:tcPr>
          <w:p w14:paraId="7E786061" w14:textId="77777777" w:rsidR="00A82082" w:rsidRDefault="00E946F9">
            <w:pPr>
              <w:textAlignment w:val="bottom"/>
            </w:pPr>
            <w:r>
              <w:rPr>
                <w:rFonts w:ascii="Times New Roman" w:eastAsia="宋体" w:hAnsi="Times New Roman"/>
                <w:color w:val="000000"/>
                <w:sz w:val="20"/>
                <w:szCs w:val="20"/>
              </w:rPr>
              <w:t>Exhibit 99.1*</w:t>
            </w:r>
          </w:p>
        </w:tc>
        <w:tc>
          <w:tcPr>
            <w:tcW w:w="0" w:type="auto"/>
            <w:gridSpan w:val="3"/>
            <w:shd w:val="clear" w:color="auto" w:fill="auto"/>
            <w:tcMar>
              <w:top w:w="0" w:type="dxa"/>
              <w:left w:w="20" w:type="dxa"/>
              <w:bottom w:w="0" w:type="dxa"/>
              <w:right w:w="20" w:type="dxa"/>
            </w:tcMar>
          </w:tcPr>
          <w:p w14:paraId="7E786062"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63" w14:textId="77777777" w:rsidR="00A82082" w:rsidRDefault="00E946F9">
            <w:pPr>
              <w:textAlignment w:val="bottom"/>
            </w:pPr>
            <w:hyperlink r:id="rId151" w:history="1">
              <w:r>
                <w:rPr>
                  <w:rStyle w:val="a5"/>
                  <w:rFonts w:ascii="Times New Roman" w:eastAsia="宋体" w:hAnsi="Times New Roman"/>
                  <w:sz w:val="20"/>
                  <w:szCs w:val="20"/>
                </w:rPr>
                <w:t>State Court Prescription Opiate Litigation Cases</w:t>
              </w:r>
            </w:hyperlink>
          </w:p>
        </w:tc>
      </w:tr>
      <w:tr w:rsidR="00A82082" w14:paraId="7E786067" w14:textId="77777777">
        <w:trPr>
          <w:trHeight w:val="100"/>
        </w:trPr>
        <w:tc>
          <w:tcPr>
            <w:tcW w:w="0" w:type="auto"/>
            <w:gridSpan w:val="3"/>
            <w:shd w:val="clear" w:color="auto" w:fill="auto"/>
            <w:tcMar>
              <w:top w:w="0" w:type="dxa"/>
              <w:left w:w="20" w:type="dxa"/>
              <w:bottom w:w="0" w:type="dxa"/>
              <w:right w:w="20" w:type="dxa"/>
            </w:tcMar>
          </w:tcPr>
          <w:p w14:paraId="7E786065"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66" w14:textId="77777777" w:rsidR="00A82082" w:rsidRDefault="00A82082">
            <w:pPr>
              <w:rPr>
                <w:rFonts w:ascii="宋体"/>
              </w:rPr>
            </w:pPr>
          </w:p>
        </w:tc>
      </w:tr>
      <w:tr w:rsidR="00A82082" w14:paraId="7E78606B" w14:textId="77777777">
        <w:trPr>
          <w:hidden/>
        </w:trPr>
        <w:tc>
          <w:tcPr>
            <w:tcW w:w="0" w:type="auto"/>
            <w:gridSpan w:val="3"/>
            <w:shd w:val="clear" w:color="auto" w:fill="auto"/>
          </w:tcPr>
          <w:p w14:paraId="7E786068" w14:textId="77777777" w:rsidR="00A82082" w:rsidRDefault="00A82082">
            <w:pPr>
              <w:rPr>
                <w:rFonts w:ascii="宋体"/>
                <w:vanish/>
              </w:rPr>
            </w:pPr>
          </w:p>
        </w:tc>
        <w:tc>
          <w:tcPr>
            <w:tcW w:w="0" w:type="auto"/>
            <w:gridSpan w:val="3"/>
            <w:shd w:val="clear" w:color="auto" w:fill="auto"/>
          </w:tcPr>
          <w:p w14:paraId="7E786069" w14:textId="77777777" w:rsidR="00A82082" w:rsidRDefault="00A82082">
            <w:pPr>
              <w:rPr>
                <w:rFonts w:ascii="宋体"/>
                <w:vanish/>
              </w:rPr>
            </w:pPr>
          </w:p>
        </w:tc>
        <w:tc>
          <w:tcPr>
            <w:tcW w:w="0" w:type="auto"/>
            <w:gridSpan w:val="3"/>
            <w:shd w:val="clear" w:color="auto" w:fill="auto"/>
          </w:tcPr>
          <w:p w14:paraId="7E78606A" w14:textId="77777777" w:rsidR="00A82082" w:rsidRDefault="00A82082">
            <w:pPr>
              <w:rPr>
                <w:rFonts w:ascii="宋体"/>
                <w:vanish/>
              </w:rPr>
            </w:pPr>
          </w:p>
        </w:tc>
      </w:tr>
      <w:tr w:rsidR="00A82082" w14:paraId="7E78606F" w14:textId="77777777">
        <w:trPr>
          <w:hidden/>
        </w:trPr>
        <w:tc>
          <w:tcPr>
            <w:tcW w:w="0" w:type="auto"/>
            <w:gridSpan w:val="3"/>
            <w:shd w:val="clear" w:color="auto" w:fill="auto"/>
          </w:tcPr>
          <w:p w14:paraId="7E78606C" w14:textId="77777777" w:rsidR="00A82082" w:rsidRDefault="00A82082">
            <w:pPr>
              <w:rPr>
                <w:rFonts w:ascii="宋体"/>
                <w:vanish/>
              </w:rPr>
            </w:pPr>
          </w:p>
        </w:tc>
        <w:tc>
          <w:tcPr>
            <w:tcW w:w="0" w:type="auto"/>
            <w:gridSpan w:val="3"/>
            <w:shd w:val="clear" w:color="auto" w:fill="auto"/>
          </w:tcPr>
          <w:p w14:paraId="7E78606D" w14:textId="77777777" w:rsidR="00A82082" w:rsidRDefault="00A82082">
            <w:pPr>
              <w:rPr>
                <w:rFonts w:ascii="宋体"/>
                <w:vanish/>
              </w:rPr>
            </w:pPr>
          </w:p>
        </w:tc>
        <w:tc>
          <w:tcPr>
            <w:tcW w:w="0" w:type="auto"/>
            <w:gridSpan w:val="3"/>
            <w:shd w:val="clear" w:color="auto" w:fill="auto"/>
          </w:tcPr>
          <w:p w14:paraId="7E78606E" w14:textId="77777777" w:rsidR="00A82082" w:rsidRDefault="00A82082">
            <w:pPr>
              <w:rPr>
                <w:rFonts w:ascii="宋体"/>
                <w:vanish/>
              </w:rPr>
            </w:pPr>
          </w:p>
        </w:tc>
      </w:tr>
      <w:tr w:rsidR="00A82082" w14:paraId="7E786073" w14:textId="77777777">
        <w:trPr>
          <w:hidden/>
        </w:trPr>
        <w:tc>
          <w:tcPr>
            <w:tcW w:w="0" w:type="auto"/>
            <w:gridSpan w:val="3"/>
            <w:shd w:val="clear" w:color="auto" w:fill="auto"/>
          </w:tcPr>
          <w:p w14:paraId="7E786070" w14:textId="77777777" w:rsidR="00A82082" w:rsidRDefault="00A82082">
            <w:pPr>
              <w:rPr>
                <w:rFonts w:ascii="宋体"/>
                <w:vanish/>
              </w:rPr>
            </w:pPr>
          </w:p>
        </w:tc>
        <w:tc>
          <w:tcPr>
            <w:tcW w:w="0" w:type="auto"/>
            <w:gridSpan w:val="3"/>
            <w:shd w:val="clear" w:color="auto" w:fill="auto"/>
          </w:tcPr>
          <w:p w14:paraId="7E786071" w14:textId="77777777" w:rsidR="00A82082" w:rsidRDefault="00A82082">
            <w:pPr>
              <w:rPr>
                <w:rFonts w:ascii="宋体"/>
                <w:vanish/>
              </w:rPr>
            </w:pPr>
          </w:p>
        </w:tc>
        <w:tc>
          <w:tcPr>
            <w:tcW w:w="0" w:type="auto"/>
            <w:gridSpan w:val="3"/>
            <w:shd w:val="clear" w:color="auto" w:fill="auto"/>
          </w:tcPr>
          <w:p w14:paraId="7E786072" w14:textId="77777777" w:rsidR="00A82082" w:rsidRDefault="00A82082">
            <w:pPr>
              <w:rPr>
                <w:rFonts w:ascii="宋体"/>
                <w:vanish/>
              </w:rPr>
            </w:pPr>
          </w:p>
        </w:tc>
      </w:tr>
      <w:tr w:rsidR="00A82082" w14:paraId="7E786077" w14:textId="77777777">
        <w:trPr>
          <w:hidden/>
        </w:trPr>
        <w:tc>
          <w:tcPr>
            <w:tcW w:w="0" w:type="auto"/>
            <w:gridSpan w:val="3"/>
            <w:shd w:val="clear" w:color="auto" w:fill="auto"/>
          </w:tcPr>
          <w:p w14:paraId="7E786074" w14:textId="77777777" w:rsidR="00A82082" w:rsidRDefault="00A82082">
            <w:pPr>
              <w:rPr>
                <w:rFonts w:ascii="宋体"/>
                <w:vanish/>
              </w:rPr>
            </w:pPr>
          </w:p>
        </w:tc>
        <w:tc>
          <w:tcPr>
            <w:tcW w:w="0" w:type="auto"/>
            <w:gridSpan w:val="3"/>
            <w:shd w:val="clear" w:color="auto" w:fill="auto"/>
          </w:tcPr>
          <w:p w14:paraId="7E786075" w14:textId="77777777" w:rsidR="00A82082" w:rsidRDefault="00A82082">
            <w:pPr>
              <w:rPr>
                <w:rFonts w:ascii="宋体"/>
                <w:vanish/>
              </w:rPr>
            </w:pPr>
          </w:p>
        </w:tc>
        <w:tc>
          <w:tcPr>
            <w:tcW w:w="0" w:type="auto"/>
            <w:gridSpan w:val="3"/>
            <w:shd w:val="clear" w:color="auto" w:fill="auto"/>
          </w:tcPr>
          <w:p w14:paraId="7E786076" w14:textId="77777777" w:rsidR="00A82082" w:rsidRDefault="00A82082">
            <w:pPr>
              <w:rPr>
                <w:rFonts w:ascii="宋体"/>
                <w:vanish/>
              </w:rPr>
            </w:pPr>
          </w:p>
        </w:tc>
      </w:tr>
      <w:tr w:rsidR="00A82082" w14:paraId="7E78607B" w14:textId="77777777">
        <w:trPr>
          <w:hidden/>
        </w:trPr>
        <w:tc>
          <w:tcPr>
            <w:tcW w:w="0" w:type="auto"/>
            <w:gridSpan w:val="3"/>
            <w:shd w:val="clear" w:color="auto" w:fill="auto"/>
          </w:tcPr>
          <w:p w14:paraId="7E786078" w14:textId="77777777" w:rsidR="00A82082" w:rsidRDefault="00A82082">
            <w:pPr>
              <w:rPr>
                <w:rFonts w:ascii="宋体"/>
                <w:vanish/>
              </w:rPr>
            </w:pPr>
          </w:p>
        </w:tc>
        <w:tc>
          <w:tcPr>
            <w:tcW w:w="0" w:type="auto"/>
            <w:gridSpan w:val="3"/>
            <w:shd w:val="clear" w:color="auto" w:fill="auto"/>
          </w:tcPr>
          <w:p w14:paraId="7E786079" w14:textId="77777777" w:rsidR="00A82082" w:rsidRDefault="00A82082">
            <w:pPr>
              <w:rPr>
                <w:rFonts w:ascii="宋体"/>
                <w:vanish/>
              </w:rPr>
            </w:pPr>
          </w:p>
        </w:tc>
        <w:tc>
          <w:tcPr>
            <w:tcW w:w="0" w:type="auto"/>
            <w:gridSpan w:val="3"/>
            <w:shd w:val="clear" w:color="auto" w:fill="auto"/>
          </w:tcPr>
          <w:p w14:paraId="7E78607A" w14:textId="77777777" w:rsidR="00A82082" w:rsidRDefault="00A82082">
            <w:pPr>
              <w:rPr>
                <w:rFonts w:ascii="宋体"/>
                <w:vanish/>
              </w:rPr>
            </w:pPr>
          </w:p>
        </w:tc>
      </w:tr>
      <w:tr w:rsidR="00A82082" w14:paraId="7E78607F" w14:textId="77777777">
        <w:trPr>
          <w:hidden/>
        </w:trPr>
        <w:tc>
          <w:tcPr>
            <w:tcW w:w="0" w:type="auto"/>
            <w:gridSpan w:val="3"/>
            <w:shd w:val="clear" w:color="auto" w:fill="auto"/>
          </w:tcPr>
          <w:p w14:paraId="7E78607C" w14:textId="77777777" w:rsidR="00A82082" w:rsidRDefault="00A82082">
            <w:pPr>
              <w:rPr>
                <w:rFonts w:ascii="宋体"/>
                <w:vanish/>
              </w:rPr>
            </w:pPr>
          </w:p>
        </w:tc>
        <w:tc>
          <w:tcPr>
            <w:tcW w:w="0" w:type="auto"/>
            <w:gridSpan w:val="3"/>
            <w:shd w:val="clear" w:color="auto" w:fill="auto"/>
          </w:tcPr>
          <w:p w14:paraId="7E78607D" w14:textId="77777777" w:rsidR="00A82082" w:rsidRDefault="00A82082">
            <w:pPr>
              <w:rPr>
                <w:rFonts w:ascii="宋体"/>
                <w:vanish/>
              </w:rPr>
            </w:pPr>
          </w:p>
        </w:tc>
        <w:tc>
          <w:tcPr>
            <w:tcW w:w="0" w:type="auto"/>
            <w:gridSpan w:val="3"/>
            <w:shd w:val="clear" w:color="auto" w:fill="auto"/>
          </w:tcPr>
          <w:p w14:paraId="7E78607E" w14:textId="77777777" w:rsidR="00A82082" w:rsidRDefault="00A82082">
            <w:pPr>
              <w:rPr>
                <w:rFonts w:ascii="宋体"/>
                <w:vanish/>
              </w:rPr>
            </w:pPr>
          </w:p>
        </w:tc>
      </w:tr>
      <w:tr w:rsidR="00A82082" w14:paraId="7E786083" w14:textId="77777777">
        <w:trPr>
          <w:hidden/>
        </w:trPr>
        <w:tc>
          <w:tcPr>
            <w:tcW w:w="0" w:type="auto"/>
            <w:gridSpan w:val="3"/>
            <w:shd w:val="clear" w:color="auto" w:fill="auto"/>
          </w:tcPr>
          <w:p w14:paraId="7E786080" w14:textId="77777777" w:rsidR="00A82082" w:rsidRDefault="00A82082">
            <w:pPr>
              <w:rPr>
                <w:rFonts w:ascii="宋体"/>
                <w:vanish/>
              </w:rPr>
            </w:pPr>
          </w:p>
        </w:tc>
        <w:tc>
          <w:tcPr>
            <w:tcW w:w="0" w:type="auto"/>
            <w:gridSpan w:val="3"/>
            <w:shd w:val="clear" w:color="auto" w:fill="auto"/>
          </w:tcPr>
          <w:p w14:paraId="7E786081" w14:textId="77777777" w:rsidR="00A82082" w:rsidRDefault="00A82082">
            <w:pPr>
              <w:rPr>
                <w:rFonts w:ascii="宋体"/>
                <w:vanish/>
              </w:rPr>
            </w:pPr>
          </w:p>
        </w:tc>
        <w:tc>
          <w:tcPr>
            <w:tcW w:w="0" w:type="auto"/>
            <w:gridSpan w:val="3"/>
            <w:shd w:val="clear" w:color="auto" w:fill="auto"/>
          </w:tcPr>
          <w:p w14:paraId="7E786082" w14:textId="77777777" w:rsidR="00A82082" w:rsidRDefault="00A82082">
            <w:pPr>
              <w:rPr>
                <w:rFonts w:ascii="宋体"/>
                <w:vanish/>
              </w:rPr>
            </w:pPr>
          </w:p>
        </w:tc>
      </w:tr>
      <w:tr w:rsidR="00A82082" w14:paraId="7E786087" w14:textId="77777777">
        <w:trPr>
          <w:hidden/>
        </w:trPr>
        <w:tc>
          <w:tcPr>
            <w:tcW w:w="0" w:type="auto"/>
            <w:gridSpan w:val="3"/>
            <w:shd w:val="clear" w:color="auto" w:fill="auto"/>
          </w:tcPr>
          <w:p w14:paraId="7E786084" w14:textId="77777777" w:rsidR="00A82082" w:rsidRDefault="00A82082">
            <w:pPr>
              <w:rPr>
                <w:rFonts w:ascii="宋体"/>
                <w:vanish/>
              </w:rPr>
            </w:pPr>
          </w:p>
        </w:tc>
        <w:tc>
          <w:tcPr>
            <w:tcW w:w="0" w:type="auto"/>
            <w:gridSpan w:val="3"/>
            <w:shd w:val="clear" w:color="auto" w:fill="auto"/>
          </w:tcPr>
          <w:p w14:paraId="7E786085" w14:textId="77777777" w:rsidR="00A82082" w:rsidRDefault="00A82082">
            <w:pPr>
              <w:rPr>
                <w:rFonts w:ascii="宋体"/>
                <w:vanish/>
              </w:rPr>
            </w:pPr>
          </w:p>
        </w:tc>
        <w:tc>
          <w:tcPr>
            <w:tcW w:w="0" w:type="auto"/>
            <w:gridSpan w:val="3"/>
            <w:shd w:val="clear" w:color="auto" w:fill="auto"/>
          </w:tcPr>
          <w:p w14:paraId="7E786086" w14:textId="77777777" w:rsidR="00A82082" w:rsidRDefault="00A82082">
            <w:pPr>
              <w:rPr>
                <w:rFonts w:ascii="宋体"/>
                <w:vanish/>
              </w:rPr>
            </w:pPr>
          </w:p>
        </w:tc>
      </w:tr>
      <w:tr w:rsidR="00A82082" w14:paraId="7E78608B" w14:textId="77777777">
        <w:tc>
          <w:tcPr>
            <w:tcW w:w="0" w:type="auto"/>
            <w:gridSpan w:val="3"/>
            <w:shd w:val="clear" w:color="auto" w:fill="auto"/>
            <w:tcMar>
              <w:top w:w="40" w:type="dxa"/>
              <w:left w:w="20" w:type="dxa"/>
              <w:bottom w:w="40" w:type="dxa"/>
              <w:right w:w="20" w:type="dxa"/>
            </w:tcMar>
          </w:tcPr>
          <w:p w14:paraId="7E786088" w14:textId="77777777" w:rsidR="00A82082" w:rsidRDefault="00E946F9">
            <w:pPr>
              <w:textAlignment w:val="top"/>
            </w:pPr>
            <w:r>
              <w:rPr>
                <w:rFonts w:ascii="Times New Roman" w:eastAsia="宋体" w:hAnsi="Times New Roman"/>
                <w:color w:val="000000"/>
                <w:sz w:val="20"/>
                <w:szCs w:val="20"/>
              </w:rPr>
              <w:t>Exhibit 101.INS*</w:t>
            </w:r>
          </w:p>
        </w:tc>
        <w:tc>
          <w:tcPr>
            <w:tcW w:w="0" w:type="auto"/>
            <w:gridSpan w:val="3"/>
            <w:shd w:val="clear" w:color="auto" w:fill="auto"/>
            <w:tcMar>
              <w:top w:w="0" w:type="dxa"/>
              <w:left w:w="20" w:type="dxa"/>
              <w:bottom w:w="0" w:type="dxa"/>
              <w:right w:w="20" w:type="dxa"/>
            </w:tcMar>
          </w:tcPr>
          <w:p w14:paraId="7E786089"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8A" w14:textId="77777777" w:rsidR="00A82082" w:rsidRDefault="00E946F9">
            <w:pPr>
              <w:textAlignment w:val="top"/>
            </w:pPr>
            <w:r>
              <w:rPr>
                <w:rFonts w:ascii="Times New Roman" w:eastAsia="宋体" w:hAnsi="Times New Roman"/>
                <w:color w:val="000000"/>
                <w:sz w:val="20"/>
                <w:szCs w:val="20"/>
              </w:rPr>
              <w:t>Inline XBRL Instance Document</w:t>
            </w:r>
          </w:p>
        </w:tc>
      </w:tr>
      <w:tr w:rsidR="00A82082" w14:paraId="7E78608E" w14:textId="77777777">
        <w:trPr>
          <w:trHeight w:val="100"/>
        </w:trPr>
        <w:tc>
          <w:tcPr>
            <w:tcW w:w="0" w:type="auto"/>
            <w:gridSpan w:val="3"/>
            <w:shd w:val="clear" w:color="auto" w:fill="auto"/>
            <w:tcMar>
              <w:top w:w="0" w:type="dxa"/>
              <w:left w:w="20" w:type="dxa"/>
              <w:bottom w:w="0" w:type="dxa"/>
              <w:right w:w="20" w:type="dxa"/>
            </w:tcMar>
          </w:tcPr>
          <w:p w14:paraId="7E78608C"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8D" w14:textId="77777777" w:rsidR="00A82082" w:rsidRDefault="00A82082">
            <w:pPr>
              <w:rPr>
                <w:rFonts w:ascii="宋体"/>
              </w:rPr>
            </w:pPr>
          </w:p>
        </w:tc>
      </w:tr>
      <w:tr w:rsidR="00A82082" w14:paraId="7E786092" w14:textId="77777777">
        <w:tc>
          <w:tcPr>
            <w:tcW w:w="0" w:type="auto"/>
            <w:gridSpan w:val="3"/>
            <w:shd w:val="clear" w:color="auto" w:fill="auto"/>
            <w:tcMar>
              <w:top w:w="40" w:type="dxa"/>
              <w:left w:w="20" w:type="dxa"/>
              <w:bottom w:w="40" w:type="dxa"/>
              <w:right w:w="20" w:type="dxa"/>
            </w:tcMar>
          </w:tcPr>
          <w:p w14:paraId="7E78608F" w14:textId="77777777" w:rsidR="00A82082" w:rsidRDefault="00E946F9">
            <w:pPr>
              <w:textAlignment w:val="top"/>
            </w:pPr>
            <w:r>
              <w:rPr>
                <w:rFonts w:ascii="Times New Roman" w:eastAsia="宋体" w:hAnsi="Times New Roman"/>
                <w:color w:val="000000"/>
                <w:sz w:val="20"/>
                <w:szCs w:val="20"/>
              </w:rPr>
              <w:t>Exhibit 101.SCH*</w:t>
            </w:r>
          </w:p>
        </w:tc>
        <w:tc>
          <w:tcPr>
            <w:tcW w:w="0" w:type="auto"/>
            <w:gridSpan w:val="3"/>
            <w:shd w:val="clear" w:color="auto" w:fill="auto"/>
            <w:tcMar>
              <w:top w:w="0" w:type="dxa"/>
              <w:left w:w="20" w:type="dxa"/>
              <w:bottom w:w="0" w:type="dxa"/>
              <w:right w:w="20" w:type="dxa"/>
            </w:tcMar>
          </w:tcPr>
          <w:p w14:paraId="7E786090"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91" w14:textId="77777777" w:rsidR="00A82082" w:rsidRDefault="00E946F9">
            <w:pPr>
              <w:textAlignment w:val="top"/>
            </w:pPr>
            <w:r>
              <w:rPr>
                <w:rFonts w:ascii="Times New Roman" w:eastAsia="宋体" w:hAnsi="Times New Roman"/>
                <w:color w:val="000000"/>
                <w:sz w:val="20"/>
                <w:szCs w:val="20"/>
              </w:rPr>
              <w:t>Inline XBRL Taxonomy Extension Schema Document</w:t>
            </w:r>
          </w:p>
        </w:tc>
      </w:tr>
      <w:tr w:rsidR="00A82082" w14:paraId="7E786095" w14:textId="77777777">
        <w:trPr>
          <w:trHeight w:val="100"/>
        </w:trPr>
        <w:tc>
          <w:tcPr>
            <w:tcW w:w="0" w:type="auto"/>
            <w:gridSpan w:val="3"/>
            <w:shd w:val="clear" w:color="auto" w:fill="auto"/>
            <w:tcMar>
              <w:top w:w="0" w:type="dxa"/>
              <w:left w:w="20" w:type="dxa"/>
              <w:bottom w:w="0" w:type="dxa"/>
              <w:right w:w="20" w:type="dxa"/>
            </w:tcMar>
          </w:tcPr>
          <w:p w14:paraId="7E786093"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94" w14:textId="77777777" w:rsidR="00A82082" w:rsidRDefault="00A82082">
            <w:pPr>
              <w:rPr>
                <w:rFonts w:ascii="宋体"/>
              </w:rPr>
            </w:pPr>
          </w:p>
        </w:tc>
      </w:tr>
      <w:tr w:rsidR="00A82082" w14:paraId="7E786099" w14:textId="77777777">
        <w:tc>
          <w:tcPr>
            <w:tcW w:w="0" w:type="auto"/>
            <w:gridSpan w:val="3"/>
            <w:shd w:val="clear" w:color="auto" w:fill="auto"/>
            <w:tcMar>
              <w:top w:w="40" w:type="dxa"/>
              <w:left w:w="20" w:type="dxa"/>
              <w:bottom w:w="40" w:type="dxa"/>
              <w:right w:w="20" w:type="dxa"/>
            </w:tcMar>
          </w:tcPr>
          <w:p w14:paraId="7E786096" w14:textId="77777777" w:rsidR="00A82082" w:rsidRDefault="00E946F9">
            <w:pPr>
              <w:textAlignment w:val="top"/>
            </w:pPr>
            <w:r>
              <w:rPr>
                <w:rFonts w:ascii="Times New Roman" w:eastAsia="宋体" w:hAnsi="Times New Roman"/>
                <w:color w:val="000000"/>
                <w:sz w:val="20"/>
                <w:szCs w:val="20"/>
              </w:rPr>
              <w:t>Exhibit 101.CAL*</w:t>
            </w:r>
          </w:p>
        </w:tc>
        <w:tc>
          <w:tcPr>
            <w:tcW w:w="0" w:type="auto"/>
            <w:gridSpan w:val="3"/>
            <w:shd w:val="clear" w:color="auto" w:fill="auto"/>
            <w:tcMar>
              <w:top w:w="0" w:type="dxa"/>
              <w:left w:w="20" w:type="dxa"/>
              <w:bottom w:w="0" w:type="dxa"/>
              <w:right w:w="20" w:type="dxa"/>
            </w:tcMar>
          </w:tcPr>
          <w:p w14:paraId="7E786097"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98" w14:textId="77777777" w:rsidR="00A82082" w:rsidRDefault="00E946F9">
            <w:pPr>
              <w:textAlignment w:val="top"/>
            </w:pPr>
            <w:r>
              <w:rPr>
                <w:rFonts w:ascii="Times New Roman" w:eastAsia="宋体" w:hAnsi="Times New Roman"/>
                <w:color w:val="000000"/>
                <w:sz w:val="20"/>
                <w:szCs w:val="20"/>
              </w:rPr>
              <w:t>Inline XBRL Taxonomy Extension Calculation Linkbase Document</w:t>
            </w:r>
          </w:p>
        </w:tc>
      </w:tr>
      <w:tr w:rsidR="00A82082" w14:paraId="7E78609C" w14:textId="77777777">
        <w:trPr>
          <w:trHeight w:val="100"/>
        </w:trPr>
        <w:tc>
          <w:tcPr>
            <w:tcW w:w="0" w:type="auto"/>
            <w:gridSpan w:val="3"/>
            <w:shd w:val="clear" w:color="auto" w:fill="auto"/>
            <w:tcMar>
              <w:top w:w="0" w:type="dxa"/>
              <w:left w:w="20" w:type="dxa"/>
              <w:bottom w:w="0" w:type="dxa"/>
              <w:right w:w="20" w:type="dxa"/>
            </w:tcMar>
          </w:tcPr>
          <w:p w14:paraId="7E78609A"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9B" w14:textId="77777777" w:rsidR="00A82082" w:rsidRDefault="00A82082">
            <w:pPr>
              <w:rPr>
                <w:rFonts w:ascii="宋体"/>
              </w:rPr>
            </w:pPr>
          </w:p>
        </w:tc>
      </w:tr>
      <w:tr w:rsidR="00A82082" w14:paraId="7E7860A0" w14:textId="77777777">
        <w:tc>
          <w:tcPr>
            <w:tcW w:w="0" w:type="auto"/>
            <w:gridSpan w:val="3"/>
            <w:shd w:val="clear" w:color="auto" w:fill="auto"/>
            <w:tcMar>
              <w:top w:w="40" w:type="dxa"/>
              <w:left w:w="20" w:type="dxa"/>
              <w:bottom w:w="40" w:type="dxa"/>
              <w:right w:w="20" w:type="dxa"/>
            </w:tcMar>
          </w:tcPr>
          <w:p w14:paraId="7E78609D" w14:textId="77777777" w:rsidR="00A82082" w:rsidRDefault="00E946F9">
            <w:pPr>
              <w:textAlignment w:val="top"/>
            </w:pPr>
            <w:r>
              <w:rPr>
                <w:rFonts w:ascii="Times New Roman" w:eastAsia="宋体" w:hAnsi="Times New Roman"/>
                <w:color w:val="000000"/>
                <w:sz w:val="20"/>
                <w:szCs w:val="20"/>
              </w:rPr>
              <w:t>Exhibit 101.DEF*</w:t>
            </w:r>
          </w:p>
        </w:tc>
        <w:tc>
          <w:tcPr>
            <w:tcW w:w="0" w:type="auto"/>
            <w:gridSpan w:val="3"/>
            <w:shd w:val="clear" w:color="auto" w:fill="auto"/>
            <w:tcMar>
              <w:top w:w="0" w:type="dxa"/>
              <w:left w:w="20" w:type="dxa"/>
              <w:bottom w:w="0" w:type="dxa"/>
              <w:right w:w="20" w:type="dxa"/>
            </w:tcMar>
          </w:tcPr>
          <w:p w14:paraId="7E78609E"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9F" w14:textId="77777777" w:rsidR="00A82082" w:rsidRDefault="00E946F9">
            <w:pPr>
              <w:textAlignment w:val="top"/>
            </w:pPr>
            <w:r>
              <w:rPr>
                <w:rFonts w:ascii="Times New Roman" w:eastAsia="宋体" w:hAnsi="Times New Roman"/>
                <w:color w:val="000000"/>
                <w:sz w:val="20"/>
                <w:szCs w:val="20"/>
              </w:rPr>
              <w:t>Inline XBRL Taxonomy Extension Definition Linkbase Document</w:t>
            </w:r>
          </w:p>
        </w:tc>
      </w:tr>
      <w:tr w:rsidR="00A82082" w14:paraId="7E7860A3" w14:textId="77777777">
        <w:trPr>
          <w:trHeight w:val="100"/>
        </w:trPr>
        <w:tc>
          <w:tcPr>
            <w:tcW w:w="0" w:type="auto"/>
            <w:gridSpan w:val="3"/>
            <w:shd w:val="clear" w:color="auto" w:fill="auto"/>
            <w:tcMar>
              <w:top w:w="0" w:type="dxa"/>
              <w:left w:w="20" w:type="dxa"/>
              <w:bottom w:w="0" w:type="dxa"/>
              <w:right w:w="20" w:type="dxa"/>
            </w:tcMar>
          </w:tcPr>
          <w:p w14:paraId="7E7860A1"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A2" w14:textId="77777777" w:rsidR="00A82082" w:rsidRDefault="00A82082">
            <w:pPr>
              <w:rPr>
                <w:rFonts w:ascii="宋体"/>
              </w:rPr>
            </w:pPr>
          </w:p>
        </w:tc>
      </w:tr>
      <w:tr w:rsidR="00A82082" w14:paraId="7E7860A7" w14:textId="77777777">
        <w:tc>
          <w:tcPr>
            <w:tcW w:w="0" w:type="auto"/>
            <w:gridSpan w:val="3"/>
            <w:shd w:val="clear" w:color="auto" w:fill="auto"/>
            <w:tcMar>
              <w:top w:w="40" w:type="dxa"/>
              <w:left w:w="20" w:type="dxa"/>
              <w:bottom w:w="40" w:type="dxa"/>
              <w:right w:w="20" w:type="dxa"/>
            </w:tcMar>
          </w:tcPr>
          <w:p w14:paraId="7E7860A4" w14:textId="77777777" w:rsidR="00A82082" w:rsidRDefault="00E946F9">
            <w:pPr>
              <w:textAlignment w:val="top"/>
            </w:pPr>
            <w:r>
              <w:rPr>
                <w:rFonts w:ascii="Times New Roman" w:eastAsia="宋体" w:hAnsi="Times New Roman"/>
                <w:color w:val="000000"/>
                <w:sz w:val="20"/>
                <w:szCs w:val="20"/>
              </w:rPr>
              <w:t>Exhibit 101.LAB*</w:t>
            </w:r>
          </w:p>
        </w:tc>
        <w:tc>
          <w:tcPr>
            <w:tcW w:w="0" w:type="auto"/>
            <w:gridSpan w:val="3"/>
            <w:shd w:val="clear" w:color="auto" w:fill="auto"/>
            <w:tcMar>
              <w:top w:w="0" w:type="dxa"/>
              <w:left w:w="20" w:type="dxa"/>
              <w:bottom w:w="0" w:type="dxa"/>
              <w:right w:w="20" w:type="dxa"/>
            </w:tcMar>
          </w:tcPr>
          <w:p w14:paraId="7E7860A5"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A6" w14:textId="77777777" w:rsidR="00A82082" w:rsidRDefault="00E946F9">
            <w:pPr>
              <w:textAlignment w:val="top"/>
            </w:pPr>
            <w:r>
              <w:rPr>
                <w:rFonts w:ascii="Times New Roman" w:eastAsia="宋体" w:hAnsi="Times New Roman"/>
                <w:color w:val="000000"/>
                <w:sz w:val="20"/>
                <w:szCs w:val="20"/>
              </w:rPr>
              <w:t>Inline XBRL Taxonomy Extension Label Linkbase Document</w:t>
            </w:r>
          </w:p>
        </w:tc>
      </w:tr>
      <w:tr w:rsidR="00A82082" w14:paraId="7E7860AA" w14:textId="77777777">
        <w:trPr>
          <w:trHeight w:val="100"/>
        </w:trPr>
        <w:tc>
          <w:tcPr>
            <w:tcW w:w="0" w:type="auto"/>
            <w:gridSpan w:val="3"/>
            <w:shd w:val="clear" w:color="auto" w:fill="auto"/>
            <w:tcMar>
              <w:top w:w="0" w:type="dxa"/>
              <w:left w:w="20" w:type="dxa"/>
              <w:bottom w:w="0" w:type="dxa"/>
              <w:right w:w="20" w:type="dxa"/>
            </w:tcMar>
          </w:tcPr>
          <w:p w14:paraId="7E7860A8" w14:textId="77777777" w:rsidR="00A82082" w:rsidRDefault="00A82082">
            <w:pPr>
              <w:rPr>
                <w:rFonts w:ascii="宋体"/>
              </w:rPr>
            </w:pPr>
          </w:p>
        </w:tc>
        <w:tc>
          <w:tcPr>
            <w:tcW w:w="0" w:type="auto"/>
            <w:gridSpan w:val="6"/>
            <w:shd w:val="clear" w:color="auto" w:fill="auto"/>
            <w:tcMar>
              <w:top w:w="0" w:type="dxa"/>
              <w:left w:w="20" w:type="dxa"/>
              <w:bottom w:w="0" w:type="dxa"/>
              <w:right w:w="20" w:type="dxa"/>
            </w:tcMar>
          </w:tcPr>
          <w:p w14:paraId="7E7860A9" w14:textId="77777777" w:rsidR="00A82082" w:rsidRDefault="00A82082">
            <w:pPr>
              <w:rPr>
                <w:rFonts w:ascii="宋体"/>
              </w:rPr>
            </w:pPr>
          </w:p>
        </w:tc>
      </w:tr>
      <w:tr w:rsidR="00A82082" w14:paraId="7E7860AE" w14:textId="77777777">
        <w:tc>
          <w:tcPr>
            <w:tcW w:w="0" w:type="auto"/>
            <w:gridSpan w:val="3"/>
            <w:shd w:val="clear" w:color="auto" w:fill="auto"/>
            <w:tcMar>
              <w:top w:w="40" w:type="dxa"/>
              <w:left w:w="20" w:type="dxa"/>
              <w:bottom w:w="40" w:type="dxa"/>
              <w:right w:w="20" w:type="dxa"/>
            </w:tcMar>
          </w:tcPr>
          <w:p w14:paraId="7E7860AB" w14:textId="77777777" w:rsidR="00A82082" w:rsidRDefault="00E946F9">
            <w:pPr>
              <w:textAlignment w:val="top"/>
            </w:pPr>
            <w:r>
              <w:rPr>
                <w:rFonts w:ascii="Times New Roman" w:eastAsia="宋体" w:hAnsi="Times New Roman"/>
                <w:color w:val="000000"/>
                <w:sz w:val="20"/>
                <w:szCs w:val="20"/>
              </w:rPr>
              <w:t>Exhibit 101.PRE*</w:t>
            </w:r>
          </w:p>
        </w:tc>
        <w:tc>
          <w:tcPr>
            <w:tcW w:w="0" w:type="auto"/>
            <w:gridSpan w:val="3"/>
            <w:shd w:val="clear" w:color="auto" w:fill="auto"/>
            <w:tcMar>
              <w:top w:w="0" w:type="dxa"/>
              <w:left w:w="20" w:type="dxa"/>
              <w:bottom w:w="0" w:type="dxa"/>
              <w:right w:w="20" w:type="dxa"/>
            </w:tcMar>
          </w:tcPr>
          <w:p w14:paraId="7E7860A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tcPr>
          <w:p w14:paraId="7E7860AD" w14:textId="77777777" w:rsidR="00A82082" w:rsidRDefault="00E946F9">
            <w:pPr>
              <w:textAlignment w:val="top"/>
            </w:pPr>
            <w:r>
              <w:rPr>
                <w:rFonts w:ascii="Times New Roman" w:eastAsia="宋体" w:hAnsi="Times New Roman"/>
                <w:color w:val="000000"/>
                <w:sz w:val="20"/>
                <w:szCs w:val="20"/>
              </w:rPr>
              <w:t>Inline XBRL Taxonomy Extension Presentation Linkbase Document</w:t>
            </w:r>
          </w:p>
        </w:tc>
      </w:tr>
      <w:tr w:rsidR="00A82082" w14:paraId="7E7860B2" w14:textId="77777777">
        <w:trPr>
          <w:trHeight w:val="60"/>
        </w:trPr>
        <w:tc>
          <w:tcPr>
            <w:tcW w:w="0" w:type="auto"/>
            <w:gridSpan w:val="3"/>
            <w:shd w:val="clear" w:color="auto" w:fill="auto"/>
            <w:tcMar>
              <w:top w:w="0" w:type="dxa"/>
              <w:left w:w="20" w:type="dxa"/>
              <w:bottom w:w="0" w:type="dxa"/>
              <w:right w:w="20" w:type="dxa"/>
            </w:tcMar>
          </w:tcPr>
          <w:p w14:paraId="7E7860A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B0"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B1" w14:textId="77777777" w:rsidR="00A82082" w:rsidRDefault="00A82082">
            <w:pPr>
              <w:rPr>
                <w:rFonts w:ascii="宋体"/>
              </w:rPr>
            </w:pPr>
          </w:p>
        </w:tc>
      </w:tr>
      <w:tr w:rsidR="00A82082" w14:paraId="7E7860B6" w14:textId="77777777">
        <w:tc>
          <w:tcPr>
            <w:tcW w:w="0" w:type="auto"/>
            <w:gridSpan w:val="3"/>
            <w:shd w:val="clear" w:color="auto" w:fill="auto"/>
            <w:tcMar>
              <w:top w:w="40" w:type="dxa"/>
              <w:left w:w="20" w:type="dxa"/>
              <w:bottom w:w="40" w:type="dxa"/>
              <w:right w:w="20" w:type="dxa"/>
            </w:tcMar>
            <w:vAlign w:val="center"/>
          </w:tcPr>
          <w:p w14:paraId="7E7860B3" w14:textId="77777777" w:rsidR="00A82082" w:rsidRDefault="00E946F9">
            <w:pPr>
              <w:textAlignment w:val="center"/>
            </w:pPr>
            <w:r>
              <w:rPr>
                <w:rFonts w:ascii="Times New Roman" w:eastAsia="宋体" w:hAnsi="Times New Roman"/>
                <w:color w:val="000000"/>
                <w:sz w:val="20"/>
                <w:szCs w:val="20"/>
              </w:rPr>
              <w:t>Exhibit 104</w:t>
            </w:r>
          </w:p>
        </w:tc>
        <w:tc>
          <w:tcPr>
            <w:tcW w:w="0" w:type="auto"/>
            <w:gridSpan w:val="3"/>
            <w:shd w:val="clear" w:color="auto" w:fill="auto"/>
            <w:tcMar>
              <w:top w:w="0" w:type="dxa"/>
              <w:left w:w="20" w:type="dxa"/>
              <w:bottom w:w="0" w:type="dxa"/>
              <w:right w:w="20" w:type="dxa"/>
            </w:tcMar>
          </w:tcPr>
          <w:p w14:paraId="7E7860B4"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B5" w14:textId="77777777" w:rsidR="00A82082" w:rsidRDefault="00E946F9">
            <w:pPr>
              <w:textAlignment w:val="bottom"/>
            </w:pPr>
            <w:r>
              <w:rPr>
                <w:rFonts w:ascii="Times New Roman" w:eastAsia="宋体" w:hAnsi="Times New Roman"/>
                <w:color w:val="000000"/>
                <w:sz w:val="20"/>
                <w:szCs w:val="20"/>
              </w:rPr>
              <w:t xml:space="preserve">The cover page from the Company’s Quarterly Report on Form 10-Q for the </w:t>
            </w:r>
            <w:r>
              <w:rPr>
                <w:rFonts w:ascii="Times New Roman" w:eastAsia="宋体" w:hAnsi="Times New Roman"/>
                <w:color w:val="000000"/>
                <w:sz w:val="20"/>
                <w:szCs w:val="20"/>
              </w:rPr>
              <w:t>quarter ended October 31, 2020, formatted in Inline XBRL (included in Exhibit 101)</w:t>
            </w:r>
          </w:p>
        </w:tc>
      </w:tr>
    </w:tbl>
    <w:p w14:paraId="7E7860B7" w14:textId="77777777" w:rsidR="00A82082" w:rsidRDefault="00E946F9">
      <w:r>
        <w:rPr>
          <w:rFonts w:ascii="Times New Roman" w:eastAsia="宋体" w:hAnsi="Times New Roman"/>
          <w:color w:val="000000"/>
          <w:sz w:val="20"/>
          <w:szCs w:val="20"/>
        </w:rPr>
        <w:t> </w:t>
      </w:r>
    </w:p>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A82082" w14:paraId="7E7860BE" w14:textId="77777777">
        <w:tc>
          <w:tcPr>
            <w:tcW w:w="50" w:type="pct"/>
            <w:shd w:val="clear" w:color="auto" w:fill="auto"/>
          </w:tcPr>
          <w:p w14:paraId="7E7860B8" w14:textId="77777777" w:rsidR="00A82082" w:rsidRDefault="00A82082">
            <w:pPr>
              <w:rPr>
                <w:rFonts w:ascii="宋体"/>
              </w:rPr>
            </w:pPr>
          </w:p>
        </w:tc>
        <w:tc>
          <w:tcPr>
            <w:tcW w:w="311" w:type="pct"/>
            <w:shd w:val="clear" w:color="auto" w:fill="auto"/>
          </w:tcPr>
          <w:p w14:paraId="7E7860B9" w14:textId="77777777" w:rsidR="00A82082" w:rsidRDefault="00A82082">
            <w:pPr>
              <w:rPr>
                <w:rFonts w:ascii="宋体"/>
              </w:rPr>
            </w:pPr>
          </w:p>
        </w:tc>
        <w:tc>
          <w:tcPr>
            <w:tcW w:w="5" w:type="pct"/>
            <w:shd w:val="clear" w:color="auto" w:fill="auto"/>
          </w:tcPr>
          <w:p w14:paraId="7E7860BA" w14:textId="77777777" w:rsidR="00A82082" w:rsidRDefault="00A82082">
            <w:pPr>
              <w:rPr>
                <w:rFonts w:ascii="宋体"/>
              </w:rPr>
            </w:pPr>
          </w:p>
        </w:tc>
        <w:tc>
          <w:tcPr>
            <w:tcW w:w="50" w:type="pct"/>
            <w:shd w:val="clear" w:color="auto" w:fill="auto"/>
          </w:tcPr>
          <w:p w14:paraId="7E7860BB" w14:textId="77777777" w:rsidR="00A82082" w:rsidRDefault="00A82082">
            <w:pPr>
              <w:rPr>
                <w:rFonts w:ascii="宋体"/>
              </w:rPr>
            </w:pPr>
          </w:p>
        </w:tc>
        <w:tc>
          <w:tcPr>
            <w:tcW w:w="4578" w:type="pct"/>
            <w:shd w:val="clear" w:color="auto" w:fill="auto"/>
          </w:tcPr>
          <w:p w14:paraId="7E7860BC" w14:textId="77777777" w:rsidR="00A82082" w:rsidRDefault="00A82082">
            <w:pPr>
              <w:rPr>
                <w:rFonts w:ascii="宋体"/>
              </w:rPr>
            </w:pPr>
          </w:p>
        </w:tc>
        <w:tc>
          <w:tcPr>
            <w:tcW w:w="5" w:type="pct"/>
            <w:shd w:val="clear" w:color="auto" w:fill="auto"/>
          </w:tcPr>
          <w:p w14:paraId="7E7860BD" w14:textId="77777777" w:rsidR="00A82082" w:rsidRDefault="00A82082">
            <w:pPr>
              <w:rPr>
                <w:rFonts w:ascii="宋体"/>
              </w:rPr>
            </w:pPr>
          </w:p>
        </w:tc>
      </w:tr>
      <w:tr w:rsidR="00A82082" w14:paraId="7E7860C1" w14:textId="77777777">
        <w:tc>
          <w:tcPr>
            <w:tcW w:w="0" w:type="auto"/>
            <w:gridSpan w:val="3"/>
            <w:shd w:val="clear" w:color="auto" w:fill="auto"/>
            <w:tcMar>
              <w:top w:w="40" w:type="dxa"/>
              <w:left w:w="20" w:type="dxa"/>
              <w:bottom w:w="40" w:type="dxa"/>
              <w:right w:w="20" w:type="dxa"/>
            </w:tcMar>
          </w:tcPr>
          <w:p w14:paraId="7E7860BF" w14:textId="77777777" w:rsidR="00A82082" w:rsidRDefault="00E946F9">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7E7860C0" w14:textId="77777777" w:rsidR="00A82082" w:rsidRDefault="00E946F9">
            <w:pPr>
              <w:textAlignment w:val="top"/>
            </w:pPr>
            <w:r>
              <w:rPr>
                <w:rFonts w:ascii="Times New Roman" w:eastAsia="宋体" w:hAnsi="Times New Roman"/>
                <w:color w:val="000000"/>
                <w:sz w:val="20"/>
                <w:szCs w:val="20"/>
              </w:rPr>
              <w:t>Filed herewith as an Exhibit.</w:t>
            </w:r>
          </w:p>
        </w:tc>
      </w:tr>
      <w:tr w:rsidR="00A82082" w14:paraId="7E7860C4" w14:textId="77777777">
        <w:tc>
          <w:tcPr>
            <w:tcW w:w="0" w:type="auto"/>
            <w:gridSpan w:val="3"/>
            <w:shd w:val="clear" w:color="auto" w:fill="auto"/>
            <w:tcMar>
              <w:top w:w="40" w:type="dxa"/>
              <w:left w:w="20" w:type="dxa"/>
              <w:bottom w:w="40" w:type="dxa"/>
              <w:right w:w="20" w:type="dxa"/>
            </w:tcMar>
          </w:tcPr>
          <w:p w14:paraId="7E7860C2" w14:textId="77777777" w:rsidR="00A82082" w:rsidRDefault="00E946F9">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7E7860C3" w14:textId="77777777" w:rsidR="00A82082" w:rsidRDefault="00E946F9">
            <w:pPr>
              <w:textAlignment w:val="top"/>
            </w:pPr>
            <w:r>
              <w:rPr>
                <w:rFonts w:ascii="Times New Roman" w:eastAsia="宋体" w:hAnsi="Times New Roman"/>
                <w:color w:val="000000"/>
                <w:sz w:val="20"/>
                <w:szCs w:val="20"/>
              </w:rPr>
              <w:t>Furnished herewith as an Exhibit.</w:t>
            </w:r>
          </w:p>
        </w:tc>
      </w:tr>
    </w:tbl>
    <w:p w14:paraId="7E7860C5" w14:textId="77777777" w:rsidR="00A82082" w:rsidRDefault="00A82082"/>
    <w:p w14:paraId="7E7860C6" w14:textId="77777777" w:rsidR="00A82082" w:rsidRDefault="00E946F9">
      <w:pPr>
        <w:jc w:val="center"/>
      </w:pPr>
      <w:r>
        <w:rPr>
          <w:rFonts w:ascii="Times New Roman" w:eastAsia="宋体" w:hAnsi="Times New Roman"/>
          <w:color w:val="000000"/>
          <w:sz w:val="20"/>
          <w:szCs w:val="20"/>
        </w:rPr>
        <w:t>34</w:t>
      </w:r>
    </w:p>
    <w:p w14:paraId="7E7860C7" w14:textId="77777777" w:rsidR="00A82082" w:rsidRDefault="00E946F9">
      <w:r>
        <w:pict w14:anchorId="7E78616A">
          <v:rect id="_x0000_i1058" style="width:415.3pt;height:1.5pt" o:hralign="center" o:hrstd="t" o:hr="t" fillcolor="#a0a0a0" stroked="f"/>
        </w:pict>
      </w:r>
    </w:p>
    <w:p w14:paraId="7E7860C8" w14:textId="77777777" w:rsidR="00A82082" w:rsidRDefault="00E946F9">
      <w:hyperlink r:id="rId152" w:anchor="i5c815528a95c4409b9043de534639b9a_7" w:history="1">
        <w:r>
          <w:rPr>
            <w:rStyle w:val="a5"/>
            <w:rFonts w:ascii="Times New Roman" w:eastAsia="宋体" w:hAnsi="Times New Roman"/>
            <w:sz w:val="20"/>
            <w:szCs w:val="20"/>
          </w:rPr>
          <w:t>Table of C</w:t>
        </w:r>
      </w:hyperlink>
      <w:hyperlink r:id="rId153" w:anchor="i5c815528a95c4409b9043de534639b9a_7" w:history="1">
        <w:r>
          <w:rPr>
            <w:rStyle w:val="a5"/>
            <w:rFonts w:ascii="Times New Roman" w:eastAsia="宋体" w:hAnsi="Times New Roman"/>
            <w:sz w:val="20"/>
            <w:szCs w:val="20"/>
          </w:rPr>
          <w:t>ontents</w:t>
        </w:r>
      </w:hyperlink>
    </w:p>
    <w:p w14:paraId="7E7860C9" w14:textId="77777777" w:rsidR="00A82082" w:rsidRDefault="00E946F9">
      <w:pPr>
        <w:spacing w:before="100"/>
        <w:jc w:val="center"/>
      </w:pPr>
      <w:r>
        <w:rPr>
          <w:rFonts w:ascii="Times New Roman" w:eastAsia="宋体" w:hAnsi="Times New Roman"/>
          <w:b/>
          <w:bCs/>
          <w:color w:val="000000"/>
          <w:sz w:val="20"/>
          <w:szCs w:val="20"/>
        </w:rPr>
        <w:t>SIGNATURES</w:t>
      </w:r>
    </w:p>
    <w:p w14:paraId="7E7860CA" w14:textId="77777777" w:rsidR="00A82082" w:rsidRDefault="00E946F9">
      <w:pPr>
        <w:spacing w:before="180"/>
      </w:pPr>
      <w:r>
        <w:rPr>
          <w:rFonts w:ascii="Times New Roman" w:eastAsia="宋体" w:hAnsi="Times New Roman"/>
          <w:color w:val="000000"/>
          <w:sz w:val="20"/>
          <w:szCs w:val="20"/>
        </w:rPr>
        <w:t xml:space="preserve">Pursuant to the requirements of the Securities Exchange Act of 1934, the registrant has duly caused this report to be signed on its behalf by the undersigned thereunto duly </w:t>
      </w:r>
      <w:r>
        <w:rPr>
          <w:rFonts w:ascii="Times New Roman" w:eastAsia="宋体" w:hAnsi="Times New Roman"/>
          <w:color w:val="000000"/>
          <w:sz w:val="20"/>
          <w:szCs w:val="20"/>
        </w:rPr>
        <w:t>authorized.</w:t>
      </w:r>
    </w:p>
    <w:p w14:paraId="7E7860CB" w14:textId="77777777" w:rsidR="00A82082" w:rsidRDefault="00E946F9">
      <w:pPr>
        <w:jc w:val="center"/>
      </w:pPr>
      <w:r>
        <w:rPr>
          <w:rFonts w:ascii="Times New Roman" w:eastAsia="宋体" w:hAnsi="Times New Roman"/>
          <w:color w:val="000000"/>
          <w:sz w:val="18"/>
          <w:szCs w:val="18"/>
        </w:rPr>
        <w:t> </w:t>
      </w:r>
    </w:p>
    <w:p w14:paraId="7E7860CC" w14:textId="77777777" w:rsidR="00A82082" w:rsidRDefault="00E946F9">
      <w:pPr>
        <w:jc w:val="center"/>
      </w:pPr>
      <w:r>
        <w:rPr>
          <w:rFonts w:ascii="Times New Roman" w:eastAsia="宋体" w:hAnsi="Times New Roman"/>
          <w:b/>
          <w:bCs/>
          <w:color w:val="000000"/>
          <w:sz w:val="20"/>
          <w:szCs w:val="20"/>
        </w:rPr>
        <w:t>WALMART INC.</w:t>
      </w:r>
    </w:p>
    <w:tbl>
      <w:tblPr>
        <w:tblW w:w="4912" w:type="pct"/>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A82082" w14:paraId="7E7860D9" w14:textId="77777777">
        <w:tc>
          <w:tcPr>
            <w:tcW w:w="50" w:type="pct"/>
            <w:shd w:val="clear" w:color="auto" w:fill="auto"/>
          </w:tcPr>
          <w:p w14:paraId="7E7860CD" w14:textId="77777777" w:rsidR="00A82082" w:rsidRDefault="00A82082">
            <w:pPr>
              <w:rPr>
                <w:rFonts w:ascii="宋体"/>
              </w:rPr>
            </w:pPr>
          </w:p>
        </w:tc>
        <w:tc>
          <w:tcPr>
            <w:tcW w:w="1195" w:type="pct"/>
            <w:shd w:val="clear" w:color="auto" w:fill="auto"/>
          </w:tcPr>
          <w:p w14:paraId="7E7860CE" w14:textId="77777777" w:rsidR="00A82082" w:rsidRDefault="00A82082">
            <w:pPr>
              <w:rPr>
                <w:rFonts w:ascii="宋体"/>
              </w:rPr>
            </w:pPr>
          </w:p>
        </w:tc>
        <w:tc>
          <w:tcPr>
            <w:tcW w:w="5" w:type="pct"/>
            <w:shd w:val="clear" w:color="auto" w:fill="auto"/>
          </w:tcPr>
          <w:p w14:paraId="7E7860CF" w14:textId="77777777" w:rsidR="00A82082" w:rsidRDefault="00A82082">
            <w:pPr>
              <w:rPr>
                <w:rFonts w:ascii="宋体"/>
              </w:rPr>
            </w:pPr>
          </w:p>
        </w:tc>
        <w:tc>
          <w:tcPr>
            <w:tcW w:w="50" w:type="pct"/>
            <w:shd w:val="clear" w:color="auto" w:fill="auto"/>
          </w:tcPr>
          <w:p w14:paraId="7E7860D0" w14:textId="77777777" w:rsidR="00A82082" w:rsidRDefault="00A82082">
            <w:pPr>
              <w:rPr>
                <w:rFonts w:ascii="宋体"/>
              </w:rPr>
            </w:pPr>
          </w:p>
        </w:tc>
        <w:tc>
          <w:tcPr>
            <w:tcW w:w="302" w:type="pct"/>
            <w:shd w:val="clear" w:color="auto" w:fill="auto"/>
          </w:tcPr>
          <w:p w14:paraId="7E7860D1" w14:textId="77777777" w:rsidR="00A82082" w:rsidRDefault="00A82082">
            <w:pPr>
              <w:rPr>
                <w:rFonts w:ascii="宋体"/>
              </w:rPr>
            </w:pPr>
          </w:p>
        </w:tc>
        <w:tc>
          <w:tcPr>
            <w:tcW w:w="5" w:type="pct"/>
            <w:shd w:val="clear" w:color="auto" w:fill="auto"/>
          </w:tcPr>
          <w:p w14:paraId="7E7860D2" w14:textId="77777777" w:rsidR="00A82082" w:rsidRDefault="00A82082">
            <w:pPr>
              <w:rPr>
                <w:rFonts w:ascii="宋体"/>
              </w:rPr>
            </w:pPr>
          </w:p>
        </w:tc>
        <w:tc>
          <w:tcPr>
            <w:tcW w:w="5" w:type="pct"/>
            <w:shd w:val="clear" w:color="auto" w:fill="auto"/>
          </w:tcPr>
          <w:p w14:paraId="7E7860D3" w14:textId="77777777" w:rsidR="00A82082" w:rsidRDefault="00A82082">
            <w:pPr>
              <w:rPr>
                <w:rFonts w:ascii="宋体"/>
              </w:rPr>
            </w:pPr>
          </w:p>
        </w:tc>
        <w:tc>
          <w:tcPr>
            <w:tcW w:w="27" w:type="pct"/>
            <w:shd w:val="clear" w:color="auto" w:fill="auto"/>
          </w:tcPr>
          <w:p w14:paraId="7E7860D4" w14:textId="77777777" w:rsidR="00A82082" w:rsidRDefault="00A82082">
            <w:pPr>
              <w:rPr>
                <w:rFonts w:ascii="宋体"/>
              </w:rPr>
            </w:pPr>
          </w:p>
        </w:tc>
        <w:tc>
          <w:tcPr>
            <w:tcW w:w="5" w:type="pct"/>
            <w:shd w:val="clear" w:color="auto" w:fill="auto"/>
          </w:tcPr>
          <w:p w14:paraId="7E7860D5" w14:textId="77777777" w:rsidR="00A82082" w:rsidRDefault="00A82082">
            <w:pPr>
              <w:rPr>
                <w:rFonts w:ascii="宋体"/>
              </w:rPr>
            </w:pPr>
          </w:p>
        </w:tc>
        <w:tc>
          <w:tcPr>
            <w:tcW w:w="50" w:type="pct"/>
            <w:shd w:val="clear" w:color="auto" w:fill="auto"/>
          </w:tcPr>
          <w:p w14:paraId="7E7860D6" w14:textId="77777777" w:rsidR="00A82082" w:rsidRDefault="00A82082">
            <w:pPr>
              <w:rPr>
                <w:rFonts w:ascii="宋体"/>
              </w:rPr>
            </w:pPr>
          </w:p>
        </w:tc>
        <w:tc>
          <w:tcPr>
            <w:tcW w:w="3300" w:type="pct"/>
            <w:shd w:val="clear" w:color="auto" w:fill="auto"/>
          </w:tcPr>
          <w:p w14:paraId="7E7860D7" w14:textId="77777777" w:rsidR="00A82082" w:rsidRDefault="00A82082">
            <w:pPr>
              <w:rPr>
                <w:rFonts w:ascii="宋体"/>
              </w:rPr>
            </w:pPr>
          </w:p>
        </w:tc>
        <w:tc>
          <w:tcPr>
            <w:tcW w:w="5" w:type="pct"/>
            <w:shd w:val="clear" w:color="auto" w:fill="auto"/>
          </w:tcPr>
          <w:p w14:paraId="7E7860D8" w14:textId="77777777" w:rsidR="00A82082" w:rsidRDefault="00A82082">
            <w:pPr>
              <w:rPr>
                <w:rFonts w:ascii="宋体"/>
              </w:rPr>
            </w:pPr>
          </w:p>
        </w:tc>
      </w:tr>
      <w:tr w:rsidR="00A82082" w14:paraId="7E7860DE" w14:textId="77777777">
        <w:tc>
          <w:tcPr>
            <w:tcW w:w="0" w:type="auto"/>
            <w:gridSpan w:val="3"/>
            <w:shd w:val="clear" w:color="auto" w:fill="auto"/>
            <w:tcMar>
              <w:top w:w="40" w:type="dxa"/>
              <w:left w:w="20" w:type="dxa"/>
              <w:bottom w:w="40" w:type="dxa"/>
              <w:right w:w="20" w:type="dxa"/>
            </w:tcMar>
            <w:vAlign w:val="bottom"/>
          </w:tcPr>
          <w:p w14:paraId="7E7860DA" w14:textId="77777777" w:rsidR="00A82082" w:rsidRDefault="00E946F9">
            <w:pPr>
              <w:textAlignment w:val="bottom"/>
            </w:pPr>
            <w:r>
              <w:rPr>
                <w:rFonts w:ascii="Times New Roman" w:eastAsia="宋体" w:hAnsi="Times New Roman"/>
                <w:color w:val="000000"/>
                <w:sz w:val="18"/>
                <w:szCs w:val="18"/>
              </w:rPr>
              <w:t>December 2, 2020</w:t>
            </w:r>
          </w:p>
        </w:tc>
        <w:tc>
          <w:tcPr>
            <w:tcW w:w="0" w:type="auto"/>
            <w:gridSpan w:val="3"/>
            <w:shd w:val="clear" w:color="auto" w:fill="auto"/>
            <w:tcMar>
              <w:top w:w="40" w:type="dxa"/>
              <w:left w:w="20" w:type="dxa"/>
              <w:bottom w:w="40" w:type="dxa"/>
              <w:right w:w="20" w:type="dxa"/>
            </w:tcMar>
            <w:vAlign w:val="bottom"/>
          </w:tcPr>
          <w:p w14:paraId="7E7860DB" w14:textId="77777777" w:rsidR="00A82082" w:rsidRDefault="00E946F9">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7E7860DC"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DD" w14:textId="77777777" w:rsidR="00A82082" w:rsidRDefault="00E946F9">
            <w:pPr>
              <w:jc w:val="center"/>
              <w:textAlignment w:val="bottom"/>
            </w:pPr>
            <w:r>
              <w:rPr>
                <w:rFonts w:ascii="Times New Roman" w:eastAsia="宋体" w:hAnsi="Times New Roman"/>
                <w:color w:val="000000"/>
                <w:sz w:val="18"/>
                <w:szCs w:val="18"/>
              </w:rPr>
              <w:t>/s/ C. Douglas McMillon</w:t>
            </w:r>
          </w:p>
        </w:tc>
      </w:tr>
      <w:tr w:rsidR="00A82082" w14:paraId="7E7860E3" w14:textId="77777777">
        <w:tc>
          <w:tcPr>
            <w:tcW w:w="0" w:type="auto"/>
            <w:gridSpan w:val="3"/>
            <w:shd w:val="clear" w:color="auto" w:fill="auto"/>
            <w:tcMar>
              <w:top w:w="0" w:type="dxa"/>
              <w:left w:w="20" w:type="dxa"/>
              <w:bottom w:w="0" w:type="dxa"/>
              <w:right w:w="20" w:type="dxa"/>
            </w:tcMar>
          </w:tcPr>
          <w:p w14:paraId="7E7860D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0"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1"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60E2" w14:textId="77777777" w:rsidR="00A82082" w:rsidRDefault="00E946F9">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President and Chief Executive Officer</w:t>
            </w:r>
            <w:r>
              <w:rPr>
                <w:rFonts w:ascii="Times New Roman" w:eastAsia="宋体" w:hAnsi="Times New Roman"/>
                <w:b/>
                <w:bCs/>
                <w:color w:val="000000"/>
                <w:sz w:val="16"/>
                <w:szCs w:val="16"/>
              </w:rPr>
              <w:br/>
              <w:t>(Principal Executive Officer)</w:t>
            </w:r>
          </w:p>
        </w:tc>
      </w:tr>
      <w:tr w:rsidR="00A82082" w14:paraId="7E7860E8" w14:textId="77777777">
        <w:trPr>
          <w:trHeight w:val="300"/>
        </w:trPr>
        <w:tc>
          <w:tcPr>
            <w:tcW w:w="0" w:type="auto"/>
            <w:gridSpan w:val="3"/>
            <w:shd w:val="clear" w:color="auto" w:fill="auto"/>
            <w:tcMar>
              <w:top w:w="0" w:type="dxa"/>
              <w:left w:w="20" w:type="dxa"/>
              <w:bottom w:w="0" w:type="dxa"/>
              <w:right w:w="20" w:type="dxa"/>
            </w:tcMar>
          </w:tcPr>
          <w:p w14:paraId="7E7860E4"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6"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7" w14:textId="77777777" w:rsidR="00A82082" w:rsidRDefault="00A82082">
            <w:pPr>
              <w:rPr>
                <w:rFonts w:ascii="宋体"/>
              </w:rPr>
            </w:pPr>
          </w:p>
        </w:tc>
      </w:tr>
      <w:tr w:rsidR="00A82082" w14:paraId="7E7860ED" w14:textId="77777777">
        <w:tc>
          <w:tcPr>
            <w:tcW w:w="0" w:type="auto"/>
            <w:gridSpan w:val="3"/>
            <w:shd w:val="clear" w:color="auto" w:fill="auto"/>
            <w:tcMar>
              <w:top w:w="40" w:type="dxa"/>
              <w:left w:w="20" w:type="dxa"/>
              <w:bottom w:w="40" w:type="dxa"/>
              <w:right w:w="20" w:type="dxa"/>
            </w:tcMar>
            <w:vAlign w:val="bottom"/>
          </w:tcPr>
          <w:p w14:paraId="7E7860E9" w14:textId="77777777" w:rsidR="00A82082" w:rsidRDefault="00E946F9">
            <w:pPr>
              <w:textAlignment w:val="bottom"/>
            </w:pPr>
            <w:r>
              <w:rPr>
                <w:rFonts w:ascii="Times New Roman" w:eastAsia="宋体" w:hAnsi="Times New Roman"/>
                <w:color w:val="000000"/>
                <w:sz w:val="18"/>
                <w:szCs w:val="18"/>
              </w:rPr>
              <w:t>December 2, 2020</w:t>
            </w:r>
          </w:p>
        </w:tc>
        <w:tc>
          <w:tcPr>
            <w:tcW w:w="0" w:type="auto"/>
            <w:gridSpan w:val="3"/>
            <w:shd w:val="clear" w:color="auto" w:fill="auto"/>
            <w:tcMar>
              <w:top w:w="40" w:type="dxa"/>
              <w:left w:w="20" w:type="dxa"/>
              <w:bottom w:w="40" w:type="dxa"/>
              <w:right w:w="20" w:type="dxa"/>
            </w:tcMar>
            <w:vAlign w:val="bottom"/>
          </w:tcPr>
          <w:p w14:paraId="7E7860EA" w14:textId="77777777" w:rsidR="00A82082" w:rsidRDefault="00E946F9">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7E7860EB"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EC" w14:textId="77777777" w:rsidR="00A82082" w:rsidRDefault="00E946F9">
            <w:pPr>
              <w:jc w:val="center"/>
              <w:textAlignment w:val="bottom"/>
            </w:pPr>
            <w:r>
              <w:rPr>
                <w:rFonts w:ascii="Times New Roman" w:eastAsia="宋体" w:hAnsi="Times New Roman"/>
                <w:color w:val="000000"/>
                <w:sz w:val="18"/>
                <w:szCs w:val="18"/>
              </w:rPr>
              <w:t>/s/ M. Brett Biggs</w:t>
            </w:r>
          </w:p>
        </w:tc>
      </w:tr>
      <w:tr w:rsidR="00A82082" w14:paraId="7E7860F2" w14:textId="77777777">
        <w:tc>
          <w:tcPr>
            <w:tcW w:w="0" w:type="auto"/>
            <w:gridSpan w:val="3"/>
            <w:shd w:val="clear" w:color="auto" w:fill="auto"/>
            <w:tcMar>
              <w:top w:w="0" w:type="dxa"/>
              <w:left w:w="20" w:type="dxa"/>
              <w:bottom w:w="0" w:type="dxa"/>
              <w:right w:w="20" w:type="dxa"/>
            </w:tcMar>
          </w:tcPr>
          <w:p w14:paraId="7E7860E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EF"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0"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60F1" w14:textId="77777777" w:rsidR="00A82082" w:rsidRDefault="00E946F9">
            <w:pPr>
              <w:jc w:val="center"/>
              <w:textAlignment w:val="bottom"/>
            </w:pPr>
            <w:r>
              <w:rPr>
                <w:rFonts w:ascii="Times New Roman" w:eastAsia="宋体" w:hAnsi="Times New Roman"/>
                <w:b/>
                <w:bCs/>
                <w:color w:val="000000"/>
                <w:sz w:val="16"/>
                <w:szCs w:val="16"/>
              </w:rPr>
              <w:t>M. Brett Biggs</w:t>
            </w:r>
            <w:r>
              <w:rPr>
                <w:rFonts w:ascii="Times New Roman" w:eastAsia="宋体" w:hAnsi="Times New Roman"/>
                <w:b/>
                <w:bCs/>
                <w:color w:val="000000"/>
                <w:sz w:val="16"/>
                <w:szCs w:val="16"/>
              </w:rPr>
              <w:br/>
            </w:r>
            <w:r>
              <w:rPr>
                <w:rFonts w:ascii="Times New Roman" w:eastAsia="宋体" w:hAnsi="Times New Roman"/>
                <w:b/>
                <w:bCs/>
                <w:color w:val="000000"/>
                <w:sz w:val="16"/>
                <w:szCs w:val="16"/>
              </w:rPr>
              <w:t>Executive Vice President and Chief Financial Officer</w:t>
            </w:r>
            <w:r>
              <w:rPr>
                <w:rFonts w:ascii="Times New Roman" w:eastAsia="宋体" w:hAnsi="Times New Roman"/>
                <w:b/>
                <w:bCs/>
                <w:color w:val="000000"/>
                <w:sz w:val="16"/>
                <w:szCs w:val="16"/>
              </w:rPr>
              <w:br/>
              <w:t>(Principal Financial Officer)</w:t>
            </w:r>
          </w:p>
        </w:tc>
      </w:tr>
      <w:tr w:rsidR="00A82082" w14:paraId="7E7860F7" w14:textId="77777777">
        <w:trPr>
          <w:trHeight w:val="300"/>
        </w:trPr>
        <w:tc>
          <w:tcPr>
            <w:tcW w:w="0" w:type="auto"/>
            <w:gridSpan w:val="3"/>
            <w:shd w:val="clear" w:color="auto" w:fill="auto"/>
            <w:tcMar>
              <w:top w:w="0" w:type="dxa"/>
              <w:left w:w="20" w:type="dxa"/>
              <w:bottom w:w="0" w:type="dxa"/>
              <w:right w:w="20" w:type="dxa"/>
            </w:tcMar>
          </w:tcPr>
          <w:p w14:paraId="7E7860F3"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4"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5"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6" w14:textId="77777777" w:rsidR="00A82082" w:rsidRDefault="00A82082">
            <w:pPr>
              <w:rPr>
                <w:rFonts w:ascii="宋体"/>
              </w:rPr>
            </w:pPr>
          </w:p>
        </w:tc>
      </w:tr>
      <w:tr w:rsidR="00A82082" w14:paraId="7E7860FC" w14:textId="77777777">
        <w:tc>
          <w:tcPr>
            <w:tcW w:w="0" w:type="auto"/>
            <w:gridSpan w:val="3"/>
            <w:shd w:val="clear" w:color="auto" w:fill="auto"/>
            <w:tcMar>
              <w:top w:w="40" w:type="dxa"/>
              <w:left w:w="20" w:type="dxa"/>
              <w:bottom w:w="40" w:type="dxa"/>
              <w:right w:w="20" w:type="dxa"/>
            </w:tcMar>
            <w:vAlign w:val="bottom"/>
          </w:tcPr>
          <w:p w14:paraId="7E7860F8" w14:textId="77777777" w:rsidR="00A82082" w:rsidRDefault="00E946F9">
            <w:pPr>
              <w:textAlignment w:val="bottom"/>
            </w:pPr>
            <w:r>
              <w:rPr>
                <w:rFonts w:ascii="Times New Roman" w:eastAsia="宋体" w:hAnsi="Times New Roman"/>
                <w:color w:val="000000"/>
                <w:sz w:val="18"/>
                <w:szCs w:val="18"/>
              </w:rPr>
              <w:t>December 2, 2020</w:t>
            </w:r>
          </w:p>
        </w:tc>
        <w:tc>
          <w:tcPr>
            <w:tcW w:w="0" w:type="auto"/>
            <w:gridSpan w:val="3"/>
            <w:shd w:val="clear" w:color="auto" w:fill="auto"/>
            <w:tcMar>
              <w:top w:w="40" w:type="dxa"/>
              <w:left w:w="20" w:type="dxa"/>
              <w:bottom w:w="40" w:type="dxa"/>
              <w:right w:w="20" w:type="dxa"/>
            </w:tcMar>
            <w:vAlign w:val="bottom"/>
          </w:tcPr>
          <w:p w14:paraId="7E7860F9" w14:textId="77777777" w:rsidR="00A82082" w:rsidRDefault="00E946F9">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7E7860FA" w14:textId="77777777" w:rsidR="00A82082" w:rsidRDefault="00A82082">
            <w:pPr>
              <w:rPr>
                <w:rFonts w:ascii="宋体"/>
              </w:rPr>
            </w:pPr>
          </w:p>
        </w:tc>
        <w:tc>
          <w:tcPr>
            <w:tcW w:w="0" w:type="auto"/>
            <w:gridSpan w:val="3"/>
            <w:shd w:val="clear" w:color="auto" w:fill="auto"/>
            <w:tcMar>
              <w:top w:w="40" w:type="dxa"/>
              <w:left w:w="20" w:type="dxa"/>
              <w:bottom w:w="40" w:type="dxa"/>
              <w:right w:w="20" w:type="dxa"/>
            </w:tcMar>
            <w:vAlign w:val="bottom"/>
          </w:tcPr>
          <w:p w14:paraId="7E7860FB" w14:textId="77777777" w:rsidR="00A82082" w:rsidRDefault="00E946F9">
            <w:pPr>
              <w:jc w:val="center"/>
              <w:textAlignment w:val="bottom"/>
            </w:pPr>
            <w:r>
              <w:rPr>
                <w:rFonts w:ascii="Times New Roman" w:eastAsia="宋体" w:hAnsi="Times New Roman"/>
                <w:color w:val="000000"/>
                <w:sz w:val="18"/>
                <w:szCs w:val="18"/>
              </w:rPr>
              <w:t>/s/ David M. Chojnowski</w:t>
            </w:r>
          </w:p>
        </w:tc>
      </w:tr>
      <w:tr w:rsidR="00A82082" w14:paraId="7E786101" w14:textId="77777777">
        <w:tc>
          <w:tcPr>
            <w:tcW w:w="0" w:type="auto"/>
            <w:gridSpan w:val="3"/>
            <w:shd w:val="clear" w:color="auto" w:fill="auto"/>
            <w:tcMar>
              <w:top w:w="0" w:type="dxa"/>
              <w:left w:w="20" w:type="dxa"/>
              <w:bottom w:w="0" w:type="dxa"/>
              <w:right w:w="20" w:type="dxa"/>
            </w:tcMar>
          </w:tcPr>
          <w:p w14:paraId="7E7860FD"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E" w14:textId="77777777" w:rsidR="00A82082" w:rsidRDefault="00A82082">
            <w:pPr>
              <w:rPr>
                <w:rFonts w:ascii="宋体"/>
              </w:rPr>
            </w:pPr>
          </w:p>
        </w:tc>
        <w:tc>
          <w:tcPr>
            <w:tcW w:w="0" w:type="auto"/>
            <w:gridSpan w:val="3"/>
            <w:shd w:val="clear" w:color="auto" w:fill="auto"/>
            <w:tcMar>
              <w:top w:w="0" w:type="dxa"/>
              <w:left w:w="20" w:type="dxa"/>
              <w:bottom w:w="0" w:type="dxa"/>
              <w:right w:w="20" w:type="dxa"/>
            </w:tcMar>
          </w:tcPr>
          <w:p w14:paraId="7E7860FF" w14:textId="77777777" w:rsidR="00A82082" w:rsidRDefault="00A8208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786100" w14:textId="77777777" w:rsidR="00A82082" w:rsidRDefault="00E946F9">
            <w:pPr>
              <w:jc w:val="center"/>
              <w:textAlignment w:val="bottom"/>
            </w:pPr>
            <w:r>
              <w:rPr>
                <w:rFonts w:ascii="Times New Roman" w:eastAsia="宋体" w:hAnsi="Times New Roman"/>
                <w:b/>
                <w:bCs/>
                <w:color w:val="000000"/>
                <w:sz w:val="16"/>
                <w:szCs w:val="16"/>
              </w:rPr>
              <w:t>David M. 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7E786102" w14:textId="77777777" w:rsidR="00A82082" w:rsidRDefault="00A82082"/>
    <w:p w14:paraId="7E786103" w14:textId="77777777" w:rsidR="00A82082" w:rsidRDefault="00E946F9">
      <w:pPr>
        <w:jc w:val="center"/>
      </w:pPr>
      <w:r>
        <w:rPr>
          <w:rFonts w:ascii="Times New Roman" w:eastAsia="宋体" w:hAnsi="Times New Roman"/>
          <w:color w:val="000000"/>
          <w:sz w:val="20"/>
          <w:szCs w:val="20"/>
        </w:rPr>
        <w:t>35</w:t>
      </w:r>
    </w:p>
    <w:p w14:paraId="7E786104" w14:textId="77777777" w:rsidR="00A82082" w:rsidRDefault="00E946F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78616B" wp14:editId="7E78616C">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06" w14:textId="77777777">
        <w:trPr>
          <w:tblCellSpacing w:w="15" w:type="dxa"/>
        </w:trPr>
        <w:tc>
          <w:tcPr>
            <w:tcW w:w="0" w:type="auto"/>
            <w:shd w:val="clear" w:color="auto" w:fill="auto"/>
            <w:vAlign w:val="center"/>
          </w:tcPr>
          <w:p w14:paraId="7E786105" w14:textId="77777777" w:rsidR="00A82082" w:rsidRDefault="00A82082">
            <w:pPr>
              <w:rPr>
                <w:rFonts w:ascii="宋体"/>
              </w:rPr>
            </w:pPr>
          </w:p>
        </w:tc>
      </w:tr>
    </w:tbl>
    <w:p w14:paraId="7E786107"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09" w14:textId="77777777">
        <w:trPr>
          <w:tblCellSpacing w:w="15" w:type="dxa"/>
        </w:trPr>
        <w:tc>
          <w:tcPr>
            <w:tcW w:w="0" w:type="auto"/>
            <w:shd w:val="clear" w:color="auto" w:fill="auto"/>
            <w:vAlign w:val="center"/>
          </w:tcPr>
          <w:p w14:paraId="7E786108" w14:textId="77777777" w:rsidR="00A82082" w:rsidRDefault="00A82082">
            <w:pPr>
              <w:rPr>
                <w:rFonts w:ascii="宋体"/>
              </w:rPr>
            </w:pPr>
          </w:p>
        </w:tc>
      </w:tr>
    </w:tbl>
    <w:p w14:paraId="7E78610A"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0C" w14:textId="77777777">
        <w:trPr>
          <w:tblCellSpacing w:w="15" w:type="dxa"/>
        </w:trPr>
        <w:tc>
          <w:tcPr>
            <w:tcW w:w="0" w:type="auto"/>
            <w:shd w:val="clear" w:color="auto" w:fill="auto"/>
            <w:vAlign w:val="center"/>
          </w:tcPr>
          <w:p w14:paraId="7E78610B" w14:textId="77777777" w:rsidR="00A82082" w:rsidRDefault="00A82082">
            <w:pPr>
              <w:rPr>
                <w:rFonts w:ascii="宋体"/>
              </w:rPr>
            </w:pPr>
          </w:p>
        </w:tc>
      </w:tr>
    </w:tbl>
    <w:p w14:paraId="7E78610D"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0F" w14:textId="77777777">
        <w:trPr>
          <w:tblCellSpacing w:w="15" w:type="dxa"/>
        </w:trPr>
        <w:tc>
          <w:tcPr>
            <w:tcW w:w="0" w:type="auto"/>
            <w:shd w:val="clear" w:color="auto" w:fill="auto"/>
            <w:vAlign w:val="center"/>
          </w:tcPr>
          <w:p w14:paraId="7E78610E" w14:textId="77777777" w:rsidR="00A82082" w:rsidRDefault="00A82082">
            <w:pPr>
              <w:rPr>
                <w:rFonts w:ascii="宋体"/>
              </w:rPr>
            </w:pPr>
          </w:p>
        </w:tc>
      </w:tr>
    </w:tbl>
    <w:p w14:paraId="7E786110" w14:textId="77777777" w:rsidR="00A82082" w:rsidRDefault="00E946F9">
      <w:r>
        <w:rPr>
          <w:rFonts w:ascii="宋体" w:eastAsia="宋体" w:hAnsi="宋体" w:cs="宋体"/>
        </w:rPr>
        <w:t xml:space="preserve">Previous Next </w:t>
      </w:r>
    </w:p>
    <w:p w14:paraId="7E786111" w14:textId="77777777" w:rsidR="00A82082" w:rsidRDefault="00E946F9">
      <w:pPr>
        <w:pStyle w:val="a3"/>
      </w:pPr>
      <w:r>
        <w:t>Settings</w:t>
      </w:r>
    </w:p>
    <w:p w14:paraId="7E786112" w14:textId="77777777" w:rsidR="00A82082" w:rsidRDefault="00E946F9">
      <w:pPr>
        <w:pStyle w:val="Style4"/>
      </w:pPr>
      <w:r>
        <w:t>窗体顶端</w:t>
      </w:r>
    </w:p>
    <w:p w14:paraId="7E786113" w14:textId="77777777" w:rsidR="00A82082" w:rsidRDefault="00E946F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E78616D" wp14:editId="7E78616E">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TiFKg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fHbO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04hSo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E786114" w14:textId="77777777" w:rsidR="00A82082" w:rsidRDefault="00E946F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E78616F" wp14:editId="7E78617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E786115" w14:textId="77777777" w:rsidR="00A82082" w:rsidRDefault="00E946F9">
      <w:r>
        <w:pict w14:anchorId="7E786171">
          <v:rect id="_x0000_i1059" style="width:415.3pt;height:1.5pt" o:hralign="center" o:hrstd="t" o:hr="t" fillcolor="#a0a0a0" stroked="f"/>
        </w:pict>
      </w:r>
    </w:p>
    <w:p w14:paraId="7E786116" w14:textId="77777777" w:rsidR="00A82082" w:rsidRDefault="00E946F9">
      <w:r>
        <w:rPr>
          <w:rFonts w:ascii="宋体" w:eastAsia="宋体" w:hAnsi="宋体" w:cs="宋体"/>
        </w:rPr>
        <w:t xml:space="preserve">Tagged Data </w:t>
      </w:r>
    </w:p>
    <w:p w14:paraId="7E786117" w14:textId="77777777" w:rsidR="00A82082" w:rsidRDefault="00E946F9">
      <w:r>
        <w:rPr>
          <w:rFonts w:ascii="monospace" w:eastAsia="monospace" w:hAnsi="monospace" w:cs="monospace"/>
          <w:noProof/>
        </w:rPr>
        <mc:AlternateContent>
          <mc:Choice Requires="wps">
            <w:drawing>
              <wp:inline distT="0" distB="0" distL="114300" distR="114300" wp14:anchorId="7E786172" wp14:editId="7E786173">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E786118" w14:textId="77777777" w:rsidR="00A82082" w:rsidRDefault="00E946F9">
      <w:r>
        <w:rPr>
          <w:rFonts w:ascii="宋体" w:eastAsia="宋体" w:hAnsi="宋体" w:cs="宋体"/>
        </w:rPr>
        <w:t>Save</w:t>
      </w:r>
    </w:p>
    <w:p w14:paraId="7E786119" w14:textId="77777777" w:rsidR="00A82082" w:rsidRDefault="00E946F9">
      <w:r>
        <w:rPr>
          <w:rFonts w:ascii="宋体" w:eastAsia="宋体" w:hAnsi="宋体" w:cs="宋体"/>
        </w:rPr>
        <w:t>Reset</w:t>
      </w:r>
    </w:p>
    <w:p w14:paraId="7E78611A" w14:textId="77777777" w:rsidR="00A82082" w:rsidRDefault="00E946F9">
      <w:r>
        <w:pict w14:anchorId="7E786174">
          <v:rect id="_x0000_i1060" style="width:415.3pt;height:1.5pt" o:hralign="center" o:hrstd="t" o:hr="t" fillcolor="#a0a0a0" stroked="f"/>
        </w:pict>
      </w:r>
    </w:p>
    <w:p w14:paraId="7E78611B" w14:textId="77777777" w:rsidR="00A82082" w:rsidRDefault="00E946F9">
      <w:r>
        <w:rPr>
          <w:rFonts w:ascii="宋体" w:eastAsia="宋体" w:hAnsi="宋体" w:cs="宋体"/>
        </w:rPr>
        <w:t xml:space="preserve">Search Results </w:t>
      </w:r>
    </w:p>
    <w:p w14:paraId="7E78611C" w14:textId="77777777" w:rsidR="00A82082" w:rsidRDefault="00E946F9">
      <w:r>
        <w:rPr>
          <w:rFonts w:ascii="monospace" w:eastAsia="monospace" w:hAnsi="monospace" w:cs="monospace"/>
          <w:noProof/>
        </w:rPr>
        <mc:AlternateContent>
          <mc:Choice Requires="wps">
            <w:drawing>
              <wp:inline distT="0" distB="0" distL="114300" distR="114300" wp14:anchorId="7E786175" wp14:editId="7E786176">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E78611D" w14:textId="77777777" w:rsidR="00A82082" w:rsidRDefault="00E946F9">
      <w:r>
        <w:rPr>
          <w:rFonts w:ascii="宋体" w:eastAsia="宋体" w:hAnsi="宋体" w:cs="宋体"/>
        </w:rPr>
        <w:t>Save</w:t>
      </w:r>
    </w:p>
    <w:p w14:paraId="7E78611E" w14:textId="77777777" w:rsidR="00A82082" w:rsidRDefault="00E946F9">
      <w:r>
        <w:rPr>
          <w:rFonts w:ascii="宋体" w:eastAsia="宋体" w:hAnsi="宋体" w:cs="宋体"/>
        </w:rPr>
        <w:t>Reset</w:t>
      </w:r>
    </w:p>
    <w:p w14:paraId="7E78611F" w14:textId="77777777" w:rsidR="00A82082" w:rsidRDefault="00E946F9">
      <w:r>
        <w:pict w14:anchorId="7E786177">
          <v:rect id="_x0000_i1061" style="width:415.3pt;height:1.5pt" o:hralign="center" o:hrstd="t" o:hr="t" fillcolor="#a0a0a0" stroked="f"/>
        </w:pict>
      </w:r>
    </w:p>
    <w:p w14:paraId="7E786120" w14:textId="77777777" w:rsidR="00A82082" w:rsidRDefault="00E946F9">
      <w:r>
        <w:rPr>
          <w:rFonts w:ascii="宋体" w:eastAsia="宋体" w:hAnsi="宋体" w:cs="宋体"/>
        </w:rPr>
        <w:t xml:space="preserve">Selected Fact </w:t>
      </w:r>
    </w:p>
    <w:p w14:paraId="7E786121" w14:textId="77777777" w:rsidR="00A82082" w:rsidRDefault="00E946F9">
      <w:r>
        <w:rPr>
          <w:rFonts w:ascii="monospace" w:eastAsia="monospace" w:hAnsi="monospace" w:cs="monospace"/>
          <w:noProof/>
        </w:rPr>
        <mc:AlternateContent>
          <mc:Choice Requires="wps">
            <w:drawing>
              <wp:inline distT="0" distB="0" distL="114300" distR="114300" wp14:anchorId="7E786178" wp14:editId="7E786179">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tNrt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dtNrt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E786122" w14:textId="77777777" w:rsidR="00A82082" w:rsidRDefault="00E946F9">
      <w:r>
        <w:rPr>
          <w:rFonts w:ascii="宋体" w:eastAsia="宋体" w:hAnsi="宋体" w:cs="宋体"/>
        </w:rPr>
        <w:t>Save</w:t>
      </w:r>
    </w:p>
    <w:p w14:paraId="7E786123" w14:textId="77777777" w:rsidR="00A82082" w:rsidRDefault="00E946F9">
      <w:r>
        <w:rPr>
          <w:rFonts w:ascii="宋体" w:eastAsia="宋体" w:hAnsi="宋体" w:cs="宋体"/>
        </w:rPr>
        <w:t>Reset</w:t>
      </w:r>
    </w:p>
    <w:p w14:paraId="7E786124" w14:textId="77777777" w:rsidR="00A82082" w:rsidRDefault="00E946F9">
      <w:r>
        <w:pict w14:anchorId="7E78617A">
          <v:rect id="_x0000_i1062" style="width:415.3pt;height:1.5pt" o:hralign="center" o:hrstd="t" o:hr="t" fillcolor="#a0a0a0" stroked="f"/>
        </w:pict>
      </w:r>
    </w:p>
    <w:p w14:paraId="7E786125" w14:textId="77777777" w:rsidR="00A82082" w:rsidRDefault="00E946F9">
      <w:r>
        <w:rPr>
          <w:rFonts w:ascii="宋体" w:eastAsia="宋体" w:hAnsi="宋体" w:cs="宋体"/>
        </w:rPr>
        <w:t xml:space="preserve">Tag Shading (hover) </w:t>
      </w:r>
    </w:p>
    <w:p w14:paraId="7E786126" w14:textId="77777777" w:rsidR="00A82082" w:rsidRDefault="00E946F9">
      <w:r>
        <w:rPr>
          <w:rFonts w:ascii="monospace" w:eastAsia="monospace" w:hAnsi="monospace" w:cs="monospace"/>
          <w:noProof/>
        </w:rPr>
        <mc:AlternateContent>
          <mc:Choice Requires="wps">
            <w:drawing>
              <wp:inline distT="0" distB="0" distL="114300" distR="114300" wp14:anchorId="7E78617B" wp14:editId="7E78617C">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E786127" w14:textId="77777777" w:rsidR="00A82082" w:rsidRDefault="00E946F9">
      <w:r>
        <w:rPr>
          <w:rFonts w:ascii="宋体" w:eastAsia="宋体" w:hAnsi="宋体" w:cs="宋体"/>
        </w:rPr>
        <w:t>Save</w:t>
      </w:r>
    </w:p>
    <w:p w14:paraId="7E786128" w14:textId="77777777" w:rsidR="00A82082" w:rsidRDefault="00E946F9">
      <w:r>
        <w:rPr>
          <w:rFonts w:ascii="宋体" w:eastAsia="宋体" w:hAnsi="宋体" w:cs="宋体"/>
        </w:rPr>
        <w:t>Reset</w:t>
      </w:r>
    </w:p>
    <w:p w14:paraId="7E786129" w14:textId="77777777" w:rsidR="00A82082" w:rsidRDefault="00E946F9">
      <w:pPr>
        <w:pStyle w:val="Style5"/>
      </w:pPr>
      <w:r>
        <w:t>窗体底端</w:t>
      </w:r>
    </w:p>
    <w:p w14:paraId="7E78612A" w14:textId="77777777" w:rsidR="00A82082" w:rsidRDefault="00E946F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78617D" wp14:editId="7E78617E">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2C" w14:textId="77777777">
        <w:trPr>
          <w:tblCellSpacing w:w="15" w:type="dxa"/>
        </w:trPr>
        <w:tc>
          <w:tcPr>
            <w:tcW w:w="0" w:type="auto"/>
            <w:shd w:val="clear" w:color="auto" w:fill="auto"/>
            <w:vAlign w:val="center"/>
          </w:tcPr>
          <w:p w14:paraId="7E78612B" w14:textId="77777777" w:rsidR="00A82082" w:rsidRDefault="00A82082">
            <w:pPr>
              <w:rPr>
                <w:rFonts w:ascii="宋体"/>
              </w:rPr>
            </w:pPr>
          </w:p>
        </w:tc>
      </w:tr>
    </w:tbl>
    <w:p w14:paraId="7E78612D"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2F" w14:textId="77777777">
        <w:trPr>
          <w:tblCellSpacing w:w="15" w:type="dxa"/>
        </w:trPr>
        <w:tc>
          <w:tcPr>
            <w:tcW w:w="0" w:type="auto"/>
            <w:shd w:val="clear" w:color="auto" w:fill="auto"/>
            <w:vAlign w:val="center"/>
          </w:tcPr>
          <w:p w14:paraId="7E78612E" w14:textId="77777777" w:rsidR="00A82082" w:rsidRDefault="00A82082">
            <w:pPr>
              <w:rPr>
                <w:rFonts w:ascii="宋体"/>
              </w:rPr>
            </w:pPr>
          </w:p>
        </w:tc>
      </w:tr>
    </w:tbl>
    <w:p w14:paraId="7E786130"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32" w14:textId="77777777">
        <w:trPr>
          <w:tblCellSpacing w:w="15" w:type="dxa"/>
        </w:trPr>
        <w:tc>
          <w:tcPr>
            <w:tcW w:w="0" w:type="auto"/>
            <w:shd w:val="clear" w:color="auto" w:fill="auto"/>
            <w:vAlign w:val="center"/>
          </w:tcPr>
          <w:p w14:paraId="7E786131" w14:textId="77777777" w:rsidR="00A82082" w:rsidRDefault="00A82082">
            <w:pPr>
              <w:rPr>
                <w:rFonts w:ascii="宋体"/>
              </w:rPr>
            </w:pPr>
          </w:p>
        </w:tc>
      </w:tr>
    </w:tbl>
    <w:p w14:paraId="7E786133"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35" w14:textId="77777777">
        <w:trPr>
          <w:tblCellSpacing w:w="15" w:type="dxa"/>
        </w:trPr>
        <w:tc>
          <w:tcPr>
            <w:tcW w:w="0" w:type="auto"/>
            <w:shd w:val="clear" w:color="auto" w:fill="auto"/>
            <w:vAlign w:val="center"/>
          </w:tcPr>
          <w:p w14:paraId="7E786134" w14:textId="77777777" w:rsidR="00A82082" w:rsidRDefault="00A82082">
            <w:pPr>
              <w:rPr>
                <w:rFonts w:ascii="宋体"/>
              </w:rPr>
            </w:pPr>
          </w:p>
        </w:tc>
      </w:tr>
    </w:tbl>
    <w:p w14:paraId="7E786136" w14:textId="77777777" w:rsidR="00A82082" w:rsidRDefault="00E946F9">
      <w:r>
        <w:rPr>
          <w:rFonts w:ascii="宋体" w:eastAsia="宋体" w:hAnsi="宋体" w:cs="宋体"/>
        </w:rPr>
        <w:t xml:space="preserve">Previous Next </w:t>
      </w:r>
    </w:p>
    <w:p w14:paraId="7E786137" w14:textId="77777777" w:rsidR="00A82082" w:rsidRDefault="00E946F9">
      <w:pPr>
        <w:pStyle w:val="a3"/>
      </w:pPr>
      <w:r>
        <w:t xml:space="preserve">Nested Facts / </w:t>
      </w:r>
    </w:p>
    <w:p w14:paraId="7E786138" w14:textId="77777777" w:rsidR="00A82082" w:rsidRDefault="00E946F9">
      <w:r>
        <w:rPr>
          <w:rFonts w:ascii="宋体" w:eastAsia="宋体" w:hAnsi="宋体" w:cs="宋体"/>
        </w:rPr>
        <w:t xml:space="preserve">Previous Next </w:t>
      </w:r>
    </w:p>
    <w:p w14:paraId="7E786139" w14:textId="77777777" w:rsidR="00A82082" w:rsidRDefault="00E946F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78617F" wp14:editId="7E786180">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3B" w14:textId="77777777">
        <w:trPr>
          <w:tblCellSpacing w:w="15" w:type="dxa"/>
        </w:trPr>
        <w:tc>
          <w:tcPr>
            <w:tcW w:w="0" w:type="auto"/>
            <w:shd w:val="clear" w:color="auto" w:fill="auto"/>
            <w:vAlign w:val="center"/>
          </w:tcPr>
          <w:p w14:paraId="7E78613A" w14:textId="77777777" w:rsidR="00A82082" w:rsidRDefault="00A82082">
            <w:pPr>
              <w:rPr>
                <w:rFonts w:ascii="宋体"/>
              </w:rPr>
            </w:pPr>
          </w:p>
        </w:tc>
      </w:tr>
    </w:tbl>
    <w:p w14:paraId="7E78613C"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3E" w14:textId="77777777">
        <w:trPr>
          <w:tblCellSpacing w:w="15" w:type="dxa"/>
        </w:trPr>
        <w:tc>
          <w:tcPr>
            <w:tcW w:w="0" w:type="auto"/>
            <w:shd w:val="clear" w:color="auto" w:fill="auto"/>
            <w:vAlign w:val="center"/>
          </w:tcPr>
          <w:p w14:paraId="7E78613D" w14:textId="77777777" w:rsidR="00A82082" w:rsidRDefault="00A82082">
            <w:pPr>
              <w:rPr>
                <w:rFonts w:ascii="宋体"/>
              </w:rPr>
            </w:pPr>
          </w:p>
        </w:tc>
      </w:tr>
    </w:tbl>
    <w:p w14:paraId="7E78613F"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41" w14:textId="77777777">
        <w:trPr>
          <w:tblCellSpacing w:w="15" w:type="dxa"/>
        </w:trPr>
        <w:tc>
          <w:tcPr>
            <w:tcW w:w="0" w:type="auto"/>
            <w:shd w:val="clear" w:color="auto" w:fill="auto"/>
            <w:vAlign w:val="center"/>
          </w:tcPr>
          <w:p w14:paraId="7E786140" w14:textId="77777777" w:rsidR="00A82082" w:rsidRDefault="00A82082">
            <w:pPr>
              <w:rPr>
                <w:rFonts w:ascii="宋体"/>
              </w:rPr>
            </w:pPr>
          </w:p>
        </w:tc>
      </w:tr>
    </w:tbl>
    <w:p w14:paraId="7E786142" w14:textId="77777777" w:rsidR="00A82082" w:rsidRDefault="00A820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2082" w14:paraId="7E786144" w14:textId="77777777">
        <w:trPr>
          <w:tblCellSpacing w:w="15" w:type="dxa"/>
        </w:trPr>
        <w:tc>
          <w:tcPr>
            <w:tcW w:w="0" w:type="auto"/>
            <w:shd w:val="clear" w:color="auto" w:fill="auto"/>
            <w:vAlign w:val="center"/>
          </w:tcPr>
          <w:p w14:paraId="7E786143" w14:textId="77777777" w:rsidR="00A82082" w:rsidRDefault="00A82082">
            <w:pPr>
              <w:rPr>
                <w:rFonts w:ascii="宋体"/>
              </w:rPr>
            </w:pPr>
          </w:p>
        </w:tc>
      </w:tr>
    </w:tbl>
    <w:p w14:paraId="7E786145" w14:textId="77777777" w:rsidR="00A82082" w:rsidRDefault="00E946F9">
      <w:r>
        <w:rPr>
          <w:rFonts w:ascii="宋体" w:eastAsia="宋体" w:hAnsi="宋体" w:cs="宋体"/>
        </w:rPr>
        <w:t xml:space="preserve">Previous Next </w:t>
      </w:r>
    </w:p>
    <w:p w14:paraId="7E786146" w14:textId="77777777" w:rsidR="00A82082" w:rsidRDefault="00A82082"/>
    <w:sectPr w:rsidR="00A8208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24B1" w14:textId="77777777" w:rsidR="00E946F9" w:rsidRDefault="00E946F9" w:rsidP="00E946F9">
      <w:r>
        <w:separator/>
      </w:r>
    </w:p>
  </w:endnote>
  <w:endnote w:type="continuationSeparator" w:id="0">
    <w:p w14:paraId="324095BE" w14:textId="77777777" w:rsidR="00E946F9" w:rsidRDefault="00E946F9" w:rsidP="00E9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0D3B" w14:textId="77777777" w:rsidR="00E946F9" w:rsidRDefault="00E946F9" w:rsidP="00E946F9">
      <w:r>
        <w:separator/>
      </w:r>
    </w:p>
  </w:footnote>
  <w:footnote w:type="continuationSeparator" w:id="0">
    <w:p w14:paraId="7268AD2D" w14:textId="77777777" w:rsidR="00E946F9" w:rsidRDefault="00E946F9" w:rsidP="00E946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65673F"/>
    <w:rsid w:val="00A82082"/>
    <w:rsid w:val="00E946F9"/>
    <w:rsid w:val="7B65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3C2A"/>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946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946F9"/>
    <w:rPr>
      <w:rFonts w:asciiTheme="minorEastAsia" w:hAnsiTheme="minorEastAsia" w:cs="Times New Roman"/>
      <w:sz w:val="18"/>
      <w:szCs w:val="18"/>
    </w:rPr>
  </w:style>
  <w:style w:type="paragraph" w:styleId="a8">
    <w:name w:val="footer"/>
    <w:basedOn w:val="a"/>
    <w:link w:val="a9"/>
    <w:rsid w:val="00E946F9"/>
    <w:pPr>
      <w:tabs>
        <w:tab w:val="center" w:pos="4153"/>
        <w:tab w:val="right" w:pos="8306"/>
      </w:tabs>
      <w:snapToGrid w:val="0"/>
    </w:pPr>
    <w:rPr>
      <w:sz w:val="18"/>
      <w:szCs w:val="18"/>
    </w:rPr>
  </w:style>
  <w:style w:type="character" w:customStyle="1" w:styleId="a9">
    <w:name w:val="页脚 字符"/>
    <w:basedOn w:val="a0"/>
    <w:link w:val="a8"/>
    <w:rsid w:val="00E946F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104169/000010416920000076/wmt-20201031.htm" TargetMode="External"/><Relationship Id="rId21" Type="http://schemas.openxmlformats.org/officeDocument/2006/relationships/hyperlink" Target="https://www.sec.gov/ix?doc=/Archives/edgar/data/0000104169/000010416920000076/wmt-20201031.htm" TargetMode="External"/><Relationship Id="rId42" Type="http://schemas.openxmlformats.org/officeDocument/2006/relationships/hyperlink" Target="https://www.sec.gov/ix?doc=/Archives/edgar/data/0000104169/000010416920000076/wmt-20201031.htm" TargetMode="External"/><Relationship Id="rId63" Type="http://schemas.openxmlformats.org/officeDocument/2006/relationships/hyperlink" Target="https://www.sec.gov/ix?doc=/Archives/edgar/data/0000104169/000010416920000076/wmt-20201031.htm" TargetMode="External"/><Relationship Id="rId84" Type="http://schemas.openxmlformats.org/officeDocument/2006/relationships/hyperlink" Target="https://www.sec.gov/ix?doc=/Archives/edgar/data/0000104169/000010416920000076/wmt-20201031.htm" TargetMode="External"/><Relationship Id="rId138" Type="http://schemas.openxmlformats.org/officeDocument/2006/relationships/hyperlink" Target="https://www.sec.gov/ix?doc=/Archives/edgar/data/0000104169/000010416920000076/wmt-20201031.htm" TargetMode="External"/><Relationship Id="rId107" Type="http://schemas.openxmlformats.org/officeDocument/2006/relationships/hyperlink" Target="https://www.sec.gov/ix?doc=/Archives/edgar/data/0000104169/000010416920000076/wmt-20201031.htm" TargetMode="External"/><Relationship Id="rId11" Type="http://schemas.openxmlformats.org/officeDocument/2006/relationships/hyperlink" Target="https://www.sec.gov/ix?doc=/Archives/edgar/data/0000104169/000010416920000076/wmt-20201031.htm" TargetMode="External"/><Relationship Id="rId32" Type="http://schemas.openxmlformats.org/officeDocument/2006/relationships/hyperlink" Target="https://www.sec.gov/ix?doc=/Archives/edgar/data/0000104169/000010416920000076/wmt-20201031.htm" TargetMode="External"/><Relationship Id="rId53" Type="http://schemas.openxmlformats.org/officeDocument/2006/relationships/hyperlink" Target="https://www.sec.gov/ix?doc=/Archives/edgar/data/0000104169/000010416920000076/wmt-20201031.htm" TargetMode="External"/><Relationship Id="rId74" Type="http://schemas.openxmlformats.org/officeDocument/2006/relationships/hyperlink" Target="https://www.sec.gov/ix?doc=/Archives/edgar/data/0000104169/000010416920000076/wmt-20201031.htm" TargetMode="External"/><Relationship Id="rId128" Type="http://schemas.openxmlformats.org/officeDocument/2006/relationships/hyperlink" Target="https://www.sec.gov/ix?doc=/Archives/edgar/data/0000104169/000010416920000076/wmt-20201031.htm" TargetMode="External"/><Relationship Id="rId149" Type="http://schemas.openxmlformats.org/officeDocument/2006/relationships/hyperlink" Target="https://www.sec.gov/Archives/edgar/data/0000104169/000010416920000076/wmt321fy21q3.htm" TargetMode="External"/><Relationship Id="rId5" Type="http://schemas.openxmlformats.org/officeDocument/2006/relationships/endnotes" Target="endnotes.xml"/><Relationship Id="rId95" Type="http://schemas.openxmlformats.org/officeDocument/2006/relationships/hyperlink" Target="https://www.sec.gov/ix?doc=/Archives/edgar/data/0000104169/000010416920000076/wmt-20201031.htm" TargetMode="External"/><Relationship Id="rId22" Type="http://schemas.openxmlformats.org/officeDocument/2006/relationships/hyperlink" Target="https://www.sec.gov/ix?doc=/Archives/edgar/data/0000104169/000010416920000076/wmt-20201031.htm" TargetMode="External"/><Relationship Id="rId27" Type="http://schemas.openxmlformats.org/officeDocument/2006/relationships/hyperlink" Target="https://www.sec.gov/ix?doc=/Archives/edgar/data/0000104169/000010416920000076/wmt-20201031.htm" TargetMode="External"/><Relationship Id="rId43" Type="http://schemas.openxmlformats.org/officeDocument/2006/relationships/hyperlink" Target="https://www.sec.gov/ix?doc=/Archives/edgar/data/0000104169/000010416920000076/wmt-20201031.htm" TargetMode="External"/><Relationship Id="rId48" Type="http://schemas.openxmlformats.org/officeDocument/2006/relationships/hyperlink" Target="https://www.sec.gov/ix?doc=/Archives/edgar/data/0000104169/000010416920000076/wmt-20201031.htm" TargetMode="External"/><Relationship Id="rId64" Type="http://schemas.openxmlformats.org/officeDocument/2006/relationships/hyperlink" Target="https://www.sec.gov/ix?doc=/Archives/edgar/data/0000104169/000010416920000076/wmt-20201031.htm" TargetMode="External"/><Relationship Id="rId69" Type="http://schemas.openxmlformats.org/officeDocument/2006/relationships/hyperlink" Target="https://www.sec.gov/ix?doc=/Archives/edgar/data/0000104169/000010416920000076/wmt-20201031.htm" TargetMode="External"/><Relationship Id="rId113" Type="http://schemas.openxmlformats.org/officeDocument/2006/relationships/hyperlink" Target="https://www.sec.gov/ix?doc=/Archives/edgar/data/0000104169/000010416920000076/wmt-20201031.htm" TargetMode="External"/><Relationship Id="rId118" Type="http://schemas.openxmlformats.org/officeDocument/2006/relationships/hyperlink" Target="https://www.sec.gov/ix?doc=/Archives/edgar/data/0000104169/000010416920000076/wmt-20201031.htm" TargetMode="External"/><Relationship Id="rId134" Type="http://schemas.openxmlformats.org/officeDocument/2006/relationships/hyperlink" Target="https://www.sec.gov/ix?doc=/Archives/edgar/data/0000104169/000010416920000076/wmt-20201031.htm" TargetMode="External"/><Relationship Id="rId139" Type="http://schemas.openxmlformats.org/officeDocument/2006/relationships/hyperlink" Target="https://www.sec.gov/ix?doc=/Archives/edgar/data/0000104169/000010416920000076/wmt-20201031.htm" TargetMode="External"/><Relationship Id="rId80" Type="http://schemas.openxmlformats.org/officeDocument/2006/relationships/hyperlink" Target="https://www.sec.gov/ix?doc=/Archives/edgar/data/0000104169/000010416920000076/wmt-20201031.htm" TargetMode="External"/><Relationship Id="rId85" Type="http://schemas.openxmlformats.org/officeDocument/2006/relationships/hyperlink" Target="https://www.sec.gov/ix?doc=/Archives/edgar/data/0000104169/000010416920000076/wmt-20201031.htm" TargetMode="External"/><Relationship Id="rId150" Type="http://schemas.openxmlformats.org/officeDocument/2006/relationships/hyperlink" Target="https://www.sec.gov/Archives/edgar/data/0000104169/000010416920000076/wmt322fy21q3.htm" TargetMode="External"/><Relationship Id="rId155" Type="http://schemas.openxmlformats.org/officeDocument/2006/relationships/theme" Target="theme/theme1.xml"/><Relationship Id="rId12" Type="http://schemas.openxmlformats.org/officeDocument/2006/relationships/hyperlink" Target="https://www.sec.gov/ix?doc=/Archives/edgar/data/0000104169/000010416920000076/wmt-20201031.htm" TargetMode="External"/><Relationship Id="rId17" Type="http://schemas.openxmlformats.org/officeDocument/2006/relationships/hyperlink" Target="https://www.sec.gov/ix?doc=/Archives/edgar/data/0000104169/000010416920000076/wmt-20201031.htm" TargetMode="External"/><Relationship Id="rId33" Type="http://schemas.openxmlformats.org/officeDocument/2006/relationships/hyperlink" Target="https://www.sec.gov/ix?doc=/Archives/edgar/data/0000104169/000010416920000076/wmt-20201031.htm" TargetMode="External"/><Relationship Id="rId38" Type="http://schemas.openxmlformats.org/officeDocument/2006/relationships/hyperlink" Target="https://www.sec.gov/ix?doc=/Archives/edgar/data/0000104169/000010416920000076/wmt-20201031.htm" TargetMode="External"/><Relationship Id="rId59" Type="http://schemas.openxmlformats.org/officeDocument/2006/relationships/hyperlink" Target="https://www.sec.gov/ix?doc=/Archives/edgar/data/0000104169/000010416920000076/wmt-20201031.htm" TargetMode="External"/><Relationship Id="rId103" Type="http://schemas.openxmlformats.org/officeDocument/2006/relationships/hyperlink" Target="https://www.sec.gov/ix?doc=/Archives/edgar/data/0000104169/000010416920000076/wmt-20201031.htm" TargetMode="External"/><Relationship Id="rId108" Type="http://schemas.openxmlformats.org/officeDocument/2006/relationships/hyperlink" Target="https://www.sec.gov/ix?doc=/Archives/edgar/data/0000104169/000010416920000076/wmt-20201031.htm" TargetMode="External"/><Relationship Id="rId124" Type="http://schemas.openxmlformats.org/officeDocument/2006/relationships/hyperlink" Target="https://www.sec.gov/ix?doc=/Archives/edgar/data/0000104169/000010416920000076/wmt-20201031.htm" TargetMode="External"/><Relationship Id="rId129" Type="http://schemas.openxmlformats.org/officeDocument/2006/relationships/hyperlink" Target="https://www.sec.gov/ix?doc=/Archives/edgar/data/0000104169/000010416920000076/wmt-20201031.htm" TargetMode="External"/><Relationship Id="rId54" Type="http://schemas.openxmlformats.org/officeDocument/2006/relationships/hyperlink" Target="https://www.sec.gov/ix?doc=/Archives/edgar/data/0000104169/000010416920000076/wmt-20201031.htm" TargetMode="External"/><Relationship Id="rId70" Type="http://schemas.openxmlformats.org/officeDocument/2006/relationships/hyperlink" Target="https://www.sec.gov/ix?doc=/Archives/edgar/data/0000104169/000010416920000076/wmt-20201031.htm" TargetMode="External"/><Relationship Id="rId75" Type="http://schemas.openxmlformats.org/officeDocument/2006/relationships/hyperlink" Target="https://www.sec.gov/ix?doc=/Archives/edgar/data/0000104169/000010416920000076/wmt-20201031.htm" TargetMode="External"/><Relationship Id="rId91" Type="http://schemas.openxmlformats.org/officeDocument/2006/relationships/hyperlink" Target="https://www.sec.gov/ix?doc=/Archives/edgar/data/0000104169/000010416920000076/wmt-20201031.htm" TargetMode="External"/><Relationship Id="rId96" Type="http://schemas.openxmlformats.org/officeDocument/2006/relationships/hyperlink" Target="https://www.sec.gov/ix?doc=/Archives/edgar/data/0000104169/000010416920000076/wmt-20201031.htm" TargetMode="External"/><Relationship Id="rId140" Type="http://schemas.openxmlformats.org/officeDocument/2006/relationships/hyperlink" Target="https://www.sec.gov/ix?doc=/Archives/edgar/data/0000104169/000010416920000076/wmt-20201031.htm" TargetMode="External"/><Relationship Id="rId145" Type="http://schemas.openxmlformats.org/officeDocument/2006/relationships/hyperlink" Target="http://www.sec.gov/Archives/edgar/data/104169/000010416918000013/exhibit31-212018.htm" TargetMode="External"/><Relationship Id="rId1" Type="http://schemas.openxmlformats.org/officeDocument/2006/relationships/styles" Target="styles.xml"/><Relationship Id="rId23" Type="http://schemas.openxmlformats.org/officeDocument/2006/relationships/hyperlink" Target="https://www.sec.gov/ix?doc=/Archives/edgar/data/0000104169/000010416920000076/wmt-20201031.htm" TargetMode="External"/><Relationship Id="rId28" Type="http://schemas.openxmlformats.org/officeDocument/2006/relationships/hyperlink" Target="https://www.sec.gov/ix?doc=/Archives/edgar/data/0000104169/000010416920000076/wmt-20201031.htm" TargetMode="External"/><Relationship Id="rId49" Type="http://schemas.openxmlformats.org/officeDocument/2006/relationships/hyperlink" Target="https://www.sec.gov/ix?doc=/Archives/edgar/data/0000104169/000010416920000076/wmt-20201031.htm" TargetMode="External"/><Relationship Id="rId114" Type="http://schemas.openxmlformats.org/officeDocument/2006/relationships/hyperlink" Target="https://www.sec.gov/ix?doc=/Archives/edgar/data/0000104169/000010416920000076/wmt-20201031.htm" TargetMode="External"/><Relationship Id="rId119" Type="http://schemas.openxmlformats.org/officeDocument/2006/relationships/hyperlink" Target="https://www.sec.gov/ix?doc=/Archives/edgar/data/0000104169/000010416920000076/wmt-20201031.htm" TargetMode="External"/><Relationship Id="rId44" Type="http://schemas.openxmlformats.org/officeDocument/2006/relationships/hyperlink" Target="https://www.sec.gov/ix?doc=/Archives/edgar/data/0000104169/000010416920000076/wmt-20201031.htm" TargetMode="External"/><Relationship Id="rId60" Type="http://schemas.openxmlformats.org/officeDocument/2006/relationships/hyperlink" Target="https://www.sec.gov/ix?doc=/Archives/edgar/data/0000104169/000010416920000076/wmt-20201031.htm" TargetMode="External"/><Relationship Id="rId65" Type="http://schemas.openxmlformats.org/officeDocument/2006/relationships/hyperlink" Target="https://www.sec.gov/ix?doc=/Archives/edgar/data/0000104169/000010416920000076/wmt-20201031.htm" TargetMode="External"/><Relationship Id="rId81" Type="http://schemas.openxmlformats.org/officeDocument/2006/relationships/hyperlink" Target="https://www.sec.gov/ix?doc=/Archives/edgar/data/0000104169/000010416920000076/wmt-20201031.htm" TargetMode="External"/><Relationship Id="rId86" Type="http://schemas.openxmlformats.org/officeDocument/2006/relationships/hyperlink" Target="https://www.sec.gov/ix?doc=/Archives/edgar/data/0000104169/000010416920000076/wmt-20201031.htm" TargetMode="External"/><Relationship Id="rId130" Type="http://schemas.openxmlformats.org/officeDocument/2006/relationships/hyperlink" Target="https://www.sec.gov/ix?doc=/Archives/edgar/data/0000104169/000010416920000076/wmt-20201031.htm" TargetMode="External"/><Relationship Id="rId135" Type="http://schemas.openxmlformats.org/officeDocument/2006/relationships/hyperlink" Target="https://www.sec.gov/ix?doc=/Archives/edgar/data/0000104169/000010416920000076/wmt-20201031.htm" TargetMode="External"/><Relationship Id="rId151" Type="http://schemas.openxmlformats.org/officeDocument/2006/relationships/hyperlink" Target="https://www.sec.gov/Archives/edgar/data/0000104169/000010416920000076/wmt991fy21q3.htm" TargetMode="External"/><Relationship Id="rId13" Type="http://schemas.openxmlformats.org/officeDocument/2006/relationships/hyperlink" Target="https://www.sec.gov/ix?doc=/Archives/edgar/data/0000104169/000010416920000076/wmt-20201031.htm" TargetMode="External"/><Relationship Id="rId18" Type="http://schemas.openxmlformats.org/officeDocument/2006/relationships/hyperlink" Target="https://www.sec.gov/ix?doc=/Archives/edgar/data/0000104169/000010416920000076/wmt-20201031.htm" TargetMode="External"/><Relationship Id="rId39" Type="http://schemas.openxmlformats.org/officeDocument/2006/relationships/hyperlink" Target="https://www.sec.gov/ix?doc=/Archives/edgar/data/0000104169/000010416920000076/wmt-20201031.htm" TargetMode="External"/><Relationship Id="rId109" Type="http://schemas.openxmlformats.org/officeDocument/2006/relationships/hyperlink" Target="https://www.sec.gov/ix?doc=/Archives/edgar/data/0000104169/000010416920000076/wmt-20201031.htm" TargetMode="External"/><Relationship Id="rId34" Type="http://schemas.openxmlformats.org/officeDocument/2006/relationships/hyperlink" Target="https://www.sec.gov/ix?doc=/Archives/edgar/data/0000104169/000010416920000076/wmt-20201031.htm" TargetMode="External"/><Relationship Id="rId50" Type="http://schemas.openxmlformats.org/officeDocument/2006/relationships/hyperlink" Target="https://www.sec.gov/ix?doc=/Archives/edgar/data/0000104169/000010416920000076/wmt-20201031.htm" TargetMode="External"/><Relationship Id="rId55" Type="http://schemas.openxmlformats.org/officeDocument/2006/relationships/hyperlink" Target="https://www.sec.gov/ix?doc=/Archives/edgar/data/0000104169/000010416920000076/wmt-20201031.htm" TargetMode="External"/><Relationship Id="rId76" Type="http://schemas.openxmlformats.org/officeDocument/2006/relationships/hyperlink" Target="https://www.sec.gov/ix?doc=/Archives/edgar/data/0000104169/000010416920000076/wmt-20201031.htm" TargetMode="External"/><Relationship Id="rId97" Type="http://schemas.openxmlformats.org/officeDocument/2006/relationships/hyperlink" Target="https://www.sec.gov/ix?doc=/Archives/edgar/data/0000104169/000010416920000076/wmt-20201031.htm" TargetMode="External"/><Relationship Id="rId104" Type="http://schemas.openxmlformats.org/officeDocument/2006/relationships/hyperlink" Target="https://www.sec.gov/ix?doc=/Archives/edgar/data/0000104169/000010416920000076/wmt-20201031.htm" TargetMode="External"/><Relationship Id="rId120" Type="http://schemas.openxmlformats.org/officeDocument/2006/relationships/hyperlink" Target="https://www.sec.gov/ix?doc=/Archives/edgar/data/0000104169/000010416920000076/wmt-20201031.htm" TargetMode="External"/><Relationship Id="rId125" Type="http://schemas.openxmlformats.org/officeDocument/2006/relationships/hyperlink" Target="https://www.sec.gov/ix?doc=/Archives/edgar/data/0000104169/000010416920000076/wmt-20201031.htm" TargetMode="External"/><Relationship Id="rId141" Type="http://schemas.openxmlformats.org/officeDocument/2006/relationships/hyperlink" Target="https://www.sec.gov/ix?doc=/Archives/edgar/data/0000104169/000010416920000076/wmt-20201031.htm" TargetMode="External"/><Relationship Id="rId146" Type="http://schemas.openxmlformats.org/officeDocument/2006/relationships/hyperlink" Target="http://www.sec.gov/Archives/edgar/data/104169/000010416919000054/exhibit31dated7262019.htm" TargetMode="External"/><Relationship Id="rId7" Type="http://schemas.openxmlformats.org/officeDocument/2006/relationships/hyperlink" Target="https://www.sec.gov/ix?doc=/Archives/edgar/data/0000104169/000010416920000076/wmt-20201031.htm" TargetMode="External"/><Relationship Id="rId71" Type="http://schemas.openxmlformats.org/officeDocument/2006/relationships/hyperlink" Target="https://www.sec.gov/ix?doc=/Archives/edgar/data/0000104169/000010416920000076/wmt-20201031.htm" TargetMode="External"/><Relationship Id="rId92" Type="http://schemas.openxmlformats.org/officeDocument/2006/relationships/hyperlink" Target="https://www.sec.gov/ix?doc=/Archives/edgar/data/0000104169/000010416920000076/wmt-20201031.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0000076/wmt-20201031.htm" TargetMode="External"/><Relationship Id="rId24" Type="http://schemas.openxmlformats.org/officeDocument/2006/relationships/hyperlink" Target="https://www.sec.gov/ix?doc=/Archives/edgar/data/0000104169/000010416920000076/wmt-20201031.htm" TargetMode="External"/><Relationship Id="rId40" Type="http://schemas.openxmlformats.org/officeDocument/2006/relationships/hyperlink" Target="https://www.sec.gov/ix?doc=/Archives/edgar/data/0000104169/000010416920000076/wmt-20201031.htm" TargetMode="External"/><Relationship Id="rId45" Type="http://schemas.openxmlformats.org/officeDocument/2006/relationships/hyperlink" Target="https://www.sec.gov/ix?doc=/Archives/edgar/data/0000104169/000010416920000076/wmt-20201031.htm" TargetMode="External"/><Relationship Id="rId66" Type="http://schemas.openxmlformats.org/officeDocument/2006/relationships/hyperlink" Target="https://www.sec.gov/ix?doc=/Archives/edgar/data/0000104169/000010416920000076/wmt-20201031.htm" TargetMode="External"/><Relationship Id="rId87" Type="http://schemas.openxmlformats.org/officeDocument/2006/relationships/hyperlink" Target="https://www.sec.gov/ix?doc=/Archives/edgar/data/0000104169/000010416920000076/wmt-20201031.htm" TargetMode="External"/><Relationship Id="rId110" Type="http://schemas.openxmlformats.org/officeDocument/2006/relationships/hyperlink" Target="https://www.sec.gov/ix?doc=/Archives/edgar/data/0000104169/000010416920000076/wmt-20201031.htm" TargetMode="External"/><Relationship Id="rId115" Type="http://schemas.openxmlformats.org/officeDocument/2006/relationships/hyperlink" Target="https://www.sec.gov/ix?doc=/Archives/edgar/data/0000104169/000010416920000076/wmt-20201031.htm" TargetMode="External"/><Relationship Id="rId131" Type="http://schemas.openxmlformats.org/officeDocument/2006/relationships/hyperlink" Target="https://www.sec.gov/ix?doc=/Archives/edgar/data/0000104169/000010416920000076/wmt-20201031.htm" TargetMode="External"/><Relationship Id="rId136" Type="http://schemas.openxmlformats.org/officeDocument/2006/relationships/hyperlink" Target="https://www.sec.gov/ix?doc=/Archives/edgar/data/0000104169/000010416920000076/wmt-20201031.htm" TargetMode="External"/><Relationship Id="rId61" Type="http://schemas.openxmlformats.org/officeDocument/2006/relationships/hyperlink" Target="https://www.sec.gov/ix?doc=/Archives/edgar/data/0000104169/000010416920000076/wmt-20201031.htm" TargetMode="External"/><Relationship Id="rId82" Type="http://schemas.openxmlformats.org/officeDocument/2006/relationships/hyperlink" Target="https://www.sec.gov/ix?doc=/Archives/edgar/data/0000104169/000010416920000076/wmt-20201031.htm" TargetMode="External"/><Relationship Id="rId152" Type="http://schemas.openxmlformats.org/officeDocument/2006/relationships/hyperlink" Target="https://www.sec.gov/ix?doc=/Archives/edgar/data/0000104169/000010416920000076/wmt-20201031.htm" TargetMode="External"/><Relationship Id="rId19" Type="http://schemas.openxmlformats.org/officeDocument/2006/relationships/hyperlink" Target="https://www.sec.gov/ix?doc=/Archives/edgar/data/0000104169/000010416920000076/wmt-20201031.htm" TargetMode="External"/><Relationship Id="rId14" Type="http://schemas.openxmlformats.org/officeDocument/2006/relationships/hyperlink" Target="https://www.sec.gov/ix?doc=/Archives/edgar/data/0000104169/000010416920000076/wmt-20201031.htm" TargetMode="External"/><Relationship Id="rId30" Type="http://schemas.openxmlformats.org/officeDocument/2006/relationships/hyperlink" Target="https://www.sec.gov/ix?doc=/Archives/edgar/data/0000104169/000010416920000076/wmt-20201031.htm" TargetMode="External"/><Relationship Id="rId35" Type="http://schemas.openxmlformats.org/officeDocument/2006/relationships/hyperlink" Target="https://www.sec.gov/ix?doc=/Archives/edgar/data/0000104169/000010416920000076/wmt-20201031.htm" TargetMode="External"/><Relationship Id="rId56" Type="http://schemas.openxmlformats.org/officeDocument/2006/relationships/hyperlink" Target="https://www.sec.gov/ix?doc=/Archives/edgar/data/0000104169/000010416920000076/wmt-20201031.htm" TargetMode="External"/><Relationship Id="rId77" Type="http://schemas.openxmlformats.org/officeDocument/2006/relationships/hyperlink" Target="https://www.sec.gov/ix?doc=/Archives/edgar/data/0000104169/000010416920000076/wmt-20201031.htm" TargetMode="External"/><Relationship Id="rId100" Type="http://schemas.openxmlformats.org/officeDocument/2006/relationships/hyperlink" Target="https://www.sec.gov/ix?doc=/Archives/edgar/data/0000104169/000010416920000076/wmt-20201031.htm" TargetMode="External"/><Relationship Id="rId105" Type="http://schemas.openxmlformats.org/officeDocument/2006/relationships/hyperlink" Target="https://www.sec.gov/ix?doc=/Archives/edgar/data/0000104169/000010416920000076/wmt-20201031.htm" TargetMode="External"/><Relationship Id="rId126" Type="http://schemas.openxmlformats.org/officeDocument/2006/relationships/hyperlink" Target="https://www.sec.gov/ix?doc=/Archives/edgar/data/0000104169/000010416920000076/wmt-20201031.htm" TargetMode="External"/><Relationship Id="rId147" Type="http://schemas.openxmlformats.org/officeDocument/2006/relationships/hyperlink" Target="https://www.sec.gov/Archives/edgar/data/0000104169/000010416920000076/wmt311fy21q3.htm" TargetMode="External"/><Relationship Id="rId8" Type="http://schemas.openxmlformats.org/officeDocument/2006/relationships/hyperlink" Target="https://www.sec.gov/ix?doc=/Archives/edgar/data/0000104169/000010416920000076/wmt-20201031.htm" TargetMode="External"/><Relationship Id="rId51" Type="http://schemas.openxmlformats.org/officeDocument/2006/relationships/hyperlink" Target="https://www.sec.gov/ix?doc=/Archives/edgar/data/0000104169/000010416920000076/wmt-20201031.htm" TargetMode="External"/><Relationship Id="rId72" Type="http://schemas.openxmlformats.org/officeDocument/2006/relationships/hyperlink" Target="https://www.sec.gov/ix?doc=/Archives/edgar/data/0000104169/000010416920000076/wmt-20201031.htm" TargetMode="External"/><Relationship Id="rId93" Type="http://schemas.openxmlformats.org/officeDocument/2006/relationships/hyperlink" Target="https://www.sec.gov/ix?doc=/Archives/edgar/data/0000104169/000010416920000076/wmt-20201031.htm" TargetMode="External"/><Relationship Id="rId98" Type="http://schemas.openxmlformats.org/officeDocument/2006/relationships/hyperlink" Target="https://www.sec.gov/ix?doc=/Archives/edgar/data/0000104169/000010416920000076/wmt-20201031.htm" TargetMode="External"/><Relationship Id="rId121" Type="http://schemas.openxmlformats.org/officeDocument/2006/relationships/hyperlink" Target="https://www.sec.gov/ix?doc=/Archives/edgar/data/0000104169/000010416920000076/wmt-20201031.htm" TargetMode="External"/><Relationship Id="rId142" Type="http://schemas.openxmlformats.org/officeDocument/2006/relationships/hyperlink" Target="https://www.sec.gov/ix?doc=/Archives/edgar/data/0000104169/000010416920000076/wmt-20201031.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0000076/wmt-20201031.htm" TargetMode="External"/><Relationship Id="rId46" Type="http://schemas.openxmlformats.org/officeDocument/2006/relationships/hyperlink" Target="https://www.sec.gov/ix?doc=/Archives/edgar/data/0000104169/000010416920000076/wmt-20201031.htm" TargetMode="External"/><Relationship Id="rId67" Type="http://schemas.openxmlformats.org/officeDocument/2006/relationships/hyperlink" Target="https://www.sec.gov/ix?doc=/Archives/edgar/data/0000104169/000010416920000076/wmt-20201031.htm" TargetMode="External"/><Relationship Id="rId116" Type="http://schemas.openxmlformats.org/officeDocument/2006/relationships/hyperlink" Target="https://www.sec.gov/ix?doc=/Archives/edgar/data/0000104169/000010416920000076/wmt-20201031.htm" TargetMode="External"/><Relationship Id="rId137" Type="http://schemas.openxmlformats.org/officeDocument/2006/relationships/hyperlink" Target="https://www.sec.gov/ix?doc=/Archives/edgar/data/0000104169/000010416920000076/wmt-20201031.htm" TargetMode="External"/><Relationship Id="rId20" Type="http://schemas.openxmlformats.org/officeDocument/2006/relationships/hyperlink" Target="https://www.sec.gov/ix?doc=/Archives/edgar/data/0000104169/000010416920000076/wmt-20201031.htm" TargetMode="External"/><Relationship Id="rId41" Type="http://schemas.openxmlformats.org/officeDocument/2006/relationships/hyperlink" Target="https://www.sec.gov/ix?doc=/Archives/edgar/data/0000104169/000010416920000076/wmt-20201031.htm" TargetMode="External"/><Relationship Id="rId62" Type="http://schemas.openxmlformats.org/officeDocument/2006/relationships/hyperlink" Target="https://www.sec.gov/ix?doc=/Archives/edgar/data/0000104169/000010416920000076/wmt-20201031.htm" TargetMode="External"/><Relationship Id="rId83" Type="http://schemas.openxmlformats.org/officeDocument/2006/relationships/hyperlink" Target="https://www.sec.gov/ix?doc=/Archives/edgar/data/0000104169/000010416920000076/wmt-20201031.htm" TargetMode="External"/><Relationship Id="rId88" Type="http://schemas.openxmlformats.org/officeDocument/2006/relationships/hyperlink" Target="https://www.sec.gov/ix?doc=/Archives/edgar/data/0000104169/000010416920000076/wmt-20201031.htm" TargetMode="External"/><Relationship Id="rId111" Type="http://schemas.openxmlformats.org/officeDocument/2006/relationships/hyperlink" Target="https://www.sec.gov/Archives/edgar/data/0000104169/000010416920000076/wmt991fy21q3.htm" TargetMode="External"/><Relationship Id="rId132" Type="http://schemas.openxmlformats.org/officeDocument/2006/relationships/hyperlink" Target="https://www.sec.gov/ix?doc=/Archives/edgar/data/0000104169/000010416920000076/wmt-20201031.htm" TargetMode="External"/><Relationship Id="rId153" Type="http://schemas.openxmlformats.org/officeDocument/2006/relationships/hyperlink" Target="https://www.sec.gov/ix?doc=/Archives/edgar/data/0000104169/000010416920000076/wmt-20201031.htm" TargetMode="External"/><Relationship Id="rId15" Type="http://schemas.openxmlformats.org/officeDocument/2006/relationships/hyperlink" Target="https://www.sec.gov/ix?doc=/Archives/edgar/data/0000104169/000010416920000076/wmt-20201031.htm" TargetMode="External"/><Relationship Id="rId36" Type="http://schemas.openxmlformats.org/officeDocument/2006/relationships/hyperlink" Target="https://www.sec.gov/ix?doc=/Archives/edgar/data/0000104169/000010416920000076/wmt-20201031.htm" TargetMode="External"/><Relationship Id="rId57" Type="http://schemas.openxmlformats.org/officeDocument/2006/relationships/hyperlink" Target="https://www.sec.gov/ix?doc=/Archives/edgar/data/0000104169/000010416920000076/wmt-20201031.htm" TargetMode="External"/><Relationship Id="rId106" Type="http://schemas.openxmlformats.org/officeDocument/2006/relationships/hyperlink" Target="https://www.sec.gov/ix?doc=/Archives/edgar/data/0000104169/000010416920000076/wmt-20201031.htm" TargetMode="External"/><Relationship Id="rId127" Type="http://schemas.openxmlformats.org/officeDocument/2006/relationships/hyperlink" Target="https://www.sec.gov/ix?doc=/Archives/edgar/data/0000104169/000010416920000076/wmt-20201031.htm" TargetMode="External"/><Relationship Id="rId10" Type="http://schemas.openxmlformats.org/officeDocument/2006/relationships/hyperlink" Target="https://www.sec.gov/ix?doc=/Archives/edgar/data/0000104169/000010416920000076/wmt-20201031.htm" TargetMode="External"/><Relationship Id="rId31" Type="http://schemas.openxmlformats.org/officeDocument/2006/relationships/hyperlink" Target="https://www.sec.gov/ix?doc=/Archives/edgar/data/0000104169/000010416920000076/wmt-20201031.htm" TargetMode="External"/><Relationship Id="rId52" Type="http://schemas.openxmlformats.org/officeDocument/2006/relationships/hyperlink" Target="https://www.sec.gov/ix?doc=/Archives/edgar/data/0000104169/000010416920000076/wmt-20201031.htm" TargetMode="External"/><Relationship Id="rId73" Type="http://schemas.openxmlformats.org/officeDocument/2006/relationships/hyperlink" Target="https://www.sec.gov/ix?doc=/Archives/edgar/data/0000104169/000010416920000076/wmt-20201031.htm" TargetMode="External"/><Relationship Id="rId78" Type="http://schemas.openxmlformats.org/officeDocument/2006/relationships/hyperlink" Target="https://www.sec.gov/ix?doc=/Archives/edgar/data/0000104169/000010416920000076/wmt-20201031.htm" TargetMode="External"/><Relationship Id="rId94" Type="http://schemas.openxmlformats.org/officeDocument/2006/relationships/hyperlink" Target="https://www.sec.gov/ix?doc=/Archives/edgar/data/0000104169/000010416920000076/wmt-20201031.htm" TargetMode="External"/><Relationship Id="rId99" Type="http://schemas.openxmlformats.org/officeDocument/2006/relationships/hyperlink" Target="https://www.sec.gov/ix?doc=/Archives/edgar/data/0000104169/000010416920000076/wmt-20201031.htm" TargetMode="External"/><Relationship Id="rId101" Type="http://schemas.openxmlformats.org/officeDocument/2006/relationships/hyperlink" Target="https://www.sec.gov/ix?doc=/Archives/edgar/data/0000104169/000010416920000076/wmt-20201031.htm" TargetMode="External"/><Relationship Id="rId122" Type="http://schemas.openxmlformats.org/officeDocument/2006/relationships/hyperlink" Target="https://www.sec.gov/ix?doc=/Archives/edgar/data/0000104169/000010416920000076/wmt-20201031.htm" TargetMode="External"/><Relationship Id="rId143" Type="http://schemas.openxmlformats.org/officeDocument/2006/relationships/hyperlink" Target="https://www.sec.gov/ix?doc=/Archives/edgar/data/0000104169/000010416920000076/wmt-20201031.htm" TargetMode="External"/><Relationship Id="rId148" Type="http://schemas.openxmlformats.org/officeDocument/2006/relationships/hyperlink" Target="https://www.sec.gov/Archives/edgar/data/0000104169/000010416920000076/wmt312fy21q3.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0000076/wmt-20201031.htm" TargetMode="External"/><Relationship Id="rId26" Type="http://schemas.openxmlformats.org/officeDocument/2006/relationships/hyperlink" Target="https://www.sec.gov/ix?doc=/Archives/edgar/data/0000104169/000010416920000076/wmt-20201031.htm" TargetMode="External"/><Relationship Id="rId47" Type="http://schemas.openxmlformats.org/officeDocument/2006/relationships/hyperlink" Target="https://www.sec.gov/ix?doc=/Archives/edgar/data/0000104169/000010416920000076/wmt-20201031.htm" TargetMode="External"/><Relationship Id="rId68" Type="http://schemas.openxmlformats.org/officeDocument/2006/relationships/hyperlink" Target="https://www.sec.gov/ix?doc=/Archives/edgar/data/0000104169/000010416920000076/wmt-20201031.htm" TargetMode="External"/><Relationship Id="rId89" Type="http://schemas.openxmlformats.org/officeDocument/2006/relationships/hyperlink" Target="https://www.sec.gov/ix?doc=/Archives/edgar/data/0000104169/000010416920000076/wmt-20201031.htm" TargetMode="External"/><Relationship Id="rId112" Type="http://schemas.openxmlformats.org/officeDocument/2006/relationships/hyperlink" Target="https://www.sec.gov/ix?doc=/Archives/edgar/data/0000104169/000010416920000076/wmt-20201031.htm" TargetMode="External"/><Relationship Id="rId133" Type="http://schemas.openxmlformats.org/officeDocument/2006/relationships/hyperlink" Target="https://www.sec.gov/ix?doc=/Archives/edgar/data/0000104169/000010416920000076/wmt-20201031.htm" TargetMode="External"/><Relationship Id="rId154" Type="http://schemas.openxmlformats.org/officeDocument/2006/relationships/fontTable" Target="fontTable.xml"/><Relationship Id="rId16" Type="http://schemas.openxmlformats.org/officeDocument/2006/relationships/hyperlink" Target="https://www.sec.gov/ix?doc=/Archives/edgar/data/0000104169/000010416920000076/wmt-20201031.htm" TargetMode="External"/><Relationship Id="rId37" Type="http://schemas.openxmlformats.org/officeDocument/2006/relationships/hyperlink" Target="https://www.sec.gov/ix?doc=/Archives/edgar/data/0000104169/000010416920000076/wmt-20201031.htm" TargetMode="External"/><Relationship Id="rId58" Type="http://schemas.openxmlformats.org/officeDocument/2006/relationships/hyperlink" Target="https://www.sec.gov/ix?doc=/Archives/edgar/data/0000104169/000010416920000076/wmt-20201031.htm" TargetMode="External"/><Relationship Id="rId79" Type="http://schemas.openxmlformats.org/officeDocument/2006/relationships/hyperlink" Target="https://www.sec.gov/ix?doc=/Archives/edgar/data/0000104169/000010416920000076/wmt-20201031.htm" TargetMode="External"/><Relationship Id="rId102" Type="http://schemas.openxmlformats.org/officeDocument/2006/relationships/hyperlink" Target="https://www.sec.gov/ix?doc=/Archives/edgar/data/0000104169/000010416920000076/wmt-20201031.htm" TargetMode="External"/><Relationship Id="rId123" Type="http://schemas.openxmlformats.org/officeDocument/2006/relationships/hyperlink" Target="https://www.sec.gov/ix?doc=/Archives/edgar/data/0000104169/000010416920000076/wmt-20201031.htm" TargetMode="External"/><Relationship Id="rId144" Type="http://schemas.openxmlformats.org/officeDocument/2006/relationships/hyperlink" Target="https://www.sec.gov/ix?doc=/Archives/edgar/data/0000104169/000010416920000076/wmt-20201031.htm" TargetMode="External"/><Relationship Id="rId90" Type="http://schemas.openxmlformats.org/officeDocument/2006/relationships/hyperlink" Target="https://www.sec.gov/ix?doc=/Archives/edgar/data/0000104169/000010416920000076/wmt-202010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25206</Words>
  <Characters>143678</Characters>
  <Application>Microsoft Office Word</Application>
  <DocSecurity>0</DocSecurity>
  <Lines>1197</Lines>
  <Paragraphs>337</Paragraphs>
  <ScaleCrop>false</ScaleCrop>
  <Company/>
  <LinksUpToDate>false</LinksUpToDate>
  <CharactersWithSpaces>168547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2023-02-12T00:25:00Z</dcterms:created>
  <dcterms:modified xsi:type="dcterms:W3CDTF">2023-02-13T11:34:00Z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F07E3F2123103FC66AC1E763482506F9</vt:lpwstr>
  </property>
</Properties>
</file>