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61F1" w14:textId="652131D5" w:rsidR="00CC25B5" w:rsidRDefault="00900968">
      <w:pPr>
        <w:rPr>
          <w:vanish/>
        </w:rPr>
      </w:pPr>
      <w:r>
        <w:rPr>
          <w:rFonts w:ascii="宋体" w:eastAsia="宋体" w:hAnsi="宋体" w:cs="宋体"/>
        </w:rPr>
        <w:t xml:space="preserve"> </w:t>
      </w:r>
      <w:r>
        <w:rPr>
          <w:rFonts w:ascii="宋体" w:eastAsia="宋体" w:hAnsi="宋体" w:cs="宋体"/>
          <w:vanish/>
        </w:rPr>
        <w:t>00001041691/312022Q2false00001041692021-02-012021-07-310000104169wmt:CommonStockparvalue0.10pershareMember2021-02-012021-07-310000104169wmt:A1.900NotesDue2022Member2021-02-012021-07-310000104169wmt:A2.550NotesDue2026Member2021-02-012021-07-31xbrli:shares00</w:t>
      </w:r>
      <w:r>
        <w:rPr>
          <w:rFonts w:ascii="宋体" w:eastAsia="宋体" w:hAnsi="宋体" w:cs="宋体"/>
          <w:vanish/>
        </w:rPr>
        <w:t>001041692021-08-31iso4217:USD00001041692021-05-012021-07-3100001041692020-05-012020-07-3100001041692020-02-012020-07-31iso4217:USDxbrli:shares00001041692021-07-3100001041692021-01-3100001041692020-07-310000104169us-gaap:CommonStockMember2021-01-31000010416</w:t>
      </w:r>
      <w:r>
        <w:rPr>
          <w:rFonts w:ascii="宋体" w:eastAsia="宋体" w:hAnsi="宋体" w:cs="宋体"/>
          <w:vanish/>
        </w:rPr>
        <w:t>9us-gaap:AdditionalPaidInCapitalMember2021-01-310000104169us-gaap:RetainedEarningsMember2021-01-310000104169us-gaap:AccumulatedOtherComprehensiveIncomeMember2021-01-310000104169us-gaap:ParentMember2021-01-310000104169us-gaap:NoncontrollingInterestMember202</w:t>
      </w:r>
      <w:r>
        <w:rPr>
          <w:rFonts w:ascii="宋体" w:eastAsia="宋体" w:hAnsi="宋体" w:cs="宋体"/>
          <w:vanish/>
        </w:rPr>
        <w:t>1-01-310000104169us-gaap:RetainedEarningsMember2021-02-012021-04-300000104169us-gaap:ParentMember2021-02-012021-04-300000104169us-gaap:NoncontrollingInterestMember2021-02-012021-04-3000001041692021-02-012021-04-300000104169us-gaap:AccumulatedOtherComprehen</w:t>
      </w:r>
      <w:r>
        <w:rPr>
          <w:rFonts w:ascii="宋体" w:eastAsia="宋体" w:hAnsi="宋体" w:cs="宋体"/>
          <w:vanish/>
        </w:rPr>
        <w:t>siveIncomeMember2021-02-012021-04-300000104169us-gaap:CommonStockMember2021-02-012021-04-300000104169us-gaap:AdditionalPaidInCapitalMember2021-02-012021-04-300000104169us-gaap:CommonStockMember2021-04-300000104169us-gaap:AdditionalPaidInCapitalMember2021-0</w:t>
      </w:r>
      <w:r>
        <w:rPr>
          <w:rFonts w:ascii="宋体" w:eastAsia="宋体" w:hAnsi="宋体" w:cs="宋体"/>
          <w:vanish/>
        </w:rPr>
        <w:t>4-300000104169us-gaap:RetainedEarningsMember2021-04-300000104169us-gaap:AccumulatedOtherComprehensiveIncomeMember2021-04-300000104169us-gaap:ParentMember2021-04-300000104169us-gaap:NoncontrollingInterestMember2021-04-3000001041692021-04-300000104169us-gaap</w:t>
      </w:r>
      <w:r>
        <w:rPr>
          <w:rFonts w:ascii="宋体" w:eastAsia="宋体" w:hAnsi="宋体" w:cs="宋体"/>
          <w:vanish/>
        </w:rPr>
        <w:t>:RetainedEarningsMember2021-05-012021-07-310000104169us-gaap:ParentMember2021-05-012021-07-310000104169us-gaap:NoncontrollingInterestMember2021-05-012021-07-310000104169us-gaap:AccumulatedOtherComprehensiveIncomeMember2021-05-012021-07-310000104169us-gaap:</w:t>
      </w:r>
      <w:r>
        <w:rPr>
          <w:rFonts w:ascii="宋体" w:eastAsia="宋体" w:hAnsi="宋体" w:cs="宋体"/>
          <w:vanish/>
        </w:rPr>
        <w:t>CommonStockMember2021-05-012021-07-310000104169us-gaap:AdditionalPaidInCapitalMember2021-05-012021-07-310000104169us-gaap:CommonStockMember2021-07-310000104169us-gaap:AdditionalPaidInCapitalMember2021-07-310000104169us-gaap:RetainedEarningsMember2021-07-31</w:t>
      </w:r>
      <w:r>
        <w:rPr>
          <w:rFonts w:ascii="宋体" w:eastAsia="宋体" w:hAnsi="宋体" w:cs="宋体"/>
          <w:vanish/>
        </w:rPr>
        <w:t>0000104169us-gaap:AccumulatedOtherComprehensiveIncomeMember2021-07-310000104169us-gaap:ParentMember2021-07-310000104169us-gaap:NoncontrollingInterestMember2021-07-310000104169us-gaap:CommonStockMember2020-01-310000104169us-gaap:AdditionalPaidInCapitalMembe</w:t>
      </w:r>
      <w:r>
        <w:rPr>
          <w:rFonts w:ascii="宋体" w:eastAsia="宋体" w:hAnsi="宋体" w:cs="宋体"/>
          <w:vanish/>
        </w:rPr>
        <w:t>r2020-01-310000104169us-gaap:RetainedEarningsMember2020-01-310000104169us-gaap:AccumulatedOtherComprehensiveIncomeMember2020-01-310000104169us-gaap:ParentMember2020-01-310000104169us-gaap:NoncontrollingInterestMember2020-01-3100001041692020-01-310000104169</w:t>
      </w:r>
      <w:r>
        <w:rPr>
          <w:rFonts w:ascii="宋体" w:eastAsia="宋体" w:hAnsi="宋体" w:cs="宋体"/>
          <w:vanish/>
        </w:rPr>
        <w:t>us-gaap:RetainedEarningsMember2020-02-012020-04-300000104169us-gaap:ParentMember2020-02-012020-04-300000104169us-gaap:NoncontrollingInterestMember2020-02-012020-04-3000001041692020-02-012020-04-300000104169us-gaap:AccumulatedOtherComprehensiveIncomeMember2</w:t>
      </w:r>
      <w:r>
        <w:rPr>
          <w:rFonts w:ascii="宋体" w:eastAsia="宋体" w:hAnsi="宋体" w:cs="宋体"/>
          <w:vanish/>
        </w:rPr>
        <w:t>020-02-012020-04-300000104169us-gaap:CommonStockMember2020-02-012020-04-300000104169us-gaap:AdditionalPaidInCapitalMember2020-02-012020-04-300000104169us-gaap:CommonStockMember2020-04-300000104169us-gaap:AdditionalPaidInCapitalMember2020-04-300000104169us-</w:t>
      </w:r>
      <w:r>
        <w:rPr>
          <w:rFonts w:ascii="宋体" w:eastAsia="宋体" w:hAnsi="宋体" w:cs="宋体"/>
          <w:vanish/>
        </w:rPr>
        <w:t>gaap:RetainedEarningsMember2020-04-300000104169us-gaap:AccumulatedOtherComprehensiveIncomeMember2020-04-300000104169us-gaap:ParentMember2020-04-300000104169us-gaap:NoncontrollingInterestMember2020-04-3000001041692020-04-300000104169us-gaap:RetainedEarnings</w:t>
      </w:r>
      <w:r>
        <w:rPr>
          <w:rFonts w:ascii="宋体" w:eastAsia="宋体" w:hAnsi="宋体" w:cs="宋体"/>
          <w:vanish/>
        </w:rPr>
        <w:t>Member2020-05-012020-07-310000104169us-gaap:ParentMember2020-05-012020-07-310000104169us-gaap:NoncontrollingInterestMember2020-05-012020-07-310000104169us-gaap:AccumulatedOtherComprehensiveIncomeMember2020-05-012020-07-310000104169us-gaap:CommonStockMember</w:t>
      </w:r>
      <w:r>
        <w:rPr>
          <w:rFonts w:ascii="宋体" w:eastAsia="宋体" w:hAnsi="宋体" w:cs="宋体"/>
          <w:vanish/>
        </w:rPr>
        <w:t>2020-05-012020-07-310000104169us-gaap:AdditionalPaidInCapitalMember2020-05-012020-07-310000104169us-gaap:CommonStockMember2020-07-310000104169us-gaap:AdditionalPaidInCapitalMember2020-07-310000104169us-gaap:RetainedEarningsMember2020-07-310000104169us-gaap</w:t>
      </w:r>
      <w:r>
        <w:rPr>
          <w:rFonts w:ascii="宋体" w:eastAsia="宋体" w:hAnsi="宋体" w:cs="宋体"/>
          <w:vanish/>
        </w:rPr>
        <w:t>:AccumulatedOtherComprehensiveIncomeMember2020-07-310000104169us-gaap:ParentMember2020-07-310000104169us-gaap:NoncontrollingInterestMember2020-07-310000104169wmt:FlipkartMember2021-07-012021-07-31xbrli:pure0000104169wmt:FlipkartMemberus-gaap:SubsequentEven</w:t>
      </w:r>
      <w:r>
        <w:rPr>
          <w:rFonts w:ascii="宋体" w:eastAsia="宋体" w:hAnsi="宋体" w:cs="宋体"/>
          <w:vanish/>
        </w:rPr>
        <w:t>tMember2021-08-012021-10-310000104169us-gaap:IndemnificationGuaranteeMember2021-07-310000104169us-gaap:IndemnificationGuaranteeMember2021-01-310000104169wmt:AccumulatedCurrencyTranslationAndOtherAdjustmentsAttributableToParentMember2021-01-310000104169wmt:</w:t>
      </w:r>
      <w:r>
        <w:rPr>
          <w:rFonts w:ascii="宋体" w:eastAsia="宋体" w:hAnsi="宋体" w:cs="宋体"/>
          <w:vanish/>
        </w:rPr>
        <w:t>AccumulatedNetInvestmentGainOrLossAttributableToParentMember2021-01-310000104169us-gaap:AccumulatedGainLossNetCashFlowHedgeParentMember2021-01-310000104169us-gaap:AccumulatedDefinedBenefitPlansAdjustmentMember2021-01-310000104169wmt:AccumulatedCurrencyTran</w:t>
      </w:r>
      <w:r>
        <w:rPr>
          <w:rFonts w:ascii="宋体" w:eastAsia="宋体" w:hAnsi="宋体" w:cs="宋体"/>
          <w:vanish/>
        </w:rPr>
        <w:t>slationAndOtherAdjustmentsAttributableToParentMember2021-02-012021-04-300000104169wmt:AccumulatedNetInvestmentGainOrLossAttributableToParentMember2021-02-012021-04-300000104169us-gaap:AccumulatedGainLossNetCashFlowHedgeParentMember2021-02-012021-04-3000001</w:t>
      </w:r>
      <w:r>
        <w:rPr>
          <w:rFonts w:ascii="宋体" w:eastAsia="宋体" w:hAnsi="宋体" w:cs="宋体"/>
          <w:vanish/>
        </w:rPr>
        <w:t>04169us-gaap:AccumulatedDefinedBenefitPlansAdjustmentMember2021-02-012021-04-300000104169wmt:AccumulatedCurrencyTranslationAndOtherAdjustmentsAttributableToParentMember2021-04-300000104169wmt:AccumulatedNetInvestmentGainOrLossAttributableToParentMember2021</w:t>
      </w:r>
      <w:r>
        <w:rPr>
          <w:rFonts w:ascii="宋体" w:eastAsia="宋体" w:hAnsi="宋体" w:cs="宋体"/>
          <w:vanish/>
        </w:rPr>
        <w:t>-04-300000104169us-gaap:AccumulatedGainLossNetCashFlowHedgeParentMember2021-04-300000104169us-gaap:AccumulatedDefinedBenefitPlansAdjustmentMember2021-04-300000104169wmt:AccumulatedCurrencyTranslationAndOtherAdjustmentsAttributableToParentMember2021-05-0120</w:t>
      </w:r>
      <w:r>
        <w:rPr>
          <w:rFonts w:ascii="宋体" w:eastAsia="宋体" w:hAnsi="宋体" w:cs="宋体"/>
          <w:vanish/>
        </w:rPr>
        <w:t>21-07-310000104169wmt:AccumulatedNetInvestmentGainOrLossAttributableToParentMember2021-05-012021-07-310000104169us-gaap:AccumulatedGainLossNetCashFlowHedgeParentMember2021-05-012021-07-310000104169us-gaap:AccumulatedDefinedBenefitPlansAdjustmentMember2021-</w:t>
      </w:r>
      <w:r>
        <w:rPr>
          <w:rFonts w:ascii="宋体" w:eastAsia="宋体" w:hAnsi="宋体" w:cs="宋体"/>
          <w:vanish/>
        </w:rPr>
        <w:t>05-012021-07-310000104169wmt:AccumulatedCurrencyTranslationAndOtherAdjustmentsAttributableToParentMember2021-07-310000104169wmt:AccumulatedNetInvestmentGainOrLossAttributableToParentMember2021-07-310000104169us-gaap:AccumulatedGainLossNetCashFlowHedgeParen</w:t>
      </w:r>
      <w:r>
        <w:rPr>
          <w:rFonts w:ascii="宋体" w:eastAsia="宋体" w:hAnsi="宋体" w:cs="宋体"/>
          <w:vanish/>
        </w:rPr>
        <w:t>tMember2021-07-310000104169us-gaap:AccumulatedDefinedBenefitPlansAdjustmentMember2021-07-310000104169wmt:AccumulatedCurrencyTranslationAndOtherAdjustmentsAttributableToParentMember2020-01-310000104169wmt:AccumulatedNetInvestmentGainOrLossAttributableToPare</w:t>
      </w:r>
      <w:r>
        <w:rPr>
          <w:rFonts w:ascii="宋体" w:eastAsia="宋体" w:hAnsi="宋体" w:cs="宋体"/>
          <w:vanish/>
        </w:rPr>
        <w:t>ntMember2020-01-310000104169us-gaap:AccumulatedGainLossNetCashFlowHedgeParentMember2020-01-310000104169us-gaap:AccumulatedDefinedBenefitPlansAdjustmentMember2020-01-310000104169wmt:AccumulatedCurrencyTranslationAndOtherAdjustmentsAttributableToParentMember</w:t>
      </w:r>
      <w:r>
        <w:rPr>
          <w:rFonts w:ascii="宋体" w:eastAsia="宋体" w:hAnsi="宋体" w:cs="宋体"/>
          <w:vanish/>
        </w:rPr>
        <w:t>2020-02-012020-04-300000104169wmt:AccumulatedNetInvestmentGainOrLossAttributableToParentMember2020-02-012020-04-300000104169us-gaap:AccumulatedGainLossNetCashFlowHedgeParentMember2020-02-012020-04-300000104169us-gaap:AccumulatedDefinedBenefitPlansAdjustmen</w:t>
      </w:r>
      <w:r>
        <w:rPr>
          <w:rFonts w:ascii="宋体" w:eastAsia="宋体" w:hAnsi="宋体" w:cs="宋体"/>
          <w:vanish/>
        </w:rPr>
        <w:t>tMember2020-02-012020-04-300000104169wmt:AccumulatedCurrencyTranslationAndOtherAdjustmentsAttributableToParentMember2020-04-300000104169wmt:AccumulatedNetInvestmentGainOrLossAttributableToParentMember2020-04-300000104169us-gaap:AccumulatedGainLossNetCashFl</w:t>
      </w:r>
      <w:r>
        <w:rPr>
          <w:rFonts w:ascii="宋体" w:eastAsia="宋体" w:hAnsi="宋体" w:cs="宋体"/>
          <w:vanish/>
        </w:rPr>
        <w:t>owHedgeParentMember2020-04-300000104169us-gaap:AccumulatedDefinedBenefitPlansAdjustmentMember2020-04-300000104169wmt:AccumulatedCurrencyTranslationAndOtherAdjustmentsAttributableToParentMember2020-05-012020-07-310000104169wmt:AccumulatedNetInvestmentGainOr</w:t>
      </w:r>
      <w:r>
        <w:rPr>
          <w:rFonts w:ascii="宋体" w:eastAsia="宋体" w:hAnsi="宋体" w:cs="宋体"/>
          <w:vanish/>
        </w:rPr>
        <w:t>LossAttributableToParentMember2020-05-012020-07-310000104169us-gaap:AccumulatedGainLossNetCashFlowHedgeParentMember2020-05-012020-07-310000104169us-gaap:AccumulatedDefinedBenefitPlansAdjustmentMember2020-05-012020-07-310000104169wmt:AccumulatedCurrencyTran</w:t>
      </w:r>
      <w:r>
        <w:rPr>
          <w:rFonts w:ascii="宋体" w:eastAsia="宋体" w:hAnsi="宋体" w:cs="宋体"/>
          <w:vanish/>
        </w:rPr>
        <w:t>slationAndOtherAdjustmentsAttributableToParentMember2020-07-310000104169wmt:AccumulatedNetInvestmentGainOrLossAttributableToParentMember2020-07-310000104169us-gaap:AccumulatedGainLossNetCashFlowHedgeParentMember2020-07-310000104169us-gaap:AccumulatedDefine</w:t>
      </w:r>
      <w:r>
        <w:rPr>
          <w:rFonts w:ascii="宋体" w:eastAsia="宋体" w:hAnsi="宋体" w:cs="宋体"/>
          <w:vanish/>
        </w:rPr>
        <w:t>dBenefitPlansAdjustmentMember2020-07-310000104169us-gaap:RevolvingCreditFacilityMemberus-gaap:DomesticLineOfCreditMember2021-04-012021-04-300000104169us-gaap:RevolvingCreditFacilityMemberus-gaap:DomesticLineOfCreditMember2021-07-310000104169wmt:FiveYearCre</w:t>
      </w:r>
      <w:r>
        <w:rPr>
          <w:rFonts w:ascii="宋体" w:eastAsia="宋体" w:hAnsi="宋体" w:cs="宋体"/>
          <w:vanish/>
        </w:rPr>
        <w:t>ditFacilityMemberus-gaap:DomesticLineOfCreditMember2021-04-012021-04-300000104169wmt:FiveYearCreditFacilityMemberus-gaap:DomesticLineOfCreditMember2021-07-310000104169us-gaap:DomesticLineOfCreditMember2021-07-310000104169us-gaap:DomesticLineOfCreditMember2</w:t>
      </w:r>
      <w:r>
        <w:rPr>
          <w:rFonts w:ascii="宋体" w:eastAsia="宋体" w:hAnsi="宋体" w:cs="宋体"/>
          <w:vanish/>
        </w:rPr>
        <w:t>021-01-310000104169us-gaap:FairValueInputsLevel1Memberus-gaap:FairValueMeasurementsRecurringMember2021-07-310000104169us-gaap:FairValueInputsLevel1Memberus-gaap:FairValueMeasurementsRecurringMember2021-01-310000104169us-gaap:FairValueInputsLevel2Memberus-g</w:t>
      </w:r>
      <w:r>
        <w:rPr>
          <w:rFonts w:ascii="宋体" w:eastAsia="宋体" w:hAnsi="宋体" w:cs="宋体"/>
          <w:vanish/>
        </w:rPr>
        <w:t>aap:FairValueMeasurementsRecurringMember2021-07-310000104169us-gaap:FairValueInputsLevel2Memberus-gaap:FairValueMeasurementsRecurringMember2021-01-310000104169us-gaap:FairValueMeasurementsRecurringMember2021-07-310000104169us-gaap:FairValueMeasurementsRecu</w:t>
      </w:r>
      <w:r>
        <w:rPr>
          <w:rFonts w:ascii="宋体" w:eastAsia="宋体" w:hAnsi="宋体" w:cs="宋体"/>
          <w:vanish/>
        </w:rPr>
        <w:t>rringMember2021-01-310000104169us-gaap:InterestRateSwapMemberus-gaap:FairValueHedgingMember2021-07-310000104169us-gaap:InterestRateSwapMemberus-gaap:FairValueHedgingMemberus-gaap:FairValueInputsLevel2Memberus-gaap:FairValueMeasurementsRecurringMember2021-0</w:t>
      </w:r>
      <w:r>
        <w:rPr>
          <w:rFonts w:ascii="宋体" w:eastAsia="宋体" w:hAnsi="宋体" w:cs="宋体"/>
          <w:vanish/>
        </w:rPr>
        <w:t>7-310000104169us-gaap:InterestRateSwapMemberus-gaap:FairValueHedgingMember2021-01-310000104169us-gaap:InterestRateSwapMemberus-gaap:FairValueHedgingMemberus-gaap:FairValueInputsLevel2Memberus-gaap:FairValueMeasurementsRecurringMember2021-01-310000104169us-</w:t>
      </w:r>
      <w:r>
        <w:rPr>
          <w:rFonts w:ascii="宋体" w:eastAsia="宋体" w:hAnsi="宋体" w:cs="宋体"/>
          <w:vanish/>
        </w:rPr>
        <w:t>gaap:CrossCurrencyInterestRateContractMemberus-gaap:NetInvestmentHedgingMember2021-07-310000104169us-gaap:CrossCurrencyInterestRateContractMemberus-gaap:NetInvestmentHedgingMemberus-gaap:FairValueInputsLevel2Memberus-gaap:FairValueMeasurementsRecurringMemb</w:t>
      </w:r>
      <w:r>
        <w:rPr>
          <w:rFonts w:ascii="宋体" w:eastAsia="宋体" w:hAnsi="宋体" w:cs="宋体"/>
          <w:vanish/>
        </w:rPr>
        <w:t>er2021-07-310000104169us-gaap:CrossCurrencyInterestRateContractMemberus-gaap:NetInvestmentHedgingMember2021-01-310000104169us-gaap:CrossCurrencyInterestRateContractMemberus-gaap:NetInvestmentHedgingMemberus-gaap:FairValueInputsLevel2Memberus-gaap:FairValue</w:t>
      </w:r>
      <w:r>
        <w:rPr>
          <w:rFonts w:ascii="宋体" w:eastAsia="宋体" w:hAnsi="宋体" w:cs="宋体"/>
          <w:vanish/>
        </w:rPr>
        <w:t>MeasurementsRecurringMember2021-01-310000104169us-gaap:CrossCurrencyInterestRateContractMemberus-gaap:CashFlowHedgingMember2021-07-310000104169us-gaap:CrossCurrencyInterestRateContractMemberus-gaap:FairValueInputsLevel2Memberus-gaap:FairValueMeasurementsRe</w:t>
      </w:r>
      <w:r>
        <w:rPr>
          <w:rFonts w:ascii="宋体" w:eastAsia="宋体" w:hAnsi="宋体" w:cs="宋体"/>
          <w:vanish/>
        </w:rPr>
        <w:t>curringMemberus-gaap:CashFlowHedgingMember2021-07-310000104169us-gaap:CrossCurrencyInterestRateContractMemberus-gaap:CashFlowHedgingMember2021-01-310000104169us-gaap:CrossCurrencyInterestRateContractMemberus-gaap:FairValueInputsLevel2Memberus-gaap:FairValu</w:t>
      </w:r>
      <w:r>
        <w:rPr>
          <w:rFonts w:ascii="宋体" w:eastAsia="宋体" w:hAnsi="宋体" w:cs="宋体"/>
          <w:vanish/>
        </w:rPr>
        <w:t>eMeasurementsRecurringMemberus-gaap:CashFlowHedgingMember2021-01-310000104169us-gaap:CarryingReportedAmountFairValueDisclosureMember2021-07-310000104169us-gaap:EstimateOfFairValueFairValueDisclosureMemberus-gaap:FairValueInputsLevel2Member2021-07-310000104</w:t>
      </w:r>
      <w:r>
        <w:rPr>
          <w:rFonts w:ascii="宋体" w:eastAsia="宋体" w:hAnsi="宋体" w:cs="宋体"/>
          <w:vanish/>
        </w:rPr>
        <w:t>169us-gaap:CarryingReportedAmountFairValueDisclosureMember2021-01-310000104169us-gaap:EstimateOfFairValueFairValueDisclosureMemberus-gaap:FairValueInputsLevel2Member2021-01-310000104169wmt:WalmartInternationalSegmentMember2021-07-310000104169wmt:WalmartInt</w:t>
      </w:r>
      <w:r>
        <w:rPr>
          <w:rFonts w:ascii="宋体" w:eastAsia="宋体" w:hAnsi="宋体" w:cs="宋体"/>
          <w:vanish/>
        </w:rPr>
        <w:t>ernationalSegmentMember2021-01-310000104169wmt:AsdaMemberus-gaap:DisposalGroupDisposedOfBySaleNotDiscontinuedOperationsMember2021-02-280000104169wmt:AsdaMemberus-gaap:DisposalGroupDisposedOfBySaleNotDiscontinuedOperationsMember2021-02-012021-07-31000010416</w:t>
      </w:r>
      <w:r>
        <w:rPr>
          <w:rFonts w:ascii="宋体" w:eastAsia="宋体" w:hAnsi="宋体" w:cs="宋体"/>
          <w:vanish/>
        </w:rPr>
        <w:t>9us-gaap:DisposalGroupDisposedOfBySaleNotDiscontinuedOperationsMemberwmt:SeiyuMember2021-03-310000104169us-gaap:DisposalGroupDisposedOfBySaleNotDiscontinuedOperationsMemberwmt:SeiyuMember2021-02-012021-07-310000104169wmt:SeiyuMember2021-04-30wmt:securities</w:t>
      </w:r>
      <w:r>
        <w:rPr>
          <w:rFonts w:ascii="宋体" w:eastAsia="宋体" w:hAnsi="宋体" w:cs="宋体"/>
          <w:vanish/>
        </w:rPr>
        <w:t>ClassActions0000104169wmt:OpioidsLitigationMember2021-07-31wmt:numberOfShareholderswmt:segment0000104169wmt:WalmartUSSegmentMember2021-05-012021-07-310000104169wmt:WalmartUSSegmentMember2020-05-012020-07-310000104169wmt:WalmartUSSegmentMember2021-02-012021</w:t>
      </w:r>
      <w:r>
        <w:rPr>
          <w:rFonts w:ascii="宋体" w:eastAsia="宋体" w:hAnsi="宋体" w:cs="宋体"/>
          <w:vanish/>
        </w:rPr>
        <w:t>-07-310000104169wmt:WalmartUSSegmentMember2020-02-012020-07-310000104169wmt:WalmartInternationalSegmentMember2021-05-012021-07-310000104169wmt:WalmartInternationalSegmentMember2020-05-012020-07-310000104169wmt:WalmartInternationalSegmentMember2021-02-01202</w:t>
      </w:r>
      <w:r>
        <w:rPr>
          <w:rFonts w:ascii="宋体" w:eastAsia="宋体" w:hAnsi="宋体" w:cs="宋体"/>
          <w:vanish/>
        </w:rPr>
        <w:t>1-07-310000104169wmt:WalmartInternationalSegmentMember2020-02-012020-07-310000104169wmt:SamsClubSegmentMember2021-05-012021-07-310000104169wmt:SamsClubSegmentMember2020-05-012020-07-310000104169wmt:SamsClubSegmentMember2021-02-012021-07-310000104169wmt:Sam</w:t>
      </w:r>
      <w:r>
        <w:rPr>
          <w:rFonts w:ascii="宋体" w:eastAsia="宋体" w:hAnsi="宋体" w:cs="宋体"/>
          <w:vanish/>
        </w:rPr>
        <w:t>sClubSegmentMember2020-02-012020-07-310000104169us-gaap:OperatingSegmentsMemberwmt:WalmartUSSegmentMember2021-05-012021-07-310000104169us-gaap:OperatingSegmentsMemberwmt:WalmartUSSegmentMember2020-05-012020-07-310000104169us-gaap:OperatingSegmentsMemberwmt</w:t>
      </w:r>
      <w:r>
        <w:rPr>
          <w:rFonts w:ascii="宋体" w:eastAsia="宋体" w:hAnsi="宋体" w:cs="宋体"/>
          <w:vanish/>
        </w:rPr>
        <w:t>:WalmartUSSegmentMember2021-02-012021-07-310000104169us-gaap:OperatingSegmentsMemberwmt:WalmartUSSegmentMember2020-02-012020-07-310000104169us-gaap:OperatingSegmentsMemberwmt:WalmartInternationalSegmentMember2021-05-012021-07-310000104169us-gaap:OperatingS</w:t>
      </w:r>
      <w:r>
        <w:rPr>
          <w:rFonts w:ascii="宋体" w:eastAsia="宋体" w:hAnsi="宋体" w:cs="宋体"/>
          <w:vanish/>
        </w:rPr>
        <w:t>egmentsMemberwmt:WalmartInternationalSegmentMember2020-05-012020-07-310000104169us-gaap:OperatingSegmentsMemberwmt:WalmartInternationalSegmentMember2021-02-012021-07-310000104169us-gaap:OperatingSegmentsMemberwmt:WalmartInternationalSegmentMember2020-02-01</w:t>
      </w:r>
      <w:r>
        <w:rPr>
          <w:rFonts w:ascii="宋体" w:eastAsia="宋体" w:hAnsi="宋体" w:cs="宋体"/>
          <w:vanish/>
        </w:rPr>
        <w:t>2020-07-310000104169wmt:SamsClubSegmentMemberus-gaap:OperatingSegmentsMember2021-05-012021-07-310000104169wmt:SamsClubSegmentMemberus-gaap:OperatingSegmentsMember2020-05-012020-07-310000104169wmt:SamsClubSegmentMemberus-gaap:OperatingSegmentsMember2021-02-</w:t>
      </w:r>
      <w:r>
        <w:rPr>
          <w:rFonts w:ascii="宋体" w:eastAsia="宋体" w:hAnsi="宋体" w:cs="宋体"/>
          <w:vanish/>
        </w:rPr>
        <w:t>012021-07-310000104169wmt:SamsClubSegmentMemberus-gaap:OperatingSegmentsMember2020-02-012020-07-310000104169wmt:CorporateAndReconcilingItemsMember2021-05-012021-07-310000104169wmt:CorporateAndReconcilingItemsMember2020-05-012020-07-310000104169wmt:Corporat</w:t>
      </w:r>
      <w:r>
        <w:rPr>
          <w:rFonts w:ascii="宋体" w:eastAsia="宋体" w:hAnsi="宋体" w:cs="宋体"/>
          <w:vanish/>
        </w:rPr>
        <w:t>eAndReconcilingItemsMember2021-02-012021-07-310000104169wmt:CorporateAndReconcilingItemsMember2020-02-012020-07-310000104169wmt:GroceryMemberwmt:WalmartUSSegmentMember2021-05-012021-07-310000104169wmt:GroceryMemberwmt:WalmartUSSegmentMember2020-05-012020-0</w:t>
      </w:r>
      <w:r>
        <w:rPr>
          <w:rFonts w:ascii="宋体" w:eastAsia="宋体" w:hAnsi="宋体" w:cs="宋体"/>
          <w:vanish/>
        </w:rPr>
        <w:t>7-310000104169wmt:GroceryMemberwmt:WalmartUSSegmentMember2021-02-012021-07-310000104169wmt:GroceryMemberwmt:WalmartUSSegmentMember2020-02-012020-07-310000104169wmt:WalmartUSSegmentMemberwmt:GeneralMerchandiseMember2021-05-012021-07-310000104169wmt:WalmartU</w:t>
      </w:r>
      <w:r>
        <w:rPr>
          <w:rFonts w:ascii="宋体" w:eastAsia="宋体" w:hAnsi="宋体" w:cs="宋体"/>
          <w:vanish/>
        </w:rPr>
        <w:t>SSegmentMemberwmt:GeneralMerchandiseMember2020-05-012020-07-310000104169wmt:WalmartUSSegmentMemberwmt:GeneralMerchandiseMember2021-02-012021-07-310000104169wmt:WalmartUSSegmentMemberwmt:GeneralMerchandiseMember2020-02-012020-07-310000104169wmt:WalmartUSSeg</w:t>
      </w:r>
      <w:r>
        <w:rPr>
          <w:rFonts w:ascii="宋体" w:eastAsia="宋体" w:hAnsi="宋体" w:cs="宋体"/>
          <w:vanish/>
        </w:rPr>
        <w:t>mentMemberwmt:HealthandWellnessMember2021-05-012021-07-310000104169wmt:WalmartUSSegmentMemberwmt:HealthandWellnessMember2020-05-012020-07-310000104169wmt:WalmartUSSegmentMemberwmt:HealthandWellnessMember2021-02-012021-07-310000104169wmt:WalmartUSSegmentMem</w:t>
      </w:r>
      <w:r>
        <w:rPr>
          <w:rFonts w:ascii="宋体" w:eastAsia="宋体" w:hAnsi="宋体" w:cs="宋体"/>
          <w:vanish/>
        </w:rPr>
        <w:t>berwmt:HealthandWellnessMember2020-02-012020-07-310000104169wmt:WalmartUSSegmentMemberwmt:OtherCategoriesMember2021-05-012021-07-310000104169wmt:WalmartUSSegmentMemberwmt:OtherCategoriesMember2020-05-012020-07-310000104169wmt:WalmartUSSegmentMemberwmt:Othe</w:t>
      </w:r>
      <w:r>
        <w:rPr>
          <w:rFonts w:ascii="宋体" w:eastAsia="宋体" w:hAnsi="宋体" w:cs="宋体"/>
          <w:vanish/>
        </w:rPr>
        <w:t>rCategoriesMember2021-02-012021-07-310000104169wmt:WalmartUSSegmentMemberwmt:OtherCategoriesMember2020-02-012020-07-310000104169wmt:ECommerceMemberwmt:WalmartUSSegmentMember2021-05-012021-07-310000104169wmt:ECommerceMemberwmt:WalmartUSSegmentMember2020-05-</w:t>
      </w:r>
      <w:r>
        <w:rPr>
          <w:rFonts w:ascii="宋体" w:eastAsia="宋体" w:hAnsi="宋体" w:cs="宋体"/>
          <w:vanish/>
        </w:rPr>
        <w:t>012020-07-310000104169wmt:ECommerceMemberwmt:WalmartUSSegmentMember2021-02-012021-07-310000104169wmt:ECommerceMemberwmt:WalmartUSSegmentMember2020-02-012020-07-310000104169wmt:MexicoandCentralAmericaMemberwmt:WalmartInternationalSegmentMember2021-05-012021</w:t>
      </w:r>
      <w:r>
        <w:rPr>
          <w:rFonts w:ascii="宋体" w:eastAsia="宋体" w:hAnsi="宋体" w:cs="宋体"/>
          <w:vanish/>
        </w:rPr>
        <w:t>-07-310000104169wmt:MexicoandCentralAmericaMemberwmt:WalmartInternationalSegmentMember2020-05-012020-07-310000104169wmt:MexicoandCentralAmericaMemberwmt:WalmartInternationalSegmentMember2021-02-012021-07-310000104169wmt:MexicoandCentralAmericaMemberwmt:Wal</w:t>
      </w:r>
      <w:r>
        <w:rPr>
          <w:rFonts w:ascii="宋体" w:eastAsia="宋体" w:hAnsi="宋体" w:cs="宋体"/>
          <w:vanish/>
        </w:rPr>
        <w:t>martInternationalSegmentMember2020-02-012020-07-310000104169country:GBwmt:WalmartInternationalSegmentMember2021-05-012021-07-310000104169country:GBwmt:WalmartInternationalSegmentMember2020-05-012020-07-310000104169country:GBwmt:WalmartInternationalSegmentM</w:t>
      </w:r>
      <w:r>
        <w:rPr>
          <w:rFonts w:ascii="宋体" w:eastAsia="宋体" w:hAnsi="宋体" w:cs="宋体"/>
          <w:vanish/>
        </w:rPr>
        <w:t>ember2021-02-012021-07-310000104169country:GBwmt:WalmartInternationalSegmentMember2020-02-012020-07-310000104169country:CAwmt:WalmartInternationalSegmentMember2021-05-012021-07-310000104169country:CAwmt:WalmartInternationalSegmentMember2020-05-012020-07-31</w:t>
      </w:r>
      <w:r>
        <w:rPr>
          <w:rFonts w:ascii="宋体" w:eastAsia="宋体" w:hAnsi="宋体" w:cs="宋体"/>
          <w:vanish/>
        </w:rPr>
        <w:t>0000104169country:CAwmt:WalmartInternationalSegmentMember2021-02-012021-07-310000104169country:CAwmt:WalmartInternationalSegmentMember2020-02-012020-07-310000104169wmt:WalmartInternationalSegmentMembercountry:CN2021-05-012021-07-310000104169wmt:WalmartInte</w:t>
      </w:r>
      <w:r>
        <w:rPr>
          <w:rFonts w:ascii="宋体" w:eastAsia="宋体" w:hAnsi="宋体" w:cs="宋体"/>
          <w:vanish/>
        </w:rPr>
        <w:t>rnationalSegmentMembercountry:CN2020-05-012020-07-310000104169wmt:WalmartInternationalSegmentMembercountry:CN2021-02-012021-07-310000104169wmt:WalmartInternationalSegmentMembercountry:CN2020-02-012020-07-310000104169wmt:WalmartInternationalSegmentMemberwmt</w:t>
      </w:r>
      <w:r>
        <w:rPr>
          <w:rFonts w:ascii="宋体" w:eastAsia="宋体" w:hAnsi="宋体" w:cs="宋体"/>
          <w:vanish/>
        </w:rPr>
        <w:t>:OtherMember2021-05-012021-07-310000104169wmt:WalmartInternationalSegmentMemberwmt:OtherMember2020-05-012020-07-310000104169wmt:WalmartInternationalSegmentMemberwmt:OtherMember2021-02-012021-07-310000104169wmt:WalmartInternationalSegmentMemberwmt:OtherMemb</w:t>
      </w:r>
      <w:r>
        <w:rPr>
          <w:rFonts w:ascii="宋体" w:eastAsia="宋体" w:hAnsi="宋体" w:cs="宋体"/>
          <w:vanish/>
        </w:rPr>
        <w:t>er2020-02-012020-07-310000104169wmt:ECommerceMemberwmt:WalmartInternationalSegmentMember2021-05-012021-07-310000104169wmt:ECommerceMemberwmt:WalmartInternationalSegmentMember2020-05-012020-07-310000104169wmt:ECommerceMemberwmt:WalmartInternationalSegmentMe</w:t>
      </w:r>
      <w:r>
        <w:rPr>
          <w:rFonts w:ascii="宋体" w:eastAsia="宋体" w:hAnsi="宋体" w:cs="宋体"/>
          <w:vanish/>
        </w:rPr>
        <w:t>mber2021-02-012021-07-310000104169wmt:ECommerceMemberwmt:WalmartInternationalSegmentMember2020-02-012020-07-310000104169wmt:SamsClubSegmentMemberwmt:GroceryandconsumablesMember2021-05-012021-07-310000104169wmt:SamsClubSegmentMemberwmt:Groceryandconsumables</w:t>
      </w:r>
      <w:r>
        <w:rPr>
          <w:rFonts w:ascii="宋体" w:eastAsia="宋体" w:hAnsi="宋体" w:cs="宋体"/>
          <w:vanish/>
        </w:rPr>
        <w:t>Member2020-05-012020-07-310000104169wmt:SamsClubSegmentMemberwmt:GroceryandconsumablesMember2021-02-012021-07-310000104169wmt:SamsClubSegmentMemberwmt:GroceryandconsumablesMember2020-02-012020-07-310000104169wmt:SamsClubSegmentMemberwmt:Fueltobaccoandother</w:t>
      </w:r>
      <w:r>
        <w:rPr>
          <w:rFonts w:ascii="宋体" w:eastAsia="宋体" w:hAnsi="宋体" w:cs="宋体"/>
          <w:vanish/>
        </w:rPr>
        <w:t>categoriesMember2021-05-012021-07-310000104169wmt:SamsClubSegmentMemberwmt:FueltobaccoandothercategoriesMember2020-05-012020-07-310000104169wmt:SamsClubSegmentMemberwmt:FueltobaccoandothercategoriesMember2021-02-012021-07-310000104169wmt:SamsClubSegmentMem</w:t>
      </w:r>
      <w:r>
        <w:rPr>
          <w:rFonts w:ascii="宋体" w:eastAsia="宋体" w:hAnsi="宋体" w:cs="宋体"/>
          <w:vanish/>
        </w:rPr>
        <w:t>berwmt:FueltobaccoandothercategoriesMember2020-02-012020-07-310000104169wmt:SamsClubSegmentMemberwmt:HomeandapparelMember2021-05-012021-07-310000104169wmt:SamsClubSegmentMemberwmt:HomeandapparelMember2020-05-012020-07-310000104169wmt:SamsClubSegmentMemberw</w:t>
      </w:r>
      <w:r>
        <w:rPr>
          <w:rFonts w:ascii="宋体" w:eastAsia="宋体" w:hAnsi="宋体" w:cs="宋体"/>
          <w:vanish/>
        </w:rPr>
        <w:t>mt:HomeandapparelMember2021-02-012021-07-310000104169wmt:SamsClubSegmentMemberwmt:HomeandapparelMember2020-02-012020-07-310000104169wmt:SamsClubSegmentMemberwmt:HealthandWellnessMember2021-05-012021-07-310000104169wmt:SamsClubSegmentMemberwmt:HealthandWell</w:t>
      </w:r>
      <w:r>
        <w:rPr>
          <w:rFonts w:ascii="宋体" w:eastAsia="宋体" w:hAnsi="宋体" w:cs="宋体"/>
          <w:vanish/>
        </w:rPr>
        <w:t>nessMember2020-05-012020-07-310000104169wmt:SamsClubSegmentMemberwmt:HealthandWellnessMember2021-02-012021-07-310000104169wmt:SamsClubSegmentMemberwmt:HealthandWellnessMember2020-02-012020-07-310000104169wmt:SamsClubSegmentMemberwmt:Technologyofficesandent</w:t>
      </w:r>
      <w:r>
        <w:rPr>
          <w:rFonts w:ascii="宋体" w:eastAsia="宋体" w:hAnsi="宋体" w:cs="宋体"/>
          <w:vanish/>
        </w:rPr>
        <w:t>ertainmentMember2021-05-012021-07-310000104169wmt:SamsClubSegmentMemberwmt:TechnologyofficesandentertainmentMember2020-05-012020-07-310000104169wmt:SamsClubSegmentMemberwmt:TechnologyofficesandentertainmentMember2021-02-012021-07-310000104169wmt:SamsClubSe</w:t>
      </w:r>
      <w:r>
        <w:rPr>
          <w:rFonts w:ascii="宋体" w:eastAsia="宋体" w:hAnsi="宋体" w:cs="宋体"/>
          <w:vanish/>
        </w:rPr>
        <w:t>gmentMemberwmt:TechnologyofficesandentertainmentMember2020-02-012020-07-310000104169wmt:SamsClubSegmentMemberwmt:ECommerceMember2021-05-012021-07-310000104169wmt:SamsClubSegmentMemberwmt:ECommerceMember2020-05-012020-07-310000104169wmt:SamsClubSegmentMembe</w:t>
      </w:r>
      <w:r>
        <w:rPr>
          <w:rFonts w:ascii="宋体" w:eastAsia="宋体" w:hAnsi="宋体" w:cs="宋体"/>
          <w:vanish/>
        </w:rPr>
        <w:t>rwmt:ECommerceMember2021-02-012021-07-310000104169wmt:SamsClubSegmentMemberwmt:ECommerceMember2020-02-012020-07-31</w:t>
      </w:r>
    </w:p>
    <w:p w14:paraId="442F61F2" w14:textId="77777777" w:rsidR="00CC25B5" w:rsidRDefault="00CC25B5"/>
    <w:p w14:paraId="442F61F3" w14:textId="77777777" w:rsidR="00CC25B5" w:rsidRDefault="00900968">
      <w:pPr>
        <w:jc w:val="center"/>
      </w:pPr>
      <w:r>
        <w:rPr>
          <w:rFonts w:ascii="Times New Roman" w:eastAsia="宋体" w:hAnsi="Times New Roman"/>
          <w:b/>
          <w:bCs/>
          <w:color w:val="000000"/>
          <w:sz w:val="32"/>
          <w:szCs w:val="32"/>
        </w:rPr>
        <w:t>UNITED STATES</w:t>
      </w:r>
    </w:p>
    <w:p w14:paraId="442F61F4" w14:textId="77777777" w:rsidR="00CC25B5" w:rsidRDefault="00900968">
      <w:pPr>
        <w:jc w:val="center"/>
      </w:pPr>
      <w:r>
        <w:rPr>
          <w:rFonts w:ascii="Times New Roman" w:eastAsia="宋体" w:hAnsi="Times New Roman"/>
          <w:b/>
          <w:bCs/>
          <w:color w:val="000000"/>
          <w:sz w:val="32"/>
          <w:szCs w:val="32"/>
        </w:rPr>
        <w:t>SECURITIES AND EXCHANGE COMMISSION</w:t>
      </w:r>
    </w:p>
    <w:p w14:paraId="442F61F5" w14:textId="77777777" w:rsidR="00CC25B5" w:rsidRDefault="00900968">
      <w:pPr>
        <w:jc w:val="center"/>
      </w:pPr>
      <w:r>
        <w:rPr>
          <w:rFonts w:ascii="Times New Roman" w:eastAsia="宋体" w:hAnsi="Times New Roman"/>
          <w:b/>
          <w:bCs/>
          <w:color w:val="000000"/>
          <w:sz w:val="22"/>
          <w:szCs w:val="22"/>
        </w:rPr>
        <w:t>Washington, D.C. 20549</w:t>
      </w:r>
    </w:p>
    <w:p w14:paraId="442F61F6" w14:textId="77777777" w:rsidR="00CC25B5" w:rsidRDefault="00900968">
      <w:pPr>
        <w:jc w:val="center"/>
      </w:pPr>
      <w:r>
        <w:rPr>
          <w:rFonts w:ascii="Times New Roman" w:eastAsia="宋体" w:hAnsi="Times New Roman"/>
          <w:b/>
          <w:bCs/>
          <w:color w:val="000000"/>
          <w:sz w:val="28"/>
          <w:szCs w:val="28"/>
        </w:rPr>
        <w:t xml:space="preserve">FORM 10-Q </w:t>
      </w:r>
    </w:p>
    <w:p w14:paraId="442F61F7" w14:textId="77777777" w:rsidR="00CC25B5" w:rsidRDefault="00900968">
      <w:pPr>
        <w:spacing w:before="60"/>
      </w:pPr>
      <w:r>
        <w:rPr>
          <w:rFonts w:ascii="Times New Roman" w:eastAsia="宋体" w:hAnsi="Times New Roman"/>
          <w:b/>
          <w:bCs/>
          <w:color w:val="000000"/>
          <w:sz w:val="18"/>
          <w:szCs w:val="18"/>
        </w:rPr>
        <w:t>(Mark One)</w:t>
      </w:r>
    </w:p>
    <w:tbl>
      <w:tblPr>
        <w:tblW w:w="4788" w:type="pct"/>
        <w:tblInd w:w="-165" w:type="dxa"/>
        <w:tblCellMar>
          <w:top w:w="15" w:type="dxa"/>
          <w:left w:w="15" w:type="dxa"/>
          <w:bottom w:w="15" w:type="dxa"/>
          <w:right w:w="15" w:type="dxa"/>
        </w:tblCellMar>
        <w:tblLook w:val="04A0" w:firstRow="1" w:lastRow="0" w:firstColumn="1" w:lastColumn="0" w:noHBand="0" w:noVBand="1"/>
      </w:tblPr>
      <w:tblGrid>
        <w:gridCol w:w="66"/>
        <w:gridCol w:w="385"/>
        <w:gridCol w:w="36"/>
        <w:gridCol w:w="66"/>
        <w:gridCol w:w="7394"/>
        <w:gridCol w:w="36"/>
      </w:tblGrid>
      <w:tr w:rsidR="00CC25B5" w14:paraId="442F61FE" w14:textId="77777777">
        <w:tc>
          <w:tcPr>
            <w:tcW w:w="50" w:type="pct"/>
            <w:shd w:val="clear" w:color="auto" w:fill="auto"/>
            <w:vAlign w:val="bottom"/>
          </w:tcPr>
          <w:p w14:paraId="442F61F8" w14:textId="77777777" w:rsidR="00CC25B5" w:rsidRDefault="00CC25B5">
            <w:pPr>
              <w:rPr>
                <w:rFonts w:ascii="宋体"/>
              </w:rPr>
            </w:pPr>
          </w:p>
        </w:tc>
        <w:tc>
          <w:tcPr>
            <w:tcW w:w="250" w:type="pct"/>
            <w:shd w:val="clear" w:color="auto" w:fill="auto"/>
            <w:vAlign w:val="bottom"/>
          </w:tcPr>
          <w:p w14:paraId="442F61F9" w14:textId="77777777" w:rsidR="00CC25B5" w:rsidRDefault="00CC25B5">
            <w:pPr>
              <w:rPr>
                <w:rFonts w:ascii="宋体"/>
              </w:rPr>
            </w:pPr>
          </w:p>
        </w:tc>
        <w:tc>
          <w:tcPr>
            <w:tcW w:w="5" w:type="pct"/>
            <w:shd w:val="clear" w:color="auto" w:fill="auto"/>
            <w:vAlign w:val="bottom"/>
          </w:tcPr>
          <w:p w14:paraId="442F61FA" w14:textId="77777777" w:rsidR="00CC25B5" w:rsidRDefault="00CC25B5">
            <w:pPr>
              <w:rPr>
                <w:rFonts w:ascii="宋体"/>
              </w:rPr>
            </w:pPr>
          </w:p>
        </w:tc>
        <w:tc>
          <w:tcPr>
            <w:tcW w:w="50" w:type="pct"/>
            <w:shd w:val="clear" w:color="auto" w:fill="auto"/>
            <w:vAlign w:val="bottom"/>
          </w:tcPr>
          <w:p w14:paraId="442F61FB" w14:textId="77777777" w:rsidR="00CC25B5" w:rsidRDefault="00CC25B5">
            <w:pPr>
              <w:rPr>
                <w:rFonts w:ascii="宋体"/>
              </w:rPr>
            </w:pPr>
          </w:p>
        </w:tc>
        <w:tc>
          <w:tcPr>
            <w:tcW w:w="4639" w:type="pct"/>
            <w:shd w:val="clear" w:color="auto" w:fill="auto"/>
            <w:vAlign w:val="bottom"/>
          </w:tcPr>
          <w:p w14:paraId="442F61FC" w14:textId="77777777" w:rsidR="00CC25B5" w:rsidRDefault="00CC25B5">
            <w:pPr>
              <w:rPr>
                <w:rFonts w:ascii="宋体"/>
              </w:rPr>
            </w:pPr>
          </w:p>
        </w:tc>
        <w:tc>
          <w:tcPr>
            <w:tcW w:w="5" w:type="pct"/>
            <w:shd w:val="clear" w:color="auto" w:fill="auto"/>
            <w:vAlign w:val="bottom"/>
          </w:tcPr>
          <w:p w14:paraId="442F61FD" w14:textId="77777777" w:rsidR="00CC25B5" w:rsidRDefault="00CC25B5">
            <w:pPr>
              <w:rPr>
                <w:rFonts w:ascii="宋体"/>
              </w:rPr>
            </w:pPr>
          </w:p>
        </w:tc>
      </w:tr>
      <w:tr w:rsidR="00CC25B5" w14:paraId="442F6201" w14:textId="77777777">
        <w:tc>
          <w:tcPr>
            <w:tcW w:w="0" w:type="auto"/>
            <w:gridSpan w:val="3"/>
            <w:shd w:val="clear" w:color="auto" w:fill="auto"/>
            <w:tcMar>
              <w:top w:w="40" w:type="dxa"/>
              <w:left w:w="20" w:type="dxa"/>
              <w:bottom w:w="40" w:type="dxa"/>
              <w:right w:w="20" w:type="dxa"/>
            </w:tcMar>
          </w:tcPr>
          <w:p w14:paraId="442F61FF" w14:textId="77777777" w:rsidR="00CC25B5" w:rsidRDefault="00900968">
            <w:pPr>
              <w:textAlignment w:val="top"/>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442F6200" w14:textId="77777777" w:rsidR="00CC25B5" w:rsidRDefault="00900968">
            <w:pPr>
              <w:textAlignment w:val="top"/>
            </w:pPr>
            <w:r>
              <w:rPr>
                <w:rFonts w:ascii="Times New Roman" w:eastAsia="宋体" w:hAnsi="Times New Roman"/>
                <w:b/>
                <w:bCs/>
                <w:color w:val="000000"/>
                <w:sz w:val="18"/>
                <w:szCs w:val="18"/>
              </w:rPr>
              <w:t xml:space="preserve">Quarterly Report Pursuant to </w:t>
            </w:r>
            <w:r>
              <w:rPr>
                <w:rFonts w:ascii="Times New Roman" w:eastAsia="宋体" w:hAnsi="Times New Roman"/>
                <w:b/>
                <w:bCs/>
                <w:color w:val="000000"/>
                <w:sz w:val="18"/>
                <w:szCs w:val="18"/>
              </w:rPr>
              <w:t>Section 13 or 15(d) of the Securities Exchange Act of 1934.</w:t>
            </w:r>
          </w:p>
        </w:tc>
      </w:tr>
    </w:tbl>
    <w:p w14:paraId="442F6202" w14:textId="77777777" w:rsidR="00CC25B5" w:rsidRDefault="00900968">
      <w:pPr>
        <w:jc w:val="center"/>
      </w:pPr>
      <w:r>
        <w:rPr>
          <w:rFonts w:ascii="Times New Roman" w:eastAsia="宋体" w:hAnsi="Times New Roman"/>
          <w:b/>
          <w:bCs/>
          <w:color w:val="000000"/>
          <w:sz w:val="18"/>
          <w:szCs w:val="18"/>
        </w:rPr>
        <w:t>For the quarterly period ended July 31, 2021.</w:t>
      </w:r>
    </w:p>
    <w:p w14:paraId="442F6203" w14:textId="77777777" w:rsidR="00CC25B5" w:rsidRDefault="00900968">
      <w:pPr>
        <w:spacing w:before="60"/>
        <w:jc w:val="center"/>
      </w:pPr>
      <w:r>
        <w:rPr>
          <w:rFonts w:ascii="Times New Roman" w:eastAsia="宋体" w:hAnsi="Times New Roman"/>
          <w:b/>
          <w:bCs/>
          <w:color w:val="000000"/>
          <w:sz w:val="18"/>
          <w:szCs w:val="18"/>
        </w:rPr>
        <w:t>or</w:t>
      </w:r>
    </w:p>
    <w:tbl>
      <w:tblPr>
        <w:tblW w:w="4795" w:type="pct"/>
        <w:tblInd w:w="-165" w:type="dxa"/>
        <w:tblCellMar>
          <w:top w:w="15" w:type="dxa"/>
          <w:left w:w="15" w:type="dxa"/>
          <w:bottom w:w="15" w:type="dxa"/>
          <w:right w:w="15" w:type="dxa"/>
        </w:tblCellMar>
        <w:tblLook w:val="04A0" w:firstRow="1" w:lastRow="0" w:firstColumn="1" w:lastColumn="0" w:noHBand="0" w:noVBand="1"/>
      </w:tblPr>
      <w:tblGrid>
        <w:gridCol w:w="66"/>
        <w:gridCol w:w="384"/>
        <w:gridCol w:w="36"/>
        <w:gridCol w:w="66"/>
        <w:gridCol w:w="7406"/>
        <w:gridCol w:w="36"/>
      </w:tblGrid>
      <w:tr w:rsidR="00CC25B5" w14:paraId="442F620A" w14:textId="77777777">
        <w:tc>
          <w:tcPr>
            <w:tcW w:w="50" w:type="pct"/>
            <w:shd w:val="clear" w:color="auto" w:fill="auto"/>
            <w:vAlign w:val="bottom"/>
          </w:tcPr>
          <w:p w14:paraId="442F6204" w14:textId="77777777" w:rsidR="00CC25B5" w:rsidRDefault="00CC25B5">
            <w:pPr>
              <w:rPr>
                <w:rFonts w:ascii="宋体"/>
              </w:rPr>
            </w:pPr>
          </w:p>
        </w:tc>
        <w:tc>
          <w:tcPr>
            <w:tcW w:w="249" w:type="pct"/>
            <w:shd w:val="clear" w:color="auto" w:fill="auto"/>
            <w:vAlign w:val="bottom"/>
          </w:tcPr>
          <w:p w14:paraId="442F6205" w14:textId="77777777" w:rsidR="00CC25B5" w:rsidRDefault="00CC25B5">
            <w:pPr>
              <w:rPr>
                <w:rFonts w:ascii="宋体"/>
              </w:rPr>
            </w:pPr>
          </w:p>
        </w:tc>
        <w:tc>
          <w:tcPr>
            <w:tcW w:w="5" w:type="pct"/>
            <w:shd w:val="clear" w:color="auto" w:fill="auto"/>
            <w:vAlign w:val="bottom"/>
          </w:tcPr>
          <w:p w14:paraId="442F6206" w14:textId="77777777" w:rsidR="00CC25B5" w:rsidRDefault="00CC25B5">
            <w:pPr>
              <w:rPr>
                <w:rFonts w:ascii="宋体"/>
              </w:rPr>
            </w:pPr>
          </w:p>
        </w:tc>
        <w:tc>
          <w:tcPr>
            <w:tcW w:w="50" w:type="pct"/>
            <w:shd w:val="clear" w:color="auto" w:fill="auto"/>
            <w:vAlign w:val="bottom"/>
          </w:tcPr>
          <w:p w14:paraId="442F6207" w14:textId="77777777" w:rsidR="00CC25B5" w:rsidRDefault="00CC25B5">
            <w:pPr>
              <w:rPr>
                <w:rFonts w:ascii="宋体"/>
              </w:rPr>
            </w:pPr>
          </w:p>
        </w:tc>
        <w:tc>
          <w:tcPr>
            <w:tcW w:w="4640" w:type="pct"/>
            <w:shd w:val="clear" w:color="auto" w:fill="auto"/>
            <w:vAlign w:val="bottom"/>
          </w:tcPr>
          <w:p w14:paraId="442F6208" w14:textId="77777777" w:rsidR="00CC25B5" w:rsidRDefault="00CC25B5">
            <w:pPr>
              <w:rPr>
                <w:rFonts w:ascii="宋体"/>
              </w:rPr>
            </w:pPr>
          </w:p>
        </w:tc>
        <w:tc>
          <w:tcPr>
            <w:tcW w:w="5" w:type="pct"/>
            <w:shd w:val="clear" w:color="auto" w:fill="auto"/>
            <w:vAlign w:val="bottom"/>
          </w:tcPr>
          <w:p w14:paraId="442F6209" w14:textId="77777777" w:rsidR="00CC25B5" w:rsidRDefault="00CC25B5">
            <w:pPr>
              <w:rPr>
                <w:rFonts w:ascii="宋体"/>
              </w:rPr>
            </w:pPr>
          </w:p>
        </w:tc>
      </w:tr>
      <w:tr w:rsidR="00CC25B5" w14:paraId="442F620D" w14:textId="77777777">
        <w:tc>
          <w:tcPr>
            <w:tcW w:w="0" w:type="auto"/>
            <w:gridSpan w:val="3"/>
            <w:shd w:val="clear" w:color="auto" w:fill="auto"/>
            <w:tcMar>
              <w:top w:w="40" w:type="dxa"/>
              <w:left w:w="20" w:type="dxa"/>
              <w:bottom w:w="40" w:type="dxa"/>
              <w:right w:w="20" w:type="dxa"/>
            </w:tcMar>
          </w:tcPr>
          <w:p w14:paraId="442F620B" w14:textId="77777777" w:rsidR="00CC25B5" w:rsidRDefault="00900968">
            <w:pP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442F620C" w14:textId="77777777" w:rsidR="00CC25B5" w:rsidRDefault="00900968">
            <w:pPr>
              <w:textAlignment w:val="top"/>
            </w:pPr>
            <w:r>
              <w:rPr>
                <w:rFonts w:ascii="Times New Roman" w:eastAsia="宋体" w:hAnsi="Times New Roman"/>
                <w:b/>
                <w:bCs/>
                <w:color w:val="000000"/>
                <w:sz w:val="18"/>
                <w:szCs w:val="18"/>
              </w:rPr>
              <w:t>Transition Report Pursuant to Section 13 or 15(d) of the Securities Exchange Act of 1934.</w:t>
            </w:r>
          </w:p>
        </w:tc>
      </w:tr>
    </w:tbl>
    <w:p w14:paraId="442F620E" w14:textId="77777777" w:rsidR="00CC25B5" w:rsidRDefault="00900968">
      <w:pPr>
        <w:jc w:val="center"/>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w:t>
      </w:r>
    </w:p>
    <w:p w14:paraId="442F620F" w14:textId="77777777" w:rsidR="00CC25B5" w:rsidRDefault="00900968">
      <w:pPr>
        <w:spacing w:before="60"/>
        <w:jc w:val="center"/>
      </w:pPr>
      <w:r>
        <w:rPr>
          <w:rFonts w:ascii="Times New Roman" w:eastAsia="宋体" w:hAnsi="Times New Roman"/>
          <w:b/>
          <w:bCs/>
          <w:color w:val="000000"/>
          <w:sz w:val="18"/>
          <w:szCs w:val="18"/>
        </w:rPr>
        <w:t xml:space="preserve">Commission File Number 001-06991 </w:t>
      </w:r>
    </w:p>
    <w:p w14:paraId="442F6210" w14:textId="77777777" w:rsidR="00CC25B5" w:rsidRDefault="0090096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Viewer5_files/wmt-20210731_g1.jpg"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F85C8" wp14:editId="442F85C9">
            <wp:extent cx="304800" cy="304800"/>
            <wp:effectExtent l="0" t="0" r="0" b="0"/>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2F6211" w14:textId="77777777" w:rsidR="00CC25B5" w:rsidRDefault="00900968">
      <w:pPr>
        <w:jc w:val="center"/>
      </w:pPr>
      <w:r>
        <w:rPr>
          <w:rFonts w:ascii="Times New Roman" w:eastAsia="宋体" w:hAnsi="Times New Roman"/>
          <w:b/>
          <w:bCs/>
          <w:color w:val="000000"/>
          <w:sz w:val="40"/>
          <w:szCs w:val="40"/>
        </w:rPr>
        <w:t xml:space="preserve">WALMART INC. </w:t>
      </w:r>
    </w:p>
    <w:p w14:paraId="442F6212" w14:textId="77777777" w:rsidR="00CC25B5" w:rsidRDefault="00900968">
      <w:pPr>
        <w:jc w:val="center"/>
      </w:pPr>
      <w:r>
        <w:rPr>
          <w:rFonts w:ascii="Times New Roman" w:eastAsia="宋体" w:hAnsi="Times New Roman"/>
          <w:b/>
          <w:bCs/>
          <w:color w:val="000000"/>
          <w:sz w:val="20"/>
          <w:szCs w:val="20"/>
        </w:rPr>
        <w:t>(Exact name of registrant as specified in its charter)</w:t>
      </w:r>
    </w:p>
    <w:tbl>
      <w:tblPr>
        <w:tblW w:w="4912" w:type="pct"/>
        <w:jc w:val="center"/>
        <w:tblCellMar>
          <w:top w:w="15" w:type="dxa"/>
          <w:left w:w="15" w:type="dxa"/>
          <w:bottom w:w="15" w:type="dxa"/>
          <w:right w:w="15" w:type="dxa"/>
        </w:tblCellMar>
        <w:tblLook w:val="04A0" w:firstRow="1" w:lastRow="0" w:firstColumn="1" w:lastColumn="0" w:noHBand="0" w:noVBand="1"/>
      </w:tblPr>
      <w:tblGrid>
        <w:gridCol w:w="61"/>
        <w:gridCol w:w="2034"/>
        <w:gridCol w:w="39"/>
        <w:gridCol w:w="61"/>
        <w:gridCol w:w="2035"/>
        <w:gridCol w:w="36"/>
        <w:gridCol w:w="36"/>
        <w:gridCol w:w="36"/>
        <w:gridCol w:w="36"/>
        <w:gridCol w:w="50"/>
        <w:gridCol w:w="3729"/>
        <w:gridCol w:w="36"/>
      </w:tblGrid>
      <w:tr w:rsidR="00CC25B5" w14:paraId="442F621F" w14:textId="77777777">
        <w:trPr>
          <w:jc w:val="center"/>
        </w:trPr>
        <w:tc>
          <w:tcPr>
            <w:tcW w:w="50" w:type="pct"/>
            <w:shd w:val="clear" w:color="auto" w:fill="auto"/>
            <w:vAlign w:val="bottom"/>
          </w:tcPr>
          <w:p w14:paraId="442F6213" w14:textId="77777777" w:rsidR="00CC25B5" w:rsidRDefault="00CC25B5">
            <w:pPr>
              <w:rPr>
                <w:rFonts w:ascii="宋体"/>
              </w:rPr>
            </w:pPr>
          </w:p>
        </w:tc>
        <w:tc>
          <w:tcPr>
            <w:tcW w:w="1254" w:type="pct"/>
            <w:shd w:val="clear" w:color="auto" w:fill="auto"/>
            <w:vAlign w:val="bottom"/>
          </w:tcPr>
          <w:p w14:paraId="442F6214" w14:textId="77777777" w:rsidR="00CC25B5" w:rsidRDefault="00CC25B5">
            <w:pPr>
              <w:rPr>
                <w:rFonts w:ascii="宋体"/>
              </w:rPr>
            </w:pPr>
          </w:p>
        </w:tc>
        <w:tc>
          <w:tcPr>
            <w:tcW w:w="5" w:type="pct"/>
            <w:shd w:val="clear" w:color="auto" w:fill="auto"/>
            <w:vAlign w:val="bottom"/>
          </w:tcPr>
          <w:p w14:paraId="442F6215" w14:textId="77777777" w:rsidR="00CC25B5" w:rsidRDefault="00CC25B5">
            <w:pPr>
              <w:rPr>
                <w:rFonts w:ascii="宋体"/>
              </w:rPr>
            </w:pPr>
          </w:p>
        </w:tc>
        <w:tc>
          <w:tcPr>
            <w:tcW w:w="50" w:type="pct"/>
            <w:shd w:val="clear" w:color="auto" w:fill="auto"/>
            <w:vAlign w:val="bottom"/>
          </w:tcPr>
          <w:p w14:paraId="442F6216" w14:textId="77777777" w:rsidR="00CC25B5" w:rsidRDefault="00CC25B5">
            <w:pPr>
              <w:rPr>
                <w:rFonts w:ascii="宋体"/>
              </w:rPr>
            </w:pPr>
          </w:p>
        </w:tc>
        <w:tc>
          <w:tcPr>
            <w:tcW w:w="1254" w:type="pct"/>
            <w:shd w:val="clear" w:color="auto" w:fill="auto"/>
            <w:vAlign w:val="bottom"/>
          </w:tcPr>
          <w:p w14:paraId="442F6217" w14:textId="77777777" w:rsidR="00CC25B5" w:rsidRDefault="00CC25B5">
            <w:pPr>
              <w:rPr>
                <w:rFonts w:ascii="宋体"/>
              </w:rPr>
            </w:pPr>
          </w:p>
        </w:tc>
        <w:tc>
          <w:tcPr>
            <w:tcW w:w="5" w:type="pct"/>
            <w:shd w:val="clear" w:color="auto" w:fill="auto"/>
            <w:vAlign w:val="bottom"/>
          </w:tcPr>
          <w:p w14:paraId="442F6218" w14:textId="77777777" w:rsidR="00CC25B5" w:rsidRDefault="00CC25B5">
            <w:pPr>
              <w:rPr>
                <w:rFonts w:ascii="宋体"/>
              </w:rPr>
            </w:pPr>
          </w:p>
        </w:tc>
        <w:tc>
          <w:tcPr>
            <w:tcW w:w="5" w:type="pct"/>
            <w:shd w:val="clear" w:color="auto" w:fill="auto"/>
            <w:vAlign w:val="bottom"/>
          </w:tcPr>
          <w:p w14:paraId="442F6219" w14:textId="77777777" w:rsidR="00CC25B5" w:rsidRDefault="00CC25B5">
            <w:pPr>
              <w:rPr>
                <w:rFonts w:ascii="宋体"/>
              </w:rPr>
            </w:pPr>
          </w:p>
        </w:tc>
        <w:tc>
          <w:tcPr>
            <w:tcW w:w="27" w:type="pct"/>
            <w:shd w:val="clear" w:color="auto" w:fill="auto"/>
            <w:vAlign w:val="bottom"/>
          </w:tcPr>
          <w:p w14:paraId="442F621A" w14:textId="77777777" w:rsidR="00CC25B5" w:rsidRDefault="00CC25B5">
            <w:pPr>
              <w:rPr>
                <w:rFonts w:ascii="宋体"/>
              </w:rPr>
            </w:pPr>
          </w:p>
        </w:tc>
        <w:tc>
          <w:tcPr>
            <w:tcW w:w="5" w:type="pct"/>
            <w:shd w:val="clear" w:color="auto" w:fill="auto"/>
            <w:vAlign w:val="bottom"/>
          </w:tcPr>
          <w:p w14:paraId="442F621B" w14:textId="77777777" w:rsidR="00CC25B5" w:rsidRDefault="00CC25B5">
            <w:pPr>
              <w:rPr>
                <w:rFonts w:ascii="宋体"/>
              </w:rPr>
            </w:pPr>
          </w:p>
        </w:tc>
        <w:tc>
          <w:tcPr>
            <w:tcW w:w="50" w:type="pct"/>
            <w:shd w:val="clear" w:color="auto" w:fill="auto"/>
            <w:vAlign w:val="bottom"/>
          </w:tcPr>
          <w:p w14:paraId="442F621C" w14:textId="77777777" w:rsidR="00CC25B5" w:rsidRDefault="00CC25B5">
            <w:pPr>
              <w:rPr>
                <w:rFonts w:ascii="宋体"/>
              </w:rPr>
            </w:pPr>
          </w:p>
        </w:tc>
        <w:tc>
          <w:tcPr>
            <w:tcW w:w="2288" w:type="pct"/>
            <w:shd w:val="clear" w:color="auto" w:fill="auto"/>
            <w:vAlign w:val="bottom"/>
          </w:tcPr>
          <w:p w14:paraId="442F621D" w14:textId="77777777" w:rsidR="00CC25B5" w:rsidRDefault="00CC25B5">
            <w:pPr>
              <w:rPr>
                <w:rFonts w:ascii="宋体"/>
              </w:rPr>
            </w:pPr>
          </w:p>
        </w:tc>
        <w:tc>
          <w:tcPr>
            <w:tcW w:w="5" w:type="pct"/>
            <w:shd w:val="clear" w:color="auto" w:fill="auto"/>
            <w:vAlign w:val="bottom"/>
          </w:tcPr>
          <w:p w14:paraId="442F621E" w14:textId="77777777" w:rsidR="00CC25B5" w:rsidRDefault="00CC25B5">
            <w:pPr>
              <w:rPr>
                <w:rFonts w:ascii="宋体"/>
              </w:rPr>
            </w:pPr>
          </w:p>
        </w:tc>
      </w:tr>
      <w:tr w:rsidR="00CC25B5" w14:paraId="442F6223" w14:textId="77777777">
        <w:trPr>
          <w:jc w:val="center"/>
        </w:trPr>
        <w:tc>
          <w:tcPr>
            <w:tcW w:w="0" w:type="auto"/>
            <w:gridSpan w:val="6"/>
            <w:shd w:val="clear" w:color="auto" w:fill="auto"/>
            <w:tcMar>
              <w:top w:w="40" w:type="dxa"/>
              <w:left w:w="20" w:type="dxa"/>
              <w:bottom w:w="40" w:type="dxa"/>
              <w:right w:w="20" w:type="dxa"/>
            </w:tcMar>
          </w:tcPr>
          <w:p w14:paraId="442F6220" w14:textId="77777777" w:rsidR="00CC25B5" w:rsidRDefault="00900968">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442F622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22" w14:textId="77777777" w:rsidR="00CC25B5" w:rsidRDefault="00900968">
            <w:pPr>
              <w:jc w:val="center"/>
              <w:textAlignment w:val="top"/>
            </w:pPr>
            <w:r>
              <w:rPr>
                <w:rFonts w:ascii="Times New Roman" w:eastAsia="宋体" w:hAnsi="Times New Roman"/>
                <w:b/>
                <w:bCs/>
                <w:color w:val="000000"/>
                <w:sz w:val="20"/>
                <w:szCs w:val="20"/>
              </w:rPr>
              <w:t>71-0415188</w:t>
            </w:r>
          </w:p>
        </w:tc>
      </w:tr>
      <w:tr w:rsidR="00CC25B5" w14:paraId="442F6227" w14:textId="77777777">
        <w:trPr>
          <w:jc w:val="center"/>
        </w:trPr>
        <w:tc>
          <w:tcPr>
            <w:tcW w:w="0" w:type="auto"/>
            <w:gridSpan w:val="6"/>
            <w:shd w:val="clear" w:color="auto" w:fill="auto"/>
            <w:tcMar>
              <w:top w:w="40" w:type="dxa"/>
              <w:left w:w="20" w:type="dxa"/>
              <w:bottom w:w="40" w:type="dxa"/>
              <w:right w:w="20" w:type="dxa"/>
            </w:tcMar>
            <w:vAlign w:val="bottom"/>
          </w:tcPr>
          <w:p w14:paraId="442F6224" w14:textId="77777777" w:rsidR="00CC25B5" w:rsidRDefault="00900968">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442F622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26" w14:textId="77777777" w:rsidR="00CC25B5" w:rsidRDefault="00900968">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CC25B5" w14:paraId="442F622B" w14:textId="77777777">
        <w:trPr>
          <w:trHeight w:val="100"/>
          <w:jc w:val="center"/>
        </w:trPr>
        <w:tc>
          <w:tcPr>
            <w:tcW w:w="0" w:type="auto"/>
            <w:gridSpan w:val="3"/>
            <w:shd w:val="clear" w:color="auto" w:fill="auto"/>
            <w:tcMar>
              <w:top w:w="0" w:type="dxa"/>
              <w:left w:w="20" w:type="dxa"/>
              <w:bottom w:w="0" w:type="dxa"/>
              <w:right w:w="20" w:type="dxa"/>
            </w:tcMar>
            <w:vAlign w:val="bottom"/>
          </w:tcPr>
          <w:p w14:paraId="442F622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29"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622A" w14:textId="77777777" w:rsidR="00CC25B5" w:rsidRDefault="00CC25B5">
            <w:pPr>
              <w:rPr>
                <w:rFonts w:ascii="宋体"/>
              </w:rPr>
            </w:pPr>
          </w:p>
        </w:tc>
      </w:tr>
      <w:tr w:rsidR="00CC25B5" w14:paraId="442F622F" w14:textId="77777777">
        <w:trPr>
          <w:trHeight w:val="280"/>
          <w:jc w:val="center"/>
        </w:trPr>
        <w:tc>
          <w:tcPr>
            <w:tcW w:w="0" w:type="auto"/>
            <w:gridSpan w:val="6"/>
            <w:shd w:val="clear" w:color="auto" w:fill="auto"/>
            <w:tcMar>
              <w:top w:w="40" w:type="dxa"/>
              <w:left w:w="20" w:type="dxa"/>
              <w:bottom w:w="40" w:type="dxa"/>
              <w:right w:w="20" w:type="dxa"/>
            </w:tcMar>
            <w:vAlign w:val="bottom"/>
          </w:tcPr>
          <w:p w14:paraId="442F622C" w14:textId="77777777" w:rsidR="00CC25B5" w:rsidRDefault="00900968">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vAlign w:val="bottom"/>
          </w:tcPr>
          <w:p w14:paraId="442F622D" w14:textId="77777777" w:rsidR="00CC25B5" w:rsidRDefault="00CC25B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42F622E" w14:textId="77777777" w:rsidR="00CC25B5" w:rsidRDefault="00900968">
            <w:pPr>
              <w:jc w:val="center"/>
              <w:textAlignment w:val="bottom"/>
            </w:pPr>
            <w:r>
              <w:rPr>
                <w:rFonts w:ascii="Times New Roman" w:eastAsia="宋体" w:hAnsi="Times New Roman"/>
                <w:b/>
                <w:bCs/>
                <w:color w:val="000000"/>
                <w:sz w:val="20"/>
                <w:szCs w:val="20"/>
              </w:rPr>
              <w:t>72716</w:t>
            </w:r>
          </w:p>
        </w:tc>
      </w:tr>
      <w:tr w:rsidR="00CC25B5" w14:paraId="442F6234" w14:textId="77777777">
        <w:trPr>
          <w:trHeight w:val="280"/>
          <w:jc w:val="center"/>
        </w:trPr>
        <w:tc>
          <w:tcPr>
            <w:tcW w:w="0" w:type="auto"/>
            <w:gridSpan w:val="3"/>
            <w:shd w:val="clear" w:color="auto" w:fill="auto"/>
            <w:tcMar>
              <w:top w:w="40" w:type="dxa"/>
              <w:left w:w="20" w:type="dxa"/>
              <w:bottom w:w="40" w:type="dxa"/>
              <w:right w:w="20" w:type="dxa"/>
            </w:tcMar>
            <w:vAlign w:val="bottom"/>
          </w:tcPr>
          <w:p w14:paraId="442F6230" w14:textId="77777777" w:rsidR="00CC25B5" w:rsidRDefault="00900968">
            <w:pPr>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442F6231" w14:textId="77777777" w:rsidR="00CC25B5" w:rsidRDefault="00900968">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vAlign w:val="bottom"/>
          </w:tcPr>
          <w:p w14:paraId="442F6232" w14:textId="77777777" w:rsidR="00CC25B5" w:rsidRDefault="00CC25B5">
            <w:pPr>
              <w:rPr>
                <w:rFonts w:ascii="宋体"/>
              </w:rPr>
            </w:pPr>
          </w:p>
        </w:tc>
        <w:tc>
          <w:tcPr>
            <w:tcW w:w="0" w:type="auto"/>
            <w:gridSpan w:val="3"/>
            <w:vMerge/>
            <w:shd w:val="clear" w:color="auto" w:fill="auto"/>
            <w:tcMar>
              <w:top w:w="40" w:type="dxa"/>
              <w:left w:w="20" w:type="dxa"/>
              <w:bottom w:w="40" w:type="dxa"/>
              <w:right w:w="20" w:type="dxa"/>
            </w:tcMar>
            <w:vAlign w:val="bottom"/>
          </w:tcPr>
          <w:p w14:paraId="442F6233" w14:textId="77777777" w:rsidR="00CC25B5" w:rsidRDefault="00CC25B5">
            <w:pPr>
              <w:jc w:val="center"/>
              <w:rPr>
                <w:rFonts w:ascii="宋体"/>
              </w:rPr>
            </w:pPr>
          </w:p>
        </w:tc>
      </w:tr>
      <w:tr w:rsidR="00CC25B5" w14:paraId="442F6238" w14:textId="77777777">
        <w:trPr>
          <w:jc w:val="center"/>
        </w:trPr>
        <w:tc>
          <w:tcPr>
            <w:tcW w:w="0" w:type="auto"/>
            <w:gridSpan w:val="6"/>
            <w:shd w:val="clear" w:color="auto" w:fill="auto"/>
            <w:tcMar>
              <w:top w:w="40" w:type="dxa"/>
              <w:left w:w="20" w:type="dxa"/>
              <w:bottom w:w="40" w:type="dxa"/>
              <w:right w:w="20" w:type="dxa"/>
            </w:tcMar>
          </w:tcPr>
          <w:p w14:paraId="442F6235" w14:textId="77777777" w:rsidR="00CC25B5" w:rsidRDefault="00900968">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442F6236"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37" w14:textId="77777777" w:rsidR="00CC25B5" w:rsidRDefault="00900968">
            <w:pPr>
              <w:jc w:val="center"/>
              <w:textAlignment w:val="top"/>
            </w:pPr>
            <w:r>
              <w:rPr>
                <w:rFonts w:ascii="Times New Roman" w:eastAsia="宋体" w:hAnsi="Times New Roman"/>
                <w:b/>
                <w:bCs/>
                <w:color w:val="000000"/>
                <w:sz w:val="16"/>
                <w:szCs w:val="16"/>
              </w:rPr>
              <w:t>(Zip Code)</w:t>
            </w:r>
          </w:p>
        </w:tc>
      </w:tr>
    </w:tbl>
    <w:p w14:paraId="442F6239" w14:textId="77777777" w:rsidR="00CC25B5" w:rsidRDefault="00CC25B5">
      <w:pPr>
        <w:jc w:val="center"/>
      </w:pPr>
    </w:p>
    <w:p w14:paraId="442F623A" w14:textId="77777777" w:rsidR="00CC25B5" w:rsidRDefault="00900968">
      <w:pPr>
        <w:jc w:val="center"/>
      </w:pPr>
      <w:r>
        <w:rPr>
          <w:rFonts w:ascii="Times New Roman" w:eastAsia="宋体" w:hAnsi="Times New Roman"/>
          <w:b/>
          <w:bCs/>
          <w:color w:val="000000"/>
          <w:sz w:val="16"/>
          <w:szCs w:val="16"/>
        </w:rPr>
        <w:t xml:space="preserve">Registrant's telephone number, including area code: (479) 273-4000 </w:t>
      </w:r>
    </w:p>
    <w:p w14:paraId="442F623B" w14:textId="77777777" w:rsidR="00CC25B5" w:rsidRDefault="00900968">
      <w:pPr>
        <w:jc w:val="center"/>
      </w:pPr>
      <w:r>
        <w:rPr>
          <w:rFonts w:ascii="Times New Roman" w:eastAsia="宋体" w:hAnsi="Times New Roman"/>
          <w:b/>
          <w:bCs/>
          <w:color w:val="000000"/>
          <w:sz w:val="16"/>
          <w:szCs w:val="16"/>
        </w:rPr>
        <w:t>Former name, former address and former fiscal year, if changed since last report: N/A</w:t>
      </w:r>
    </w:p>
    <w:p w14:paraId="442F623C" w14:textId="77777777" w:rsidR="00CC25B5" w:rsidRDefault="00900968">
      <w:pPr>
        <w:spacing w:before="120"/>
      </w:pPr>
      <w:r>
        <w:rPr>
          <w:rFonts w:ascii="Times New Roman" w:eastAsia="宋体" w:hAnsi="Times New Roman"/>
          <w:color w:val="000000"/>
          <w:sz w:val="18"/>
          <w:szCs w:val="18"/>
        </w:rPr>
        <w:t>Securities registered pursuant to Section 12(b) of the Act:</w:t>
      </w:r>
    </w:p>
    <w:tbl>
      <w:tblPr>
        <w:tblW w:w="5000" w:type="pct"/>
        <w:tblInd w:w="-165" w:type="dxa"/>
        <w:tblCellMar>
          <w:top w:w="15" w:type="dxa"/>
          <w:left w:w="15" w:type="dxa"/>
          <w:bottom w:w="15" w:type="dxa"/>
          <w:right w:w="15" w:type="dxa"/>
        </w:tblCellMar>
        <w:tblLook w:val="04A0" w:firstRow="1" w:lastRow="0" w:firstColumn="1" w:lastColumn="0" w:noHBand="0" w:noVBand="1"/>
      </w:tblPr>
      <w:tblGrid>
        <w:gridCol w:w="58"/>
        <w:gridCol w:w="2607"/>
        <w:gridCol w:w="37"/>
        <w:gridCol w:w="36"/>
        <w:gridCol w:w="43"/>
        <w:gridCol w:w="36"/>
        <w:gridCol w:w="59"/>
        <w:gridCol w:w="2607"/>
        <w:gridCol w:w="36"/>
        <w:gridCol w:w="36"/>
        <w:gridCol w:w="43"/>
        <w:gridCol w:w="36"/>
        <w:gridCol w:w="59"/>
        <w:gridCol w:w="2607"/>
        <w:gridCol w:w="36"/>
      </w:tblGrid>
      <w:tr w:rsidR="00CC25B5" w14:paraId="442F624C" w14:textId="77777777">
        <w:tc>
          <w:tcPr>
            <w:tcW w:w="50" w:type="pct"/>
            <w:shd w:val="clear" w:color="auto" w:fill="auto"/>
            <w:vAlign w:val="bottom"/>
          </w:tcPr>
          <w:p w14:paraId="442F623D" w14:textId="77777777" w:rsidR="00CC25B5" w:rsidRDefault="00CC25B5">
            <w:pPr>
              <w:rPr>
                <w:rFonts w:ascii="宋体"/>
              </w:rPr>
            </w:pPr>
          </w:p>
        </w:tc>
        <w:tc>
          <w:tcPr>
            <w:tcW w:w="1577" w:type="pct"/>
            <w:shd w:val="clear" w:color="auto" w:fill="auto"/>
            <w:vAlign w:val="bottom"/>
          </w:tcPr>
          <w:p w14:paraId="442F623E" w14:textId="77777777" w:rsidR="00CC25B5" w:rsidRDefault="00CC25B5">
            <w:pPr>
              <w:rPr>
                <w:rFonts w:ascii="宋体"/>
              </w:rPr>
            </w:pPr>
          </w:p>
        </w:tc>
        <w:tc>
          <w:tcPr>
            <w:tcW w:w="5" w:type="pct"/>
            <w:shd w:val="clear" w:color="auto" w:fill="auto"/>
            <w:vAlign w:val="bottom"/>
          </w:tcPr>
          <w:p w14:paraId="442F623F" w14:textId="77777777" w:rsidR="00CC25B5" w:rsidRDefault="00CC25B5">
            <w:pPr>
              <w:rPr>
                <w:rFonts w:ascii="宋体"/>
              </w:rPr>
            </w:pPr>
          </w:p>
        </w:tc>
        <w:tc>
          <w:tcPr>
            <w:tcW w:w="5" w:type="pct"/>
            <w:shd w:val="clear" w:color="auto" w:fill="auto"/>
            <w:vAlign w:val="bottom"/>
          </w:tcPr>
          <w:p w14:paraId="442F6240" w14:textId="77777777" w:rsidR="00CC25B5" w:rsidRDefault="00CC25B5">
            <w:pPr>
              <w:rPr>
                <w:rFonts w:ascii="宋体"/>
              </w:rPr>
            </w:pPr>
          </w:p>
        </w:tc>
        <w:tc>
          <w:tcPr>
            <w:tcW w:w="40" w:type="pct"/>
            <w:shd w:val="clear" w:color="auto" w:fill="auto"/>
            <w:vAlign w:val="bottom"/>
          </w:tcPr>
          <w:p w14:paraId="442F6241" w14:textId="77777777" w:rsidR="00CC25B5" w:rsidRDefault="00CC25B5">
            <w:pPr>
              <w:rPr>
                <w:rFonts w:ascii="宋体"/>
              </w:rPr>
            </w:pPr>
          </w:p>
        </w:tc>
        <w:tc>
          <w:tcPr>
            <w:tcW w:w="5" w:type="pct"/>
            <w:shd w:val="clear" w:color="auto" w:fill="auto"/>
            <w:vAlign w:val="bottom"/>
          </w:tcPr>
          <w:p w14:paraId="442F6242" w14:textId="77777777" w:rsidR="00CC25B5" w:rsidRDefault="00CC25B5">
            <w:pPr>
              <w:rPr>
                <w:rFonts w:ascii="宋体"/>
              </w:rPr>
            </w:pPr>
          </w:p>
        </w:tc>
        <w:tc>
          <w:tcPr>
            <w:tcW w:w="50" w:type="pct"/>
            <w:shd w:val="clear" w:color="auto" w:fill="auto"/>
            <w:vAlign w:val="bottom"/>
          </w:tcPr>
          <w:p w14:paraId="442F6243" w14:textId="77777777" w:rsidR="00CC25B5" w:rsidRDefault="00CC25B5">
            <w:pPr>
              <w:rPr>
                <w:rFonts w:ascii="宋体"/>
              </w:rPr>
            </w:pPr>
          </w:p>
        </w:tc>
        <w:tc>
          <w:tcPr>
            <w:tcW w:w="1577" w:type="pct"/>
            <w:shd w:val="clear" w:color="auto" w:fill="auto"/>
            <w:vAlign w:val="bottom"/>
          </w:tcPr>
          <w:p w14:paraId="442F6244" w14:textId="77777777" w:rsidR="00CC25B5" w:rsidRDefault="00CC25B5">
            <w:pPr>
              <w:rPr>
                <w:rFonts w:ascii="宋体"/>
              </w:rPr>
            </w:pPr>
          </w:p>
        </w:tc>
        <w:tc>
          <w:tcPr>
            <w:tcW w:w="5" w:type="pct"/>
            <w:shd w:val="clear" w:color="auto" w:fill="auto"/>
            <w:vAlign w:val="bottom"/>
          </w:tcPr>
          <w:p w14:paraId="442F6245" w14:textId="77777777" w:rsidR="00CC25B5" w:rsidRDefault="00CC25B5">
            <w:pPr>
              <w:rPr>
                <w:rFonts w:ascii="宋体"/>
              </w:rPr>
            </w:pPr>
          </w:p>
        </w:tc>
        <w:tc>
          <w:tcPr>
            <w:tcW w:w="5" w:type="pct"/>
            <w:shd w:val="clear" w:color="auto" w:fill="auto"/>
            <w:vAlign w:val="bottom"/>
          </w:tcPr>
          <w:p w14:paraId="442F6246" w14:textId="77777777" w:rsidR="00CC25B5" w:rsidRDefault="00CC25B5">
            <w:pPr>
              <w:rPr>
                <w:rFonts w:ascii="宋体"/>
              </w:rPr>
            </w:pPr>
          </w:p>
        </w:tc>
        <w:tc>
          <w:tcPr>
            <w:tcW w:w="40" w:type="pct"/>
            <w:shd w:val="clear" w:color="auto" w:fill="auto"/>
            <w:vAlign w:val="bottom"/>
          </w:tcPr>
          <w:p w14:paraId="442F6247" w14:textId="77777777" w:rsidR="00CC25B5" w:rsidRDefault="00CC25B5">
            <w:pPr>
              <w:rPr>
                <w:rFonts w:ascii="宋体"/>
              </w:rPr>
            </w:pPr>
          </w:p>
        </w:tc>
        <w:tc>
          <w:tcPr>
            <w:tcW w:w="5" w:type="pct"/>
            <w:shd w:val="clear" w:color="auto" w:fill="auto"/>
            <w:vAlign w:val="bottom"/>
          </w:tcPr>
          <w:p w14:paraId="442F6248" w14:textId="77777777" w:rsidR="00CC25B5" w:rsidRDefault="00CC25B5">
            <w:pPr>
              <w:rPr>
                <w:rFonts w:ascii="宋体"/>
              </w:rPr>
            </w:pPr>
          </w:p>
        </w:tc>
        <w:tc>
          <w:tcPr>
            <w:tcW w:w="50" w:type="pct"/>
            <w:shd w:val="clear" w:color="auto" w:fill="auto"/>
            <w:vAlign w:val="bottom"/>
          </w:tcPr>
          <w:p w14:paraId="442F6249" w14:textId="77777777" w:rsidR="00CC25B5" w:rsidRDefault="00CC25B5">
            <w:pPr>
              <w:rPr>
                <w:rFonts w:ascii="宋体"/>
              </w:rPr>
            </w:pPr>
          </w:p>
        </w:tc>
        <w:tc>
          <w:tcPr>
            <w:tcW w:w="1577" w:type="pct"/>
            <w:shd w:val="clear" w:color="auto" w:fill="auto"/>
            <w:vAlign w:val="bottom"/>
          </w:tcPr>
          <w:p w14:paraId="442F624A" w14:textId="77777777" w:rsidR="00CC25B5" w:rsidRDefault="00CC25B5">
            <w:pPr>
              <w:rPr>
                <w:rFonts w:ascii="宋体"/>
              </w:rPr>
            </w:pPr>
          </w:p>
        </w:tc>
        <w:tc>
          <w:tcPr>
            <w:tcW w:w="5" w:type="pct"/>
            <w:shd w:val="clear" w:color="auto" w:fill="auto"/>
            <w:vAlign w:val="bottom"/>
          </w:tcPr>
          <w:p w14:paraId="442F624B" w14:textId="77777777" w:rsidR="00CC25B5" w:rsidRDefault="00CC25B5">
            <w:pPr>
              <w:rPr>
                <w:rFonts w:ascii="宋体"/>
              </w:rPr>
            </w:pPr>
          </w:p>
        </w:tc>
      </w:tr>
      <w:tr w:rsidR="00CC25B5" w14:paraId="442F6252" w14:textId="77777777">
        <w:tc>
          <w:tcPr>
            <w:tcW w:w="0" w:type="auto"/>
            <w:gridSpan w:val="3"/>
            <w:shd w:val="clear" w:color="auto" w:fill="auto"/>
            <w:tcMar>
              <w:top w:w="40" w:type="dxa"/>
              <w:left w:w="20" w:type="dxa"/>
              <w:bottom w:w="40" w:type="dxa"/>
              <w:right w:w="20" w:type="dxa"/>
            </w:tcMar>
          </w:tcPr>
          <w:p w14:paraId="442F624D" w14:textId="77777777" w:rsidR="00CC25B5" w:rsidRDefault="00900968">
            <w:pPr>
              <w:jc w:val="center"/>
              <w:textAlignment w:val="top"/>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vAlign w:val="bottom"/>
          </w:tcPr>
          <w:p w14:paraId="442F624E"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4F" w14:textId="77777777" w:rsidR="00CC25B5" w:rsidRDefault="00900968">
            <w:pPr>
              <w:jc w:val="center"/>
              <w:textAlignment w:val="top"/>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vAlign w:val="bottom"/>
          </w:tcPr>
          <w:p w14:paraId="442F6250"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51" w14:textId="77777777" w:rsidR="00CC25B5" w:rsidRDefault="00900968">
            <w:pPr>
              <w:jc w:val="center"/>
              <w:textAlignment w:val="top"/>
            </w:pPr>
            <w:r>
              <w:rPr>
                <w:rFonts w:ascii="Times New Roman" w:eastAsia="宋体" w:hAnsi="Times New Roman"/>
                <w:color w:val="000000"/>
                <w:sz w:val="16"/>
                <w:szCs w:val="16"/>
              </w:rPr>
              <w:t>Name of each exchange on which registered</w:t>
            </w:r>
          </w:p>
        </w:tc>
      </w:tr>
      <w:tr w:rsidR="00CC25B5" w14:paraId="442F6258" w14:textId="77777777">
        <w:tc>
          <w:tcPr>
            <w:tcW w:w="0" w:type="auto"/>
            <w:gridSpan w:val="3"/>
            <w:tcBorders>
              <w:top w:val="single" w:sz="8" w:space="0" w:color="000000"/>
            </w:tcBorders>
            <w:shd w:val="clear" w:color="auto" w:fill="auto"/>
            <w:tcMar>
              <w:top w:w="40" w:type="dxa"/>
              <w:left w:w="20" w:type="dxa"/>
              <w:bottom w:w="40" w:type="dxa"/>
              <w:right w:w="20" w:type="dxa"/>
            </w:tcMar>
          </w:tcPr>
          <w:p w14:paraId="442F6253" w14:textId="77777777" w:rsidR="00CC25B5" w:rsidRDefault="00900968">
            <w:pPr>
              <w:jc w:val="center"/>
              <w:textAlignment w:val="top"/>
            </w:pPr>
            <w:r>
              <w:rPr>
                <w:rFonts w:ascii="Times New Roman" w:eastAsia="宋体" w:hAnsi="Times New Roman"/>
                <w:color w:val="000000"/>
                <w:sz w:val="16"/>
                <w:szCs w:val="16"/>
              </w:rPr>
              <w:t>Common Stock, par value $0.10 per share</w:t>
            </w:r>
          </w:p>
        </w:tc>
        <w:tc>
          <w:tcPr>
            <w:tcW w:w="0" w:type="auto"/>
            <w:gridSpan w:val="3"/>
            <w:shd w:val="clear" w:color="auto" w:fill="auto"/>
            <w:tcMar>
              <w:top w:w="0" w:type="dxa"/>
              <w:left w:w="20" w:type="dxa"/>
              <w:bottom w:w="0" w:type="dxa"/>
              <w:right w:w="20" w:type="dxa"/>
            </w:tcMar>
            <w:vAlign w:val="bottom"/>
          </w:tcPr>
          <w:p w14:paraId="442F6254"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42F6255" w14:textId="77777777" w:rsidR="00CC25B5" w:rsidRDefault="00900968">
            <w:pPr>
              <w:jc w:val="center"/>
              <w:textAlignment w:val="top"/>
            </w:pPr>
            <w:r>
              <w:rPr>
                <w:rFonts w:ascii="Times New Roman" w:eastAsia="宋体" w:hAnsi="Times New Roman"/>
                <w:color w:val="000000"/>
                <w:sz w:val="16"/>
                <w:szCs w:val="16"/>
              </w:rPr>
              <w:t>WMT</w:t>
            </w:r>
          </w:p>
        </w:tc>
        <w:tc>
          <w:tcPr>
            <w:tcW w:w="0" w:type="auto"/>
            <w:gridSpan w:val="3"/>
            <w:shd w:val="clear" w:color="auto" w:fill="auto"/>
            <w:tcMar>
              <w:top w:w="0" w:type="dxa"/>
              <w:left w:w="20" w:type="dxa"/>
              <w:bottom w:w="0" w:type="dxa"/>
              <w:right w:w="20" w:type="dxa"/>
            </w:tcMar>
            <w:vAlign w:val="bottom"/>
          </w:tcPr>
          <w:p w14:paraId="442F6256"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42F6257" w14:textId="77777777" w:rsidR="00CC25B5" w:rsidRDefault="00900968">
            <w:pPr>
              <w:jc w:val="center"/>
              <w:textAlignment w:val="top"/>
            </w:pPr>
            <w:r>
              <w:rPr>
                <w:rFonts w:ascii="Times New Roman" w:eastAsia="宋体" w:hAnsi="Times New Roman"/>
                <w:color w:val="000000"/>
                <w:sz w:val="16"/>
                <w:szCs w:val="16"/>
              </w:rPr>
              <w:t>New York Stock Exchange</w:t>
            </w:r>
          </w:p>
        </w:tc>
      </w:tr>
      <w:tr w:rsidR="00CC25B5" w14:paraId="442F625E" w14:textId="77777777">
        <w:tc>
          <w:tcPr>
            <w:tcW w:w="0" w:type="auto"/>
            <w:gridSpan w:val="3"/>
            <w:shd w:val="clear" w:color="auto" w:fill="auto"/>
            <w:tcMar>
              <w:top w:w="40" w:type="dxa"/>
              <w:left w:w="20" w:type="dxa"/>
              <w:bottom w:w="40" w:type="dxa"/>
              <w:right w:w="20" w:type="dxa"/>
            </w:tcMar>
          </w:tcPr>
          <w:p w14:paraId="442F6259" w14:textId="77777777" w:rsidR="00CC25B5" w:rsidRDefault="00900968">
            <w:pPr>
              <w:jc w:val="center"/>
              <w:textAlignment w:val="top"/>
            </w:pPr>
            <w:r>
              <w:rPr>
                <w:rFonts w:ascii="Times New Roman" w:eastAsia="宋体" w:hAnsi="Times New Roman"/>
                <w:color w:val="000000"/>
                <w:sz w:val="16"/>
                <w:szCs w:val="16"/>
              </w:rPr>
              <w:t>1.900% Notes Due 2022</w:t>
            </w:r>
          </w:p>
        </w:tc>
        <w:tc>
          <w:tcPr>
            <w:tcW w:w="0" w:type="auto"/>
            <w:gridSpan w:val="3"/>
            <w:shd w:val="clear" w:color="auto" w:fill="auto"/>
            <w:tcMar>
              <w:top w:w="0" w:type="dxa"/>
              <w:left w:w="20" w:type="dxa"/>
              <w:bottom w:w="0" w:type="dxa"/>
              <w:right w:w="20" w:type="dxa"/>
            </w:tcMar>
            <w:vAlign w:val="bottom"/>
          </w:tcPr>
          <w:p w14:paraId="442F625A"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5B" w14:textId="77777777" w:rsidR="00CC25B5" w:rsidRDefault="00900968">
            <w:pPr>
              <w:jc w:val="center"/>
              <w:textAlignment w:val="top"/>
            </w:pPr>
            <w:r>
              <w:rPr>
                <w:rFonts w:ascii="Times New Roman" w:eastAsia="宋体" w:hAnsi="Times New Roman"/>
                <w:color w:val="000000"/>
                <w:sz w:val="16"/>
                <w:szCs w:val="16"/>
              </w:rPr>
              <w:t>WMT22</w:t>
            </w:r>
          </w:p>
        </w:tc>
        <w:tc>
          <w:tcPr>
            <w:tcW w:w="0" w:type="auto"/>
            <w:gridSpan w:val="3"/>
            <w:shd w:val="clear" w:color="auto" w:fill="auto"/>
            <w:tcMar>
              <w:top w:w="0" w:type="dxa"/>
              <w:left w:w="20" w:type="dxa"/>
              <w:bottom w:w="0" w:type="dxa"/>
              <w:right w:w="20" w:type="dxa"/>
            </w:tcMar>
            <w:vAlign w:val="bottom"/>
          </w:tcPr>
          <w:p w14:paraId="442F625C"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5D" w14:textId="77777777" w:rsidR="00CC25B5" w:rsidRDefault="00900968">
            <w:pPr>
              <w:jc w:val="center"/>
              <w:textAlignment w:val="top"/>
            </w:pPr>
            <w:r>
              <w:rPr>
                <w:rFonts w:ascii="Times New Roman" w:eastAsia="宋体" w:hAnsi="Times New Roman"/>
                <w:color w:val="000000"/>
                <w:sz w:val="16"/>
                <w:szCs w:val="16"/>
              </w:rPr>
              <w:t>New York Stock Exchange</w:t>
            </w:r>
          </w:p>
        </w:tc>
      </w:tr>
      <w:tr w:rsidR="00CC25B5" w14:paraId="442F6264" w14:textId="77777777">
        <w:tc>
          <w:tcPr>
            <w:tcW w:w="0" w:type="auto"/>
            <w:gridSpan w:val="3"/>
            <w:shd w:val="clear" w:color="auto" w:fill="auto"/>
            <w:tcMar>
              <w:top w:w="40" w:type="dxa"/>
              <w:left w:w="20" w:type="dxa"/>
              <w:bottom w:w="40" w:type="dxa"/>
              <w:right w:w="20" w:type="dxa"/>
            </w:tcMar>
          </w:tcPr>
          <w:p w14:paraId="442F625F" w14:textId="77777777" w:rsidR="00CC25B5" w:rsidRDefault="00900968">
            <w:pPr>
              <w:jc w:val="center"/>
              <w:textAlignment w:val="top"/>
            </w:pPr>
            <w:r>
              <w:rPr>
                <w:rFonts w:ascii="Times New Roman" w:eastAsia="宋体" w:hAnsi="Times New Roman"/>
                <w:color w:val="000000"/>
                <w:sz w:val="16"/>
                <w:szCs w:val="16"/>
              </w:rPr>
              <w:t>2.550% Notes Due 2026</w:t>
            </w:r>
          </w:p>
        </w:tc>
        <w:tc>
          <w:tcPr>
            <w:tcW w:w="0" w:type="auto"/>
            <w:gridSpan w:val="3"/>
            <w:shd w:val="clear" w:color="auto" w:fill="auto"/>
            <w:tcMar>
              <w:top w:w="0" w:type="dxa"/>
              <w:left w:w="20" w:type="dxa"/>
              <w:bottom w:w="0" w:type="dxa"/>
              <w:right w:w="20" w:type="dxa"/>
            </w:tcMar>
            <w:vAlign w:val="bottom"/>
          </w:tcPr>
          <w:p w14:paraId="442F6260"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61" w14:textId="77777777" w:rsidR="00CC25B5" w:rsidRDefault="00900968">
            <w:pPr>
              <w:jc w:val="center"/>
              <w:textAlignment w:val="top"/>
            </w:pPr>
            <w:r>
              <w:rPr>
                <w:rFonts w:ascii="Times New Roman" w:eastAsia="宋体" w:hAnsi="Times New Roman"/>
                <w:color w:val="000000"/>
                <w:sz w:val="16"/>
                <w:szCs w:val="16"/>
              </w:rPr>
              <w:t>WMT26</w:t>
            </w:r>
          </w:p>
        </w:tc>
        <w:tc>
          <w:tcPr>
            <w:tcW w:w="0" w:type="auto"/>
            <w:gridSpan w:val="3"/>
            <w:shd w:val="clear" w:color="auto" w:fill="auto"/>
            <w:tcMar>
              <w:top w:w="0" w:type="dxa"/>
              <w:left w:w="20" w:type="dxa"/>
              <w:bottom w:w="0" w:type="dxa"/>
              <w:right w:w="20" w:type="dxa"/>
            </w:tcMar>
            <w:vAlign w:val="bottom"/>
          </w:tcPr>
          <w:p w14:paraId="442F626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6263" w14:textId="77777777" w:rsidR="00CC25B5" w:rsidRDefault="00900968">
            <w:pPr>
              <w:jc w:val="center"/>
              <w:textAlignment w:val="top"/>
            </w:pPr>
            <w:r>
              <w:rPr>
                <w:rFonts w:ascii="Times New Roman" w:eastAsia="宋体" w:hAnsi="Times New Roman"/>
                <w:color w:val="000000"/>
                <w:sz w:val="16"/>
                <w:szCs w:val="16"/>
              </w:rPr>
              <w:t>New York Stock Exchange</w:t>
            </w:r>
          </w:p>
        </w:tc>
      </w:tr>
    </w:tbl>
    <w:p w14:paraId="442F6265" w14:textId="77777777" w:rsidR="00CC25B5" w:rsidRDefault="00900968">
      <w:pPr>
        <w:spacing w:before="20"/>
      </w:pPr>
      <w:r>
        <w:rPr>
          <w:rFonts w:ascii="Times New Roman" w:eastAsia="宋体" w:hAnsi="Times New Roman"/>
          <w:color w:val="000000"/>
          <w:sz w:val="18"/>
          <w:szCs w:val="18"/>
        </w:rPr>
        <w:t>Indicate by check mark whether the registrant (1) has filed all reports required to be filed by Section 13 or 15(d) of the Securities Exchange Act of 1934 during the preceding 12 months (or such shorter periods that the registrant was required to file such</w:t>
      </w:r>
      <w:r>
        <w:rPr>
          <w:rFonts w:ascii="Times New Roman" w:eastAsia="宋体" w:hAnsi="Times New Roman"/>
          <w:color w:val="000000"/>
          <w:sz w:val="18"/>
          <w:szCs w:val="18"/>
        </w:rPr>
        <w:t xml:space="preserve"> reports), and (2) has been subject to such filing requirements for the past 90 days.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442F6266" w14:textId="77777777" w:rsidR="00CC25B5" w:rsidRDefault="00900968">
      <w:pPr>
        <w:spacing w:before="120"/>
      </w:pPr>
      <w:r>
        <w:rPr>
          <w:rFonts w:ascii="Times New Roman" w:eastAsia="宋体" w:hAnsi="Times New Roman"/>
          <w:color w:val="000000"/>
          <w:sz w:val="18"/>
          <w:szCs w:val="18"/>
        </w:rPr>
        <w:t>Indicate by check mark whether the registrant has submitted electronically every Interactive Data File required to be submitted pursuant to Rule 405 of</w:t>
      </w:r>
      <w:r>
        <w:rPr>
          <w:rFonts w:ascii="Times New Roman" w:eastAsia="宋体" w:hAnsi="Times New Roman"/>
          <w:color w:val="000000"/>
          <w:sz w:val="18"/>
          <w:szCs w:val="18"/>
        </w:rPr>
        <w:t xml:space="preserve">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p>
    <w:p w14:paraId="442F6267" w14:textId="77777777" w:rsidR="00CC25B5" w:rsidRDefault="00900968">
      <w:pPr>
        <w:spacing w:before="120"/>
      </w:pPr>
      <w:r>
        <w:rPr>
          <w:rFonts w:ascii="Times New Roman" w:eastAsia="宋体" w:hAnsi="Times New Roman"/>
          <w:color w:val="000000"/>
          <w:sz w:val="18"/>
          <w:szCs w:val="18"/>
        </w:rPr>
        <w:t xml:space="preserve">Indicate by check mark whether the registrant is a large accelerated filer, an </w:t>
      </w:r>
      <w:r>
        <w:rPr>
          <w:rFonts w:ascii="Times New Roman" w:eastAsia="宋体" w:hAnsi="Times New Roman"/>
          <w:color w:val="000000"/>
          <w:sz w:val="18"/>
          <w:szCs w:val="18"/>
        </w:rPr>
        <w:t>accelerated filer, a non-accelerated filer, smaller reporting company, or an emerging growth company. See definitions of "large accelerated filer," "accelerated filer," "smaller reporting company," and "emerging growth company" in Rule 12b-2 of the Exchang</w:t>
      </w:r>
      <w:r>
        <w:rPr>
          <w:rFonts w:ascii="Times New Roman" w:eastAsia="宋体" w:hAnsi="Times New Roman"/>
          <w:color w:val="000000"/>
          <w:sz w:val="18"/>
          <w:szCs w:val="18"/>
        </w:rPr>
        <w:t xml:space="preserve">e Act. </w:t>
      </w:r>
    </w:p>
    <w:tbl>
      <w:tblPr>
        <w:tblW w:w="3999" w:type="pct"/>
        <w:tblInd w:w="-885" w:type="dxa"/>
        <w:tblCellMar>
          <w:top w:w="15" w:type="dxa"/>
          <w:left w:w="15" w:type="dxa"/>
          <w:bottom w:w="15" w:type="dxa"/>
          <w:right w:w="15" w:type="dxa"/>
        </w:tblCellMar>
        <w:tblLook w:val="04A0" w:firstRow="1" w:lastRow="0" w:firstColumn="1" w:lastColumn="0" w:noHBand="0" w:noVBand="1"/>
      </w:tblPr>
      <w:tblGrid>
        <w:gridCol w:w="52"/>
        <w:gridCol w:w="2094"/>
        <w:gridCol w:w="37"/>
        <w:gridCol w:w="52"/>
        <w:gridCol w:w="154"/>
        <w:gridCol w:w="36"/>
        <w:gridCol w:w="52"/>
        <w:gridCol w:w="1241"/>
        <w:gridCol w:w="36"/>
        <w:gridCol w:w="52"/>
        <w:gridCol w:w="154"/>
        <w:gridCol w:w="36"/>
        <w:gridCol w:w="65"/>
        <w:gridCol w:w="2081"/>
        <w:gridCol w:w="36"/>
        <w:gridCol w:w="52"/>
        <w:gridCol w:w="155"/>
        <w:gridCol w:w="36"/>
        <w:gridCol w:w="59"/>
        <w:gridCol w:w="151"/>
        <w:gridCol w:w="36"/>
      </w:tblGrid>
      <w:tr w:rsidR="00CC25B5" w14:paraId="442F627D" w14:textId="77777777">
        <w:tc>
          <w:tcPr>
            <w:tcW w:w="50" w:type="pct"/>
            <w:shd w:val="clear" w:color="auto" w:fill="auto"/>
            <w:vAlign w:val="bottom"/>
          </w:tcPr>
          <w:p w14:paraId="442F6268" w14:textId="77777777" w:rsidR="00CC25B5" w:rsidRDefault="00CC25B5">
            <w:pPr>
              <w:rPr>
                <w:rFonts w:ascii="宋体"/>
              </w:rPr>
            </w:pPr>
          </w:p>
        </w:tc>
        <w:tc>
          <w:tcPr>
            <w:tcW w:w="1581" w:type="pct"/>
            <w:shd w:val="clear" w:color="auto" w:fill="auto"/>
            <w:vAlign w:val="bottom"/>
          </w:tcPr>
          <w:p w14:paraId="442F6269" w14:textId="77777777" w:rsidR="00CC25B5" w:rsidRDefault="00CC25B5">
            <w:pPr>
              <w:rPr>
                <w:rFonts w:ascii="宋体"/>
              </w:rPr>
            </w:pPr>
          </w:p>
        </w:tc>
        <w:tc>
          <w:tcPr>
            <w:tcW w:w="5" w:type="pct"/>
            <w:shd w:val="clear" w:color="auto" w:fill="auto"/>
            <w:vAlign w:val="bottom"/>
          </w:tcPr>
          <w:p w14:paraId="442F626A" w14:textId="77777777" w:rsidR="00CC25B5" w:rsidRDefault="00CC25B5">
            <w:pPr>
              <w:rPr>
                <w:rFonts w:ascii="宋体"/>
              </w:rPr>
            </w:pPr>
          </w:p>
        </w:tc>
        <w:tc>
          <w:tcPr>
            <w:tcW w:w="50" w:type="pct"/>
            <w:shd w:val="clear" w:color="auto" w:fill="auto"/>
            <w:vAlign w:val="bottom"/>
          </w:tcPr>
          <w:p w14:paraId="442F626B" w14:textId="77777777" w:rsidR="00CC25B5" w:rsidRDefault="00CC25B5">
            <w:pPr>
              <w:rPr>
                <w:rFonts w:ascii="宋体"/>
              </w:rPr>
            </w:pPr>
          </w:p>
        </w:tc>
        <w:tc>
          <w:tcPr>
            <w:tcW w:w="127" w:type="pct"/>
            <w:shd w:val="clear" w:color="auto" w:fill="auto"/>
            <w:vAlign w:val="bottom"/>
          </w:tcPr>
          <w:p w14:paraId="442F626C" w14:textId="77777777" w:rsidR="00CC25B5" w:rsidRDefault="00CC25B5">
            <w:pPr>
              <w:rPr>
                <w:rFonts w:ascii="宋体"/>
              </w:rPr>
            </w:pPr>
          </w:p>
        </w:tc>
        <w:tc>
          <w:tcPr>
            <w:tcW w:w="5" w:type="pct"/>
            <w:shd w:val="clear" w:color="auto" w:fill="auto"/>
            <w:vAlign w:val="bottom"/>
          </w:tcPr>
          <w:p w14:paraId="442F626D" w14:textId="77777777" w:rsidR="00CC25B5" w:rsidRDefault="00CC25B5">
            <w:pPr>
              <w:rPr>
                <w:rFonts w:ascii="宋体"/>
              </w:rPr>
            </w:pPr>
          </w:p>
        </w:tc>
        <w:tc>
          <w:tcPr>
            <w:tcW w:w="50" w:type="pct"/>
            <w:shd w:val="clear" w:color="auto" w:fill="auto"/>
            <w:vAlign w:val="bottom"/>
          </w:tcPr>
          <w:p w14:paraId="442F626E" w14:textId="77777777" w:rsidR="00CC25B5" w:rsidRDefault="00CC25B5">
            <w:pPr>
              <w:rPr>
                <w:rFonts w:ascii="宋体"/>
              </w:rPr>
            </w:pPr>
          </w:p>
        </w:tc>
        <w:tc>
          <w:tcPr>
            <w:tcW w:w="941" w:type="pct"/>
            <w:shd w:val="clear" w:color="auto" w:fill="auto"/>
            <w:vAlign w:val="bottom"/>
          </w:tcPr>
          <w:p w14:paraId="442F626F" w14:textId="77777777" w:rsidR="00CC25B5" w:rsidRDefault="00CC25B5">
            <w:pPr>
              <w:rPr>
                <w:rFonts w:ascii="宋体"/>
              </w:rPr>
            </w:pPr>
          </w:p>
        </w:tc>
        <w:tc>
          <w:tcPr>
            <w:tcW w:w="5" w:type="pct"/>
            <w:shd w:val="clear" w:color="auto" w:fill="auto"/>
            <w:vAlign w:val="bottom"/>
          </w:tcPr>
          <w:p w14:paraId="442F6270" w14:textId="77777777" w:rsidR="00CC25B5" w:rsidRDefault="00CC25B5">
            <w:pPr>
              <w:rPr>
                <w:rFonts w:ascii="宋体"/>
              </w:rPr>
            </w:pPr>
          </w:p>
        </w:tc>
        <w:tc>
          <w:tcPr>
            <w:tcW w:w="50" w:type="pct"/>
            <w:shd w:val="clear" w:color="auto" w:fill="auto"/>
            <w:vAlign w:val="bottom"/>
          </w:tcPr>
          <w:p w14:paraId="442F6271" w14:textId="77777777" w:rsidR="00CC25B5" w:rsidRDefault="00CC25B5">
            <w:pPr>
              <w:rPr>
                <w:rFonts w:ascii="宋体"/>
              </w:rPr>
            </w:pPr>
          </w:p>
        </w:tc>
        <w:tc>
          <w:tcPr>
            <w:tcW w:w="127" w:type="pct"/>
            <w:shd w:val="clear" w:color="auto" w:fill="auto"/>
            <w:vAlign w:val="bottom"/>
          </w:tcPr>
          <w:p w14:paraId="442F6272" w14:textId="77777777" w:rsidR="00CC25B5" w:rsidRDefault="00CC25B5">
            <w:pPr>
              <w:rPr>
                <w:rFonts w:ascii="宋体"/>
              </w:rPr>
            </w:pPr>
          </w:p>
        </w:tc>
        <w:tc>
          <w:tcPr>
            <w:tcW w:w="5" w:type="pct"/>
            <w:shd w:val="clear" w:color="auto" w:fill="auto"/>
            <w:vAlign w:val="bottom"/>
          </w:tcPr>
          <w:p w14:paraId="442F6273" w14:textId="77777777" w:rsidR="00CC25B5" w:rsidRDefault="00CC25B5">
            <w:pPr>
              <w:rPr>
                <w:rFonts w:ascii="宋体"/>
              </w:rPr>
            </w:pPr>
          </w:p>
        </w:tc>
        <w:tc>
          <w:tcPr>
            <w:tcW w:w="50" w:type="pct"/>
            <w:shd w:val="clear" w:color="auto" w:fill="auto"/>
            <w:vAlign w:val="bottom"/>
          </w:tcPr>
          <w:p w14:paraId="442F6274" w14:textId="77777777" w:rsidR="00CC25B5" w:rsidRDefault="00CC25B5">
            <w:pPr>
              <w:rPr>
                <w:rFonts w:ascii="宋体"/>
              </w:rPr>
            </w:pPr>
          </w:p>
        </w:tc>
        <w:tc>
          <w:tcPr>
            <w:tcW w:w="1581" w:type="pct"/>
            <w:shd w:val="clear" w:color="auto" w:fill="auto"/>
            <w:vAlign w:val="bottom"/>
          </w:tcPr>
          <w:p w14:paraId="442F6275" w14:textId="77777777" w:rsidR="00CC25B5" w:rsidRDefault="00CC25B5">
            <w:pPr>
              <w:rPr>
                <w:rFonts w:ascii="宋体"/>
              </w:rPr>
            </w:pPr>
          </w:p>
        </w:tc>
        <w:tc>
          <w:tcPr>
            <w:tcW w:w="5" w:type="pct"/>
            <w:shd w:val="clear" w:color="auto" w:fill="auto"/>
            <w:vAlign w:val="bottom"/>
          </w:tcPr>
          <w:p w14:paraId="442F6276" w14:textId="77777777" w:rsidR="00CC25B5" w:rsidRDefault="00CC25B5">
            <w:pPr>
              <w:rPr>
                <w:rFonts w:ascii="宋体"/>
              </w:rPr>
            </w:pPr>
          </w:p>
        </w:tc>
        <w:tc>
          <w:tcPr>
            <w:tcW w:w="50" w:type="pct"/>
            <w:shd w:val="clear" w:color="auto" w:fill="auto"/>
            <w:vAlign w:val="bottom"/>
          </w:tcPr>
          <w:p w14:paraId="442F6277" w14:textId="77777777" w:rsidR="00CC25B5" w:rsidRDefault="00CC25B5">
            <w:pPr>
              <w:rPr>
                <w:rFonts w:ascii="宋体"/>
              </w:rPr>
            </w:pPr>
          </w:p>
        </w:tc>
        <w:tc>
          <w:tcPr>
            <w:tcW w:w="127" w:type="pct"/>
            <w:shd w:val="clear" w:color="auto" w:fill="auto"/>
            <w:vAlign w:val="bottom"/>
          </w:tcPr>
          <w:p w14:paraId="442F6278" w14:textId="77777777" w:rsidR="00CC25B5" w:rsidRDefault="00CC25B5">
            <w:pPr>
              <w:rPr>
                <w:rFonts w:ascii="宋体"/>
              </w:rPr>
            </w:pPr>
          </w:p>
        </w:tc>
        <w:tc>
          <w:tcPr>
            <w:tcW w:w="5" w:type="pct"/>
            <w:shd w:val="clear" w:color="auto" w:fill="auto"/>
            <w:vAlign w:val="bottom"/>
          </w:tcPr>
          <w:p w14:paraId="442F6279" w14:textId="77777777" w:rsidR="00CC25B5" w:rsidRDefault="00CC25B5">
            <w:pPr>
              <w:rPr>
                <w:rFonts w:ascii="宋体"/>
              </w:rPr>
            </w:pPr>
          </w:p>
        </w:tc>
        <w:tc>
          <w:tcPr>
            <w:tcW w:w="50" w:type="pct"/>
            <w:shd w:val="clear" w:color="auto" w:fill="auto"/>
            <w:vAlign w:val="bottom"/>
          </w:tcPr>
          <w:p w14:paraId="442F627A" w14:textId="77777777" w:rsidR="00CC25B5" w:rsidRDefault="00CC25B5">
            <w:pPr>
              <w:rPr>
                <w:rFonts w:ascii="宋体"/>
              </w:rPr>
            </w:pPr>
          </w:p>
        </w:tc>
        <w:tc>
          <w:tcPr>
            <w:tcW w:w="128" w:type="pct"/>
            <w:shd w:val="clear" w:color="auto" w:fill="auto"/>
            <w:vAlign w:val="bottom"/>
          </w:tcPr>
          <w:p w14:paraId="442F627B" w14:textId="77777777" w:rsidR="00CC25B5" w:rsidRDefault="00CC25B5">
            <w:pPr>
              <w:rPr>
                <w:rFonts w:ascii="宋体"/>
              </w:rPr>
            </w:pPr>
          </w:p>
        </w:tc>
        <w:tc>
          <w:tcPr>
            <w:tcW w:w="5" w:type="pct"/>
            <w:shd w:val="clear" w:color="auto" w:fill="auto"/>
            <w:vAlign w:val="bottom"/>
          </w:tcPr>
          <w:p w14:paraId="442F627C" w14:textId="77777777" w:rsidR="00CC25B5" w:rsidRDefault="00CC25B5">
            <w:pPr>
              <w:rPr>
                <w:rFonts w:ascii="宋体"/>
              </w:rPr>
            </w:pPr>
          </w:p>
        </w:tc>
      </w:tr>
      <w:tr w:rsidR="00CC25B5" w14:paraId="442F6285" w14:textId="77777777">
        <w:tc>
          <w:tcPr>
            <w:tcW w:w="0" w:type="auto"/>
            <w:gridSpan w:val="3"/>
            <w:shd w:val="clear" w:color="auto" w:fill="auto"/>
            <w:tcMar>
              <w:top w:w="40" w:type="dxa"/>
              <w:left w:w="20" w:type="dxa"/>
              <w:bottom w:w="40" w:type="dxa"/>
              <w:right w:w="20" w:type="dxa"/>
            </w:tcMar>
            <w:vAlign w:val="bottom"/>
          </w:tcPr>
          <w:p w14:paraId="442F627E" w14:textId="77777777" w:rsidR="00CC25B5" w:rsidRDefault="00900968">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442F627F" w14:textId="77777777" w:rsidR="00CC25B5" w:rsidRDefault="00900968">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42F6280" w14:textId="77777777" w:rsidR="00CC25B5" w:rsidRDefault="00900968">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442F6281" w14:textId="77777777" w:rsidR="00CC25B5" w:rsidRDefault="00900968">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42F6282" w14:textId="77777777" w:rsidR="00CC25B5" w:rsidRDefault="00900968">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442F6283" w14:textId="77777777" w:rsidR="00CC25B5" w:rsidRDefault="00900968">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42F6284" w14:textId="77777777" w:rsidR="00CC25B5" w:rsidRDefault="00900968">
            <w:pPr>
              <w:textAlignment w:val="bottom"/>
            </w:pPr>
            <w:r>
              <w:rPr>
                <w:rFonts w:ascii="Arial Unicode MS" w:eastAsia="Arial Unicode MS" w:hAnsi="Arial Unicode MS" w:cs="Arial Unicode MS" w:hint="eastAsia"/>
                <w:color w:val="000000"/>
                <w:sz w:val="20"/>
                <w:szCs w:val="20"/>
              </w:rPr>
              <w:t>☐</w:t>
            </w:r>
          </w:p>
        </w:tc>
      </w:tr>
      <w:tr w:rsidR="00CC25B5" w14:paraId="442F628D" w14:textId="77777777">
        <w:tc>
          <w:tcPr>
            <w:tcW w:w="0" w:type="auto"/>
            <w:gridSpan w:val="3"/>
            <w:shd w:val="clear" w:color="auto" w:fill="auto"/>
            <w:tcMar>
              <w:top w:w="40" w:type="dxa"/>
              <w:left w:w="20" w:type="dxa"/>
              <w:bottom w:w="40" w:type="dxa"/>
              <w:right w:w="20" w:type="dxa"/>
            </w:tcMar>
            <w:vAlign w:val="bottom"/>
          </w:tcPr>
          <w:p w14:paraId="442F6286" w14:textId="77777777" w:rsidR="00CC25B5" w:rsidRDefault="00900968">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442F6287" w14:textId="77777777" w:rsidR="00CC25B5" w:rsidRDefault="00900968">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42F6288" w14:textId="77777777" w:rsidR="00CC25B5" w:rsidRDefault="00900968">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442F6289" w14:textId="77777777" w:rsidR="00CC25B5" w:rsidRDefault="00900968">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42F628A" w14:textId="77777777" w:rsidR="00CC25B5" w:rsidRDefault="00900968">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442F628B" w14:textId="77777777" w:rsidR="00CC25B5" w:rsidRDefault="00900968">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442F628C" w14:textId="77777777" w:rsidR="00CC25B5" w:rsidRDefault="00900968">
            <w:pPr>
              <w:textAlignment w:val="bottom"/>
            </w:pPr>
            <w:r>
              <w:rPr>
                <w:rFonts w:ascii="Arial Unicode MS" w:eastAsia="Arial Unicode MS" w:hAnsi="Arial Unicode MS" w:cs="Arial Unicode MS" w:hint="eastAsia"/>
                <w:color w:val="000000"/>
                <w:sz w:val="20"/>
                <w:szCs w:val="20"/>
              </w:rPr>
              <w:t>☐</w:t>
            </w:r>
          </w:p>
        </w:tc>
      </w:tr>
      <w:tr w:rsidR="00CC25B5" w14:paraId="442F6295" w14:textId="77777777">
        <w:tc>
          <w:tcPr>
            <w:tcW w:w="0" w:type="auto"/>
            <w:gridSpan w:val="3"/>
            <w:shd w:val="clear" w:color="auto" w:fill="auto"/>
            <w:tcMar>
              <w:top w:w="0" w:type="dxa"/>
              <w:left w:w="20" w:type="dxa"/>
              <w:bottom w:w="0" w:type="dxa"/>
              <w:right w:w="20" w:type="dxa"/>
            </w:tcMar>
            <w:vAlign w:val="bottom"/>
          </w:tcPr>
          <w:p w14:paraId="442F628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8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9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9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92" w14:textId="77777777" w:rsidR="00CC25B5" w:rsidRDefault="00900968">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442F629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94" w14:textId="77777777" w:rsidR="00CC25B5" w:rsidRDefault="00900968">
            <w:pPr>
              <w:textAlignment w:val="bottom"/>
            </w:pPr>
            <w:r>
              <w:rPr>
                <w:rFonts w:ascii="Arial Unicode MS" w:eastAsia="Arial Unicode MS" w:hAnsi="Arial Unicode MS" w:cs="Arial Unicode MS" w:hint="eastAsia"/>
                <w:color w:val="000000"/>
                <w:sz w:val="20"/>
                <w:szCs w:val="20"/>
              </w:rPr>
              <w:t>☐</w:t>
            </w:r>
          </w:p>
        </w:tc>
      </w:tr>
    </w:tbl>
    <w:p w14:paraId="442F6296" w14:textId="77777777" w:rsidR="00CC25B5" w:rsidRDefault="00900968">
      <w:pPr>
        <w:spacing w:before="20"/>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442F6297" w14:textId="77777777" w:rsidR="00CC25B5" w:rsidRDefault="00900968">
      <w:pPr>
        <w:spacing w:before="120"/>
      </w:pPr>
      <w:r>
        <w:rPr>
          <w:rFonts w:ascii="Times New Roman" w:eastAsia="宋体" w:hAnsi="Times New Roman"/>
          <w:color w:val="000000"/>
          <w:sz w:val="18"/>
          <w:szCs w:val="18"/>
        </w:rPr>
        <w:t>I</w:t>
      </w:r>
      <w:r>
        <w:rPr>
          <w:rFonts w:ascii="Times New Roman" w:eastAsia="宋体" w:hAnsi="Times New Roman"/>
          <w:color w:val="000000"/>
          <w:sz w:val="18"/>
          <w:szCs w:val="18"/>
        </w:rPr>
        <w:t>ndicate by a check mark whether the registrant is a shell company (as defined in Rule 12b-2 of the Exchange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18"/>
          <w:szCs w:val="18"/>
        </w:rPr>
        <w:t xml:space="preserve"> </w:t>
      </w:r>
    </w:p>
    <w:p w14:paraId="442F6298" w14:textId="77777777" w:rsidR="00CC25B5" w:rsidRDefault="00900968">
      <w:pPr>
        <w:spacing w:before="100"/>
      </w:pPr>
      <w:r>
        <w:rPr>
          <w:rFonts w:ascii="Times New Roman" w:eastAsia="宋体" w:hAnsi="Times New Roman"/>
          <w:color w:val="000000"/>
          <w:sz w:val="18"/>
          <w:szCs w:val="18"/>
        </w:rPr>
        <w:t>The registrant had 2,788,497,816</w:t>
      </w:r>
      <w:r>
        <w:rPr>
          <w:rFonts w:ascii="Times New Roman" w:eastAsia="宋体" w:hAnsi="Times New Roman"/>
          <w:color w:val="1F497D"/>
          <w:sz w:val="18"/>
          <w:szCs w:val="18"/>
        </w:rPr>
        <w:t xml:space="preserve"> </w:t>
      </w:r>
      <w:r>
        <w:rPr>
          <w:rFonts w:ascii="Times New Roman" w:eastAsia="宋体" w:hAnsi="Times New Roman"/>
          <w:color w:val="000000"/>
          <w:sz w:val="18"/>
          <w:szCs w:val="18"/>
        </w:rPr>
        <w:t>shares of common stock outstanding as of August 31, 2021.</w:t>
      </w:r>
    </w:p>
    <w:p w14:paraId="442F6299" w14:textId="77777777" w:rsidR="00CC25B5" w:rsidRDefault="00CC25B5"/>
    <w:p w14:paraId="442F629A" w14:textId="77777777" w:rsidR="00CC25B5" w:rsidRDefault="00900968">
      <w:r>
        <w:pict w14:anchorId="442F85CA">
          <v:rect id="_x0000_i1025" style="width:415.3pt;height:1.5pt" o:hralign="center" o:hrstd="t" o:hr="t" fillcolor="#a0a0a0" stroked="f"/>
        </w:pict>
      </w:r>
    </w:p>
    <w:p w14:paraId="442F629B" w14:textId="77777777" w:rsidR="00CC25B5" w:rsidRDefault="00900968">
      <w:hyperlink r:id="rId7" w:anchor="ie1710166881948a18c44f48eaa2dcf00_7" w:history="1">
        <w:r>
          <w:rPr>
            <w:rStyle w:val="a5"/>
            <w:rFonts w:ascii="Times New Roman" w:eastAsia="宋体" w:hAnsi="Times New Roman"/>
            <w:sz w:val="20"/>
            <w:szCs w:val="20"/>
          </w:rPr>
          <w:t>Table of Contents</w:t>
        </w:r>
      </w:hyperlink>
    </w:p>
    <w:p w14:paraId="442F629C" w14:textId="77777777" w:rsidR="00CC25B5" w:rsidRDefault="00900968">
      <w:pPr>
        <w:jc w:val="center"/>
      </w:pPr>
      <w:r>
        <w:rPr>
          <w:rFonts w:ascii="Times New Roman" w:eastAsia="宋体" w:hAnsi="Times New Roman"/>
          <w:b/>
          <w:bCs/>
          <w:color w:val="000000"/>
          <w:sz w:val="20"/>
          <w:szCs w:val="20"/>
        </w:rPr>
        <w:t>Walmart Inc.</w:t>
      </w:r>
    </w:p>
    <w:p w14:paraId="442F629D" w14:textId="77777777" w:rsidR="00CC25B5" w:rsidRDefault="00900968">
      <w:pPr>
        <w:jc w:val="center"/>
      </w:pPr>
      <w:r>
        <w:rPr>
          <w:rFonts w:ascii="Times New Roman" w:eastAsia="宋体" w:hAnsi="Times New Roman"/>
          <w:b/>
          <w:bCs/>
          <w:color w:val="000000"/>
          <w:sz w:val="20"/>
          <w:szCs w:val="20"/>
        </w:rPr>
        <w:t>Form 10-Q</w:t>
      </w:r>
    </w:p>
    <w:p w14:paraId="442F629E" w14:textId="77777777" w:rsidR="00CC25B5" w:rsidRDefault="00900968">
      <w:pPr>
        <w:jc w:val="center"/>
      </w:pPr>
      <w:r>
        <w:rPr>
          <w:rFonts w:ascii="Times New Roman" w:eastAsia="宋体" w:hAnsi="Times New Roman"/>
          <w:b/>
          <w:bCs/>
          <w:color w:val="000000"/>
          <w:sz w:val="20"/>
          <w:szCs w:val="20"/>
        </w:rPr>
        <w:t xml:space="preserve">For the Quarterly Period Ended July 31, 2021 </w:t>
      </w:r>
    </w:p>
    <w:p w14:paraId="442F629F" w14:textId="77777777" w:rsidR="00CC25B5" w:rsidRDefault="00CC25B5">
      <w:pPr>
        <w:jc w:val="center"/>
      </w:pPr>
    </w:p>
    <w:p w14:paraId="442F62A0" w14:textId="77777777" w:rsidR="00CC25B5" w:rsidRDefault="00CC25B5">
      <w:pPr>
        <w:jc w:val="center"/>
      </w:pPr>
    </w:p>
    <w:p w14:paraId="442F62A1" w14:textId="77777777" w:rsidR="00CC25B5" w:rsidRDefault="00CC25B5">
      <w:pPr>
        <w:jc w:val="center"/>
      </w:pPr>
    </w:p>
    <w:p w14:paraId="442F62A2" w14:textId="77777777" w:rsidR="00CC25B5" w:rsidRDefault="00900968">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78"/>
        <w:gridCol w:w="37"/>
        <w:gridCol w:w="69"/>
        <w:gridCol w:w="636"/>
        <w:gridCol w:w="37"/>
        <w:gridCol w:w="69"/>
        <w:gridCol w:w="6271"/>
        <w:gridCol w:w="38"/>
        <w:gridCol w:w="69"/>
        <w:gridCol w:w="528"/>
        <w:gridCol w:w="36"/>
      </w:tblGrid>
      <w:tr w:rsidR="00CC25B5" w14:paraId="442F62AF" w14:textId="77777777">
        <w:trPr>
          <w:jc w:val="center"/>
        </w:trPr>
        <w:tc>
          <w:tcPr>
            <w:tcW w:w="50" w:type="pct"/>
            <w:shd w:val="clear" w:color="auto" w:fill="auto"/>
            <w:vAlign w:val="bottom"/>
          </w:tcPr>
          <w:p w14:paraId="442F62A3" w14:textId="77777777" w:rsidR="00CC25B5" w:rsidRDefault="00CC25B5">
            <w:pPr>
              <w:rPr>
                <w:rFonts w:ascii="宋体"/>
              </w:rPr>
            </w:pPr>
          </w:p>
        </w:tc>
        <w:tc>
          <w:tcPr>
            <w:tcW w:w="295" w:type="pct"/>
            <w:shd w:val="clear" w:color="auto" w:fill="auto"/>
            <w:vAlign w:val="bottom"/>
          </w:tcPr>
          <w:p w14:paraId="442F62A4" w14:textId="77777777" w:rsidR="00CC25B5" w:rsidRDefault="00CC25B5">
            <w:pPr>
              <w:rPr>
                <w:rFonts w:ascii="宋体"/>
              </w:rPr>
            </w:pPr>
          </w:p>
        </w:tc>
        <w:tc>
          <w:tcPr>
            <w:tcW w:w="5" w:type="pct"/>
            <w:shd w:val="clear" w:color="auto" w:fill="auto"/>
            <w:vAlign w:val="bottom"/>
          </w:tcPr>
          <w:p w14:paraId="442F62A5" w14:textId="77777777" w:rsidR="00CC25B5" w:rsidRDefault="00CC25B5">
            <w:pPr>
              <w:rPr>
                <w:rFonts w:ascii="宋体"/>
              </w:rPr>
            </w:pPr>
          </w:p>
        </w:tc>
        <w:tc>
          <w:tcPr>
            <w:tcW w:w="50" w:type="pct"/>
            <w:shd w:val="clear" w:color="auto" w:fill="auto"/>
            <w:vAlign w:val="bottom"/>
          </w:tcPr>
          <w:p w14:paraId="442F62A6" w14:textId="77777777" w:rsidR="00CC25B5" w:rsidRDefault="00CC25B5">
            <w:pPr>
              <w:rPr>
                <w:rFonts w:ascii="宋体"/>
              </w:rPr>
            </w:pPr>
          </w:p>
        </w:tc>
        <w:tc>
          <w:tcPr>
            <w:tcW w:w="390" w:type="pct"/>
            <w:shd w:val="clear" w:color="auto" w:fill="auto"/>
            <w:vAlign w:val="bottom"/>
          </w:tcPr>
          <w:p w14:paraId="442F62A7" w14:textId="77777777" w:rsidR="00CC25B5" w:rsidRDefault="00CC25B5">
            <w:pPr>
              <w:rPr>
                <w:rFonts w:ascii="宋体"/>
              </w:rPr>
            </w:pPr>
          </w:p>
        </w:tc>
        <w:tc>
          <w:tcPr>
            <w:tcW w:w="5" w:type="pct"/>
            <w:shd w:val="clear" w:color="auto" w:fill="auto"/>
            <w:vAlign w:val="bottom"/>
          </w:tcPr>
          <w:p w14:paraId="442F62A8" w14:textId="77777777" w:rsidR="00CC25B5" w:rsidRDefault="00CC25B5">
            <w:pPr>
              <w:rPr>
                <w:rFonts w:ascii="宋体"/>
              </w:rPr>
            </w:pPr>
          </w:p>
        </w:tc>
        <w:tc>
          <w:tcPr>
            <w:tcW w:w="50" w:type="pct"/>
            <w:shd w:val="clear" w:color="auto" w:fill="auto"/>
            <w:vAlign w:val="bottom"/>
          </w:tcPr>
          <w:p w14:paraId="442F62A9" w14:textId="77777777" w:rsidR="00CC25B5" w:rsidRDefault="00CC25B5">
            <w:pPr>
              <w:rPr>
                <w:rFonts w:ascii="宋体"/>
              </w:rPr>
            </w:pPr>
          </w:p>
        </w:tc>
        <w:tc>
          <w:tcPr>
            <w:tcW w:w="3768" w:type="pct"/>
            <w:shd w:val="clear" w:color="auto" w:fill="auto"/>
            <w:vAlign w:val="bottom"/>
          </w:tcPr>
          <w:p w14:paraId="442F62AA" w14:textId="77777777" w:rsidR="00CC25B5" w:rsidRDefault="00CC25B5">
            <w:pPr>
              <w:rPr>
                <w:rFonts w:ascii="宋体"/>
              </w:rPr>
            </w:pPr>
          </w:p>
        </w:tc>
        <w:tc>
          <w:tcPr>
            <w:tcW w:w="5" w:type="pct"/>
            <w:shd w:val="clear" w:color="auto" w:fill="auto"/>
            <w:vAlign w:val="bottom"/>
          </w:tcPr>
          <w:p w14:paraId="442F62AB" w14:textId="77777777" w:rsidR="00CC25B5" w:rsidRDefault="00CC25B5">
            <w:pPr>
              <w:rPr>
                <w:rFonts w:ascii="宋体"/>
              </w:rPr>
            </w:pPr>
          </w:p>
        </w:tc>
        <w:tc>
          <w:tcPr>
            <w:tcW w:w="50" w:type="pct"/>
            <w:shd w:val="clear" w:color="auto" w:fill="auto"/>
            <w:vAlign w:val="bottom"/>
          </w:tcPr>
          <w:p w14:paraId="442F62AC" w14:textId="77777777" w:rsidR="00CC25B5" w:rsidRDefault="00CC25B5">
            <w:pPr>
              <w:rPr>
                <w:rFonts w:ascii="宋体"/>
              </w:rPr>
            </w:pPr>
          </w:p>
        </w:tc>
        <w:tc>
          <w:tcPr>
            <w:tcW w:w="325" w:type="pct"/>
            <w:shd w:val="clear" w:color="auto" w:fill="auto"/>
            <w:vAlign w:val="bottom"/>
          </w:tcPr>
          <w:p w14:paraId="442F62AD" w14:textId="77777777" w:rsidR="00CC25B5" w:rsidRDefault="00CC25B5">
            <w:pPr>
              <w:rPr>
                <w:rFonts w:ascii="宋体"/>
              </w:rPr>
            </w:pPr>
          </w:p>
        </w:tc>
        <w:tc>
          <w:tcPr>
            <w:tcW w:w="5" w:type="pct"/>
            <w:shd w:val="clear" w:color="auto" w:fill="auto"/>
            <w:vAlign w:val="bottom"/>
          </w:tcPr>
          <w:p w14:paraId="442F62AE" w14:textId="77777777" w:rsidR="00CC25B5" w:rsidRDefault="00CC25B5">
            <w:pPr>
              <w:rPr>
                <w:rFonts w:ascii="宋体"/>
              </w:rPr>
            </w:pPr>
          </w:p>
        </w:tc>
      </w:tr>
      <w:tr w:rsidR="00CC25B5" w14:paraId="442F62B4" w14:textId="77777777">
        <w:trPr>
          <w:jc w:val="center"/>
        </w:trPr>
        <w:tc>
          <w:tcPr>
            <w:tcW w:w="0" w:type="auto"/>
            <w:gridSpan w:val="3"/>
            <w:shd w:val="clear" w:color="auto" w:fill="auto"/>
            <w:tcMar>
              <w:top w:w="0" w:type="dxa"/>
              <w:left w:w="20" w:type="dxa"/>
              <w:bottom w:w="0" w:type="dxa"/>
              <w:right w:w="20" w:type="dxa"/>
            </w:tcMar>
            <w:vAlign w:val="bottom"/>
          </w:tcPr>
          <w:p w14:paraId="442F62B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B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B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B3" w14:textId="77777777" w:rsidR="00CC25B5" w:rsidRDefault="00900968">
            <w:pPr>
              <w:jc w:val="center"/>
              <w:textAlignment w:val="bottom"/>
            </w:pPr>
            <w:r>
              <w:rPr>
                <w:rFonts w:ascii="Times New Roman" w:eastAsia="宋体" w:hAnsi="Times New Roman"/>
                <w:b/>
                <w:bCs/>
                <w:color w:val="000000"/>
                <w:sz w:val="18"/>
                <w:szCs w:val="18"/>
              </w:rPr>
              <w:t>Page</w:t>
            </w:r>
          </w:p>
        </w:tc>
      </w:tr>
      <w:tr w:rsidR="00CC25B5" w14:paraId="442F62B7" w14:textId="77777777">
        <w:trPr>
          <w:jc w:val="center"/>
        </w:trPr>
        <w:tc>
          <w:tcPr>
            <w:tcW w:w="0" w:type="auto"/>
            <w:gridSpan w:val="9"/>
            <w:shd w:val="clear" w:color="auto" w:fill="auto"/>
            <w:tcMar>
              <w:top w:w="40" w:type="dxa"/>
              <w:left w:w="20" w:type="dxa"/>
              <w:bottom w:w="40" w:type="dxa"/>
              <w:right w:w="20" w:type="dxa"/>
            </w:tcMar>
            <w:vAlign w:val="bottom"/>
          </w:tcPr>
          <w:p w14:paraId="442F62B5" w14:textId="77777777" w:rsidR="00CC25B5" w:rsidRDefault="00900968">
            <w:pPr>
              <w:textAlignment w:val="bottom"/>
            </w:pPr>
            <w:hyperlink r:id="rId8" w:anchor="ie1710166881948a18c44f48eaa2dcf00_10" w:history="1">
              <w:r>
                <w:rPr>
                  <w:rStyle w:val="a5"/>
                  <w:rFonts w:ascii="Times New Roman" w:eastAsia="宋体" w:hAnsi="Times New Roman"/>
                  <w:sz w:val="18"/>
                  <w:szCs w:val="18"/>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2B6" w14:textId="77777777" w:rsidR="00CC25B5" w:rsidRDefault="00CC25B5">
            <w:pPr>
              <w:rPr>
                <w:rFonts w:ascii="宋体"/>
              </w:rPr>
            </w:pPr>
          </w:p>
        </w:tc>
      </w:tr>
      <w:tr w:rsidR="00CC25B5" w14:paraId="442F62BB" w14:textId="77777777">
        <w:trPr>
          <w:jc w:val="center"/>
        </w:trPr>
        <w:tc>
          <w:tcPr>
            <w:tcW w:w="0" w:type="auto"/>
            <w:gridSpan w:val="3"/>
            <w:shd w:val="clear" w:color="auto" w:fill="auto"/>
            <w:tcMar>
              <w:top w:w="0" w:type="dxa"/>
              <w:left w:w="20" w:type="dxa"/>
              <w:bottom w:w="0" w:type="dxa"/>
              <w:right w:w="20" w:type="dxa"/>
            </w:tcMar>
            <w:vAlign w:val="bottom"/>
          </w:tcPr>
          <w:p w14:paraId="442F62B8"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B9" w14:textId="77777777" w:rsidR="00CC25B5" w:rsidRDefault="00900968">
            <w:pPr>
              <w:textAlignment w:val="bottom"/>
            </w:pPr>
            <w:hyperlink r:id="rId9" w:anchor="ie1710166881948a18c44f48eaa2dcf00_13" w:history="1">
              <w:r>
                <w:rPr>
                  <w:rStyle w:val="a5"/>
                  <w:rFonts w:ascii="Times New Roman" w:eastAsia="宋体" w:hAnsi="Times New Roman"/>
                  <w:sz w:val="18"/>
                  <w:szCs w:val="18"/>
                </w:rPr>
                <w:t>Item 1. Financial Statements</w:t>
              </w:r>
            </w:hyperlink>
          </w:p>
        </w:tc>
        <w:tc>
          <w:tcPr>
            <w:tcW w:w="0" w:type="auto"/>
            <w:gridSpan w:val="3"/>
            <w:shd w:val="clear" w:color="auto" w:fill="auto"/>
            <w:tcMar>
              <w:top w:w="0" w:type="dxa"/>
              <w:left w:w="20" w:type="dxa"/>
              <w:bottom w:w="0" w:type="dxa"/>
              <w:right w:w="20" w:type="dxa"/>
            </w:tcMar>
            <w:vAlign w:val="bottom"/>
          </w:tcPr>
          <w:p w14:paraId="442F62BA" w14:textId="77777777" w:rsidR="00CC25B5" w:rsidRDefault="00CC25B5">
            <w:pPr>
              <w:rPr>
                <w:rFonts w:ascii="宋体"/>
              </w:rPr>
            </w:pPr>
          </w:p>
        </w:tc>
      </w:tr>
      <w:tr w:rsidR="00CC25B5" w14:paraId="442F62C0" w14:textId="77777777">
        <w:trPr>
          <w:jc w:val="center"/>
        </w:trPr>
        <w:tc>
          <w:tcPr>
            <w:tcW w:w="0" w:type="auto"/>
            <w:gridSpan w:val="3"/>
            <w:shd w:val="clear" w:color="auto" w:fill="auto"/>
            <w:tcMar>
              <w:top w:w="0" w:type="dxa"/>
              <w:left w:w="20" w:type="dxa"/>
              <w:bottom w:w="0" w:type="dxa"/>
              <w:right w:w="20" w:type="dxa"/>
            </w:tcMar>
            <w:vAlign w:val="bottom"/>
          </w:tcPr>
          <w:p w14:paraId="442F62B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B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BE" w14:textId="77777777" w:rsidR="00CC25B5" w:rsidRDefault="00900968">
            <w:pPr>
              <w:textAlignment w:val="bottom"/>
            </w:pPr>
            <w:hyperlink r:id="rId10" w:anchor="ie1710166881948a18c44f48eaa2dcf00_16" w:history="1">
              <w:r>
                <w:rPr>
                  <w:rStyle w:val="a5"/>
                  <w:rFonts w:ascii="Times New Roman" w:eastAsia="宋体" w:hAnsi="Times New Roman"/>
                  <w:sz w:val="18"/>
                  <w:szCs w:val="18"/>
                </w:rPr>
                <w:t>Condensed Consolidated Statements of Income</w:t>
              </w:r>
            </w:hyperlink>
          </w:p>
        </w:tc>
        <w:tc>
          <w:tcPr>
            <w:tcW w:w="0" w:type="auto"/>
            <w:gridSpan w:val="3"/>
            <w:shd w:val="clear" w:color="auto" w:fill="auto"/>
            <w:tcMar>
              <w:top w:w="40" w:type="dxa"/>
              <w:left w:w="20" w:type="dxa"/>
              <w:bottom w:w="40" w:type="dxa"/>
              <w:right w:w="20" w:type="dxa"/>
            </w:tcMar>
            <w:vAlign w:val="bottom"/>
          </w:tcPr>
          <w:p w14:paraId="442F62BF" w14:textId="77777777" w:rsidR="00CC25B5" w:rsidRDefault="00900968">
            <w:pPr>
              <w:jc w:val="center"/>
              <w:textAlignment w:val="bottom"/>
            </w:pPr>
            <w:hyperlink r:id="rId11" w:anchor="ie1710166881948a18c44f48eaa2dcf00_16" w:history="1">
              <w:r>
                <w:rPr>
                  <w:rStyle w:val="a5"/>
                  <w:rFonts w:ascii="Times New Roman" w:eastAsia="宋体" w:hAnsi="Times New Roman"/>
                  <w:sz w:val="18"/>
                  <w:szCs w:val="18"/>
                </w:rPr>
                <w:t>3</w:t>
              </w:r>
            </w:hyperlink>
          </w:p>
        </w:tc>
      </w:tr>
      <w:tr w:rsidR="00CC25B5" w14:paraId="442F62C5" w14:textId="77777777">
        <w:trPr>
          <w:jc w:val="center"/>
        </w:trPr>
        <w:tc>
          <w:tcPr>
            <w:tcW w:w="0" w:type="auto"/>
            <w:gridSpan w:val="3"/>
            <w:shd w:val="clear" w:color="auto" w:fill="auto"/>
            <w:tcMar>
              <w:top w:w="0" w:type="dxa"/>
              <w:left w:w="20" w:type="dxa"/>
              <w:bottom w:w="0" w:type="dxa"/>
              <w:right w:w="20" w:type="dxa"/>
            </w:tcMar>
            <w:vAlign w:val="bottom"/>
          </w:tcPr>
          <w:p w14:paraId="442F62C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C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C3" w14:textId="77777777" w:rsidR="00CC25B5" w:rsidRDefault="00900968">
            <w:pPr>
              <w:textAlignment w:val="bottom"/>
            </w:pPr>
            <w:hyperlink r:id="rId12" w:anchor="ie1710166881948a18c44f48eaa2dcf00_19" w:history="1">
              <w:r>
                <w:rPr>
                  <w:rStyle w:val="a5"/>
                  <w:rFonts w:ascii="Times New Roman" w:eastAsia="宋体" w:hAnsi="Times New Roman"/>
                  <w:sz w:val="18"/>
                  <w:szCs w:val="18"/>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442F62C4" w14:textId="77777777" w:rsidR="00CC25B5" w:rsidRDefault="00900968">
            <w:pPr>
              <w:jc w:val="center"/>
              <w:textAlignment w:val="bottom"/>
            </w:pPr>
            <w:hyperlink r:id="rId13" w:anchor="ie1710166881948a18c44f48eaa2dcf00_19" w:history="1">
              <w:r>
                <w:rPr>
                  <w:rStyle w:val="a5"/>
                  <w:rFonts w:ascii="Times New Roman" w:eastAsia="宋体" w:hAnsi="Times New Roman"/>
                  <w:sz w:val="18"/>
                  <w:szCs w:val="18"/>
                </w:rPr>
                <w:t>4</w:t>
              </w:r>
            </w:hyperlink>
          </w:p>
        </w:tc>
      </w:tr>
      <w:tr w:rsidR="00CC25B5" w14:paraId="442F62CA" w14:textId="77777777">
        <w:trPr>
          <w:jc w:val="center"/>
        </w:trPr>
        <w:tc>
          <w:tcPr>
            <w:tcW w:w="0" w:type="auto"/>
            <w:gridSpan w:val="3"/>
            <w:shd w:val="clear" w:color="auto" w:fill="auto"/>
            <w:tcMar>
              <w:top w:w="0" w:type="dxa"/>
              <w:left w:w="20" w:type="dxa"/>
              <w:bottom w:w="0" w:type="dxa"/>
              <w:right w:w="20" w:type="dxa"/>
            </w:tcMar>
            <w:vAlign w:val="bottom"/>
          </w:tcPr>
          <w:p w14:paraId="442F62C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C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C8" w14:textId="77777777" w:rsidR="00CC25B5" w:rsidRDefault="00900968">
            <w:pPr>
              <w:textAlignment w:val="bottom"/>
            </w:pPr>
            <w:hyperlink r:id="rId14" w:anchor="ie1710166881948a18c44f48eaa2dcf00_22" w:history="1">
              <w:r>
                <w:rPr>
                  <w:rStyle w:val="a5"/>
                  <w:rFonts w:ascii="Times New Roman" w:eastAsia="宋体" w:hAnsi="Times New Roman"/>
                  <w:sz w:val="18"/>
                  <w:szCs w:val="18"/>
                </w:rPr>
                <w:t>Condensed Consolidated Balance Sheets</w:t>
              </w:r>
            </w:hyperlink>
          </w:p>
        </w:tc>
        <w:tc>
          <w:tcPr>
            <w:tcW w:w="0" w:type="auto"/>
            <w:gridSpan w:val="3"/>
            <w:shd w:val="clear" w:color="auto" w:fill="auto"/>
            <w:tcMar>
              <w:top w:w="40" w:type="dxa"/>
              <w:left w:w="20" w:type="dxa"/>
              <w:bottom w:w="40" w:type="dxa"/>
              <w:right w:w="20" w:type="dxa"/>
            </w:tcMar>
            <w:vAlign w:val="bottom"/>
          </w:tcPr>
          <w:p w14:paraId="442F62C9" w14:textId="77777777" w:rsidR="00CC25B5" w:rsidRDefault="00900968">
            <w:pPr>
              <w:jc w:val="center"/>
              <w:textAlignment w:val="bottom"/>
            </w:pPr>
            <w:hyperlink r:id="rId15" w:anchor="ie1710166881948a18c44f48eaa2dcf00_22" w:history="1">
              <w:r>
                <w:rPr>
                  <w:rStyle w:val="a5"/>
                  <w:rFonts w:ascii="Times New Roman" w:eastAsia="宋体" w:hAnsi="Times New Roman"/>
                  <w:sz w:val="18"/>
                  <w:szCs w:val="18"/>
                </w:rPr>
                <w:t>5</w:t>
              </w:r>
            </w:hyperlink>
          </w:p>
        </w:tc>
      </w:tr>
      <w:tr w:rsidR="00CC25B5" w14:paraId="442F62CF" w14:textId="77777777">
        <w:trPr>
          <w:jc w:val="center"/>
        </w:trPr>
        <w:tc>
          <w:tcPr>
            <w:tcW w:w="0" w:type="auto"/>
            <w:gridSpan w:val="3"/>
            <w:shd w:val="clear" w:color="auto" w:fill="auto"/>
            <w:tcMar>
              <w:top w:w="0" w:type="dxa"/>
              <w:left w:w="20" w:type="dxa"/>
              <w:bottom w:w="0" w:type="dxa"/>
              <w:right w:w="20" w:type="dxa"/>
            </w:tcMar>
            <w:vAlign w:val="bottom"/>
          </w:tcPr>
          <w:p w14:paraId="442F62CB"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CC"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CD" w14:textId="77777777" w:rsidR="00CC25B5" w:rsidRDefault="00900968">
            <w:pPr>
              <w:textAlignment w:val="bottom"/>
            </w:pPr>
            <w:hyperlink r:id="rId16" w:anchor="ie1710166881948a18c44f48eaa2dcf00_25" w:history="1">
              <w:r>
                <w:rPr>
                  <w:rStyle w:val="a5"/>
                  <w:rFonts w:ascii="Times New Roman" w:eastAsia="宋体" w:hAnsi="Times New Roman"/>
                  <w:sz w:val="18"/>
                  <w:szCs w:val="18"/>
                </w:rPr>
                <w:t>Condensed Consolidated Statements of Shareholders' Equity</w:t>
              </w:r>
            </w:hyperlink>
          </w:p>
        </w:tc>
        <w:tc>
          <w:tcPr>
            <w:tcW w:w="0" w:type="auto"/>
            <w:gridSpan w:val="3"/>
            <w:shd w:val="clear" w:color="auto" w:fill="auto"/>
            <w:tcMar>
              <w:top w:w="40" w:type="dxa"/>
              <w:left w:w="20" w:type="dxa"/>
              <w:bottom w:w="40" w:type="dxa"/>
              <w:right w:w="20" w:type="dxa"/>
            </w:tcMar>
            <w:vAlign w:val="bottom"/>
          </w:tcPr>
          <w:p w14:paraId="442F62CE" w14:textId="77777777" w:rsidR="00CC25B5" w:rsidRDefault="00900968">
            <w:pPr>
              <w:jc w:val="center"/>
              <w:textAlignment w:val="bottom"/>
            </w:pPr>
            <w:hyperlink r:id="rId17" w:anchor="ie1710166881948a18c44f48eaa2dcf00_25" w:history="1">
              <w:r>
                <w:rPr>
                  <w:rStyle w:val="a5"/>
                  <w:rFonts w:ascii="Times New Roman" w:eastAsia="宋体" w:hAnsi="Times New Roman"/>
                  <w:sz w:val="18"/>
                  <w:szCs w:val="18"/>
                </w:rPr>
                <w:t>6</w:t>
              </w:r>
            </w:hyperlink>
          </w:p>
        </w:tc>
      </w:tr>
      <w:tr w:rsidR="00CC25B5" w14:paraId="442F62D4" w14:textId="77777777">
        <w:trPr>
          <w:jc w:val="center"/>
        </w:trPr>
        <w:tc>
          <w:tcPr>
            <w:tcW w:w="0" w:type="auto"/>
            <w:gridSpan w:val="3"/>
            <w:shd w:val="clear" w:color="auto" w:fill="auto"/>
            <w:tcMar>
              <w:top w:w="0" w:type="dxa"/>
              <w:left w:w="20" w:type="dxa"/>
              <w:bottom w:w="0" w:type="dxa"/>
              <w:right w:w="20" w:type="dxa"/>
            </w:tcMar>
            <w:vAlign w:val="bottom"/>
          </w:tcPr>
          <w:p w14:paraId="442F62D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D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D2" w14:textId="77777777" w:rsidR="00CC25B5" w:rsidRDefault="00900968">
            <w:pPr>
              <w:textAlignment w:val="bottom"/>
            </w:pPr>
            <w:hyperlink r:id="rId18" w:anchor="ie1710166881948a18c44f48eaa2dcf00_31" w:history="1">
              <w:r>
                <w:rPr>
                  <w:rStyle w:val="a5"/>
                  <w:rFonts w:ascii="Times New Roman" w:eastAsia="宋体" w:hAnsi="Times New Roman"/>
                  <w:sz w:val="18"/>
                  <w:szCs w:val="18"/>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442F62D3" w14:textId="77777777" w:rsidR="00CC25B5" w:rsidRDefault="00900968">
            <w:pPr>
              <w:jc w:val="center"/>
              <w:textAlignment w:val="bottom"/>
            </w:pPr>
            <w:hyperlink r:id="rId19" w:anchor="ie1710166881948a18c44f48eaa2dcf00_31" w:history="1">
              <w:r>
                <w:rPr>
                  <w:rStyle w:val="a5"/>
                  <w:rFonts w:ascii="Times New Roman" w:eastAsia="宋体" w:hAnsi="Times New Roman"/>
                  <w:sz w:val="18"/>
                  <w:szCs w:val="18"/>
                </w:rPr>
                <w:t>7</w:t>
              </w:r>
            </w:hyperlink>
          </w:p>
        </w:tc>
      </w:tr>
      <w:tr w:rsidR="00CC25B5" w14:paraId="442F62D9" w14:textId="77777777">
        <w:trPr>
          <w:jc w:val="center"/>
        </w:trPr>
        <w:tc>
          <w:tcPr>
            <w:tcW w:w="0" w:type="auto"/>
            <w:gridSpan w:val="3"/>
            <w:shd w:val="clear" w:color="auto" w:fill="auto"/>
            <w:tcMar>
              <w:top w:w="0" w:type="dxa"/>
              <w:left w:w="20" w:type="dxa"/>
              <w:bottom w:w="0" w:type="dxa"/>
              <w:right w:w="20" w:type="dxa"/>
            </w:tcMar>
            <w:vAlign w:val="bottom"/>
          </w:tcPr>
          <w:p w14:paraId="442F62D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D6"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2D7" w14:textId="77777777" w:rsidR="00CC25B5" w:rsidRDefault="00900968">
            <w:pPr>
              <w:textAlignment w:val="bottom"/>
            </w:pPr>
            <w:hyperlink r:id="rId20" w:anchor="ie1710166881948a18c44f48eaa2dcf00_34" w:history="1">
              <w:r>
                <w:rPr>
                  <w:rStyle w:val="a5"/>
                  <w:rFonts w:ascii="Times New Roman" w:eastAsia="宋体" w:hAnsi="Times New Roman"/>
                  <w:sz w:val="18"/>
                  <w:szCs w:val="18"/>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442F62D8" w14:textId="77777777" w:rsidR="00CC25B5" w:rsidRDefault="00900968">
            <w:pPr>
              <w:jc w:val="center"/>
              <w:textAlignment w:val="bottom"/>
            </w:pPr>
            <w:hyperlink r:id="rId21" w:anchor="ie1710166881948a18c44f48eaa2dcf00_34" w:history="1">
              <w:r>
                <w:rPr>
                  <w:rStyle w:val="a5"/>
                  <w:rFonts w:ascii="Times New Roman" w:eastAsia="宋体" w:hAnsi="Times New Roman"/>
                  <w:sz w:val="18"/>
                  <w:szCs w:val="18"/>
                </w:rPr>
                <w:t>8</w:t>
              </w:r>
            </w:hyperlink>
          </w:p>
        </w:tc>
      </w:tr>
      <w:tr w:rsidR="00CC25B5" w14:paraId="442F62DD" w14:textId="77777777">
        <w:trPr>
          <w:jc w:val="center"/>
        </w:trPr>
        <w:tc>
          <w:tcPr>
            <w:tcW w:w="0" w:type="auto"/>
            <w:gridSpan w:val="3"/>
            <w:shd w:val="clear" w:color="auto" w:fill="auto"/>
            <w:tcMar>
              <w:top w:w="0" w:type="dxa"/>
              <w:left w:w="20" w:type="dxa"/>
              <w:bottom w:w="0" w:type="dxa"/>
              <w:right w:w="20" w:type="dxa"/>
            </w:tcMar>
            <w:vAlign w:val="bottom"/>
          </w:tcPr>
          <w:p w14:paraId="442F62DA"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DB" w14:textId="77777777" w:rsidR="00CC25B5" w:rsidRDefault="00900968">
            <w:pPr>
              <w:textAlignment w:val="bottom"/>
            </w:pPr>
            <w:hyperlink r:id="rId22" w:anchor="ie1710166881948a18c44f48eaa2dcf00_64" w:history="1">
              <w:r>
                <w:rPr>
                  <w:rStyle w:val="a5"/>
                  <w:rFonts w:ascii="Times New Roman" w:eastAsia="宋体" w:hAnsi="Times New Roman"/>
                  <w:sz w:val="18"/>
                  <w:szCs w:val="18"/>
                </w:rPr>
                <w:t>Item 2. 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42F62DC" w14:textId="77777777" w:rsidR="00CC25B5" w:rsidRDefault="00900968">
            <w:pPr>
              <w:jc w:val="center"/>
              <w:textAlignment w:val="bottom"/>
            </w:pPr>
            <w:hyperlink r:id="rId23" w:anchor="ie1710166881948a18c44f48eaa2dcf00_64" w:history="1">
              <w:r>
                <w:rPr>
                  <w:rStyle w:val="a5"/>
                  <w:rFonts w:ascii="Times New Roman" w:eastAsia="宋体" w:hAnsi="Times New Roman"/>
                  <w:sz w:val="18"/>
                  <w:szCs w:val="18"/>
                </w:rPr>
                <w:t>15</w:t>
              </w:r>
            </w:hyperlink>
          </w:p>
        </w:tc>
      </w:tr>
      <w:tr w:rsidR="00CC25B5" w14:paraId="442F62E1" w14:textId="77777777">
        <w:trPr>
          <w:jc w:val="center"/>
        </w:trPr>
        <w:tc>
          <w:tcPr>
            <w:tcW w:w="0" w:type="auto"/>
            <w:gridSpan w:val="3"/>
            <w:shd w:val="clear" w:color="auto" w:fill="auto"/>
            <w:tcMar>
              <w:top w:w="0" w:type="dxa"/>
              <w:left w:w="20" w:type="dxa"/>
              <w:bottom w:w="0" w:type="dxa"/>
              <w:right w:w="20" w:type="dxa"/>
            </w:tcMar>
            <w:vAlign w:val="bottom"/>
          </w:tcPr>
          <w:p w14:paraId="442F62DE"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DF" w14:textId="77777777" w:rsidR="00CC25B5" w:rsidRDefault="00900968">
            <w:pPr>
              <w:textAlignment w:val="bottom"/>
            </w:pPr>
            <w:hyperlink r:id="rId24" w:anchor="ie1710166881948a18c44f48eaa2dcf00_106" w:history="1">
              <w:r>
                <w:rPr>
                  <w:rStyle w:val="a5"/>
                  <w:rFonts w:ascii="Times New Roman" w:eastAsia="宋体" w:hAnsi="Times New Roman"/>
                  <w:sz w:val="18"/>
                  <w:szCs w:val="18"/>
                </w:rPr>
                <w:t>Item 3. 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442F62E0" w14:textId="77777777" w:rsidR="00CC25B5" w:rsidRDefault="00900968">
            <w:pPr>
              <w:jc w:val="center"/>
              <w:textAlignment w:val="bottom"/>
            </w:pPr>
            <w:hyperlink r:id="rId25" w:anchor="ie1710166881948a18c44f48eaa2dcf00_106" w:history="1">
              <w:r>
                <w:rPr>
                  <w:rStyle w:val="a5"/>
                  <w:rFonts w:ascii="Times New Roman" w:eastAsia="宋体" w:hAnsi="Times New Roman"/>
                  <w:sz w:val="18"/>
                  <w:szCs w:val="18"/>
                </w:rPr>
                <w:t>25</w:t>
              </w:r>
            </w:hyperlink>
          </w:p>
        </w:tc>
      </w:tr>
      <w:tr w:rsidR="00CC25B5" w14:paraId="442F62E5" w14:textId="77777777">
        <w:trPr>
          <w:jc w:val="center"/>
        </w:trPr>
        <w:tc>
          <w:tcPr>
            <w:tcW w:w="0" w:type="auto"/>
            <w:gridSpan w:val="3"/>
            <w:shd w:val="clear" w:color="auto" w:fill="auto"/>
            <w:tcMar>
              <w:top w:w="0" w:type="dxa"/>
              <w:left w:w="20" w:type="dxa"/>
              <w:bottom w:w="0" w:type="dxa"/>
              <w:right w:w="20" w:type="dxa"/>
            </w:tcMar>
            <w:vAlign w:val="bottom"/>
          </w:tcPr>
          <w:p w14:paraId="442F62E2"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E3" w14:textId="77777777" w:rsidR="00CC25B5" w:rsidRDefault="00900968">
            <w:pPr>
              <w:textAlignment w:val="bottom"/>
            </w:pPr>
            <w:hyperlink r:id="rId26" w:anchor="ie1710166881948a18c44f48eaa2dcf00_109" w:history="1">
              <w:r>
                <w:rPr>
                  <w:rStyle w:val="a5"/>
                  <w:rFonts w:ascii="Times New Roman" w:eastAsia="宋体" w:hAnsi="Times New Roman"/>
                  <w:sz w:val="18"/>
                  <w:szCs w:val="18"/>
                </w:rPr>
                <w:t>Item 4. Controls and Procedures</w:t>
              </w:r>
            </w:hyperlink>
          </w:p>
        </w:tc>
        <w:tc>
          <w:tcPr>
            <w:tcW w:w="0" w:type="auto"/>
            <w:gridSpan w:val="3"/>
            <w:shd w:val="clear" w:color="auto" w:fill="auto"/>
            <w:tcMar>
              <w:top w:w="40" w:type="dxa"/>
              <w:left w:w="20" w:type="dxa"/>
              <w:bottom w:w="40" w:type="dxa"/>
              <w:right w:w="20" w:type="dxa"/>
            </w:tcMar>
            <w:vAlign w:val="bottom"/>
          </w:tcPr>
          <w:p w14:paraId="442F62E4" w14:textId="77777777" w:rsidR="00CC25B5" w:rsidRDefault="00900968">
            <w:pPr>
              <w:jc w:val="center"/>
              <w:textAlignment w:val="bottom"/>
            </w:pPr>
            <w:hyperlink r:id="rId27" w:anchor="ie1710166881948a18c44f48eaa2dcf00_109" w:history="1">
              <w:r>
                <w:rPr>
                  <w:rStyle w:val="a5"/>
                  <w:rFonts w:ascii="Times New Roman" w:eastAsia="宋体" w:hAnsi="Times New Roman"/>
                  <w:sz w:val="18"/>
                  <w:szCs w:val="18"/>
                </w:rPr>
                <w:t>26</w:t>
              </w:r>
            </w:hyperlink>
          </w:p>
        </w:tc>
      </w:tr>
      <w:tr w:rsidR="00CC25B5" w14:paraId="442F62EA" w14:textId="77777777">
        <w:trPr>
          <w:trHeight w:val="240"/>
          <w:jc w:val="center"/>
        </w:trPr>
        <w:tc>
          <w:tcPr>
            <w:tcW w:w="0" w:type="auto"/>
            <w:gridSpan w:val="3"/>
            <w:shd w:val="clear" w:color="auto" w:fill="auto"/>
            <w:tcMar>
              <w:top w:w="0" w:type="dxa"/>
              <w:left w:w="20" w:type="dxa"/>
              <w:bottom w:w="0" w:type="dxa"/>
              <w:right w:w="20" w:type="dxa"/>
            </w:tcMar>
            <w:vAlign w:val="bottom"/>
          </w:tcPr>
          <w:p w14:paraId="442F62E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E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E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2E9" w14:textId="77777777" w:rsidR="00CC25B5" w:rsidRDefault="00CC25B5">
            <w:pPr>
              <w:rPr>
                <w:rFonts w:ascii="宋体"/>
              </w:rPr>
            </w:pPr>
          </w:p>
        </w:tc>
      </w:tr>
      <w:tr w:rsidR="00CC25B5" w14:paraId="442F62ED" w14:textId="77777777">
        <w:trPr>
          <w:jc w:val="center"/>
        </w:trPr>
        <w:tc>
          <w:tcPr>
            <w:tcW w:w="0" w:type="auto"/>
            <w:gridSpan w:val="9"/>
            <w:shd w:val="clear" w:color="auto" w:fill="auto"/>
            <w:tcMar>
              <w:top w:w="40" w:type="dxa"/>
              <w:left w:w="20" w:type="dxa"/>
              <w:bottom w:w="40" w:type="dxa"/>
              <w:right w:w="20" w:type="dxa"/>
            </w:tcMar>
            <w:vAlign w:val="bottom"/>
          </w:tcPr>
          <w:p w14:paraId="442F62EB" w14:textId="77777777" w:rsidR="00CC25B5" w:rsidRDefault="00900968">
            <w:pPr>
              <w:textAlignment w:val="bottom"/>
            </w:pPr>
            <w:hyperlink r:id="rId28" w:anchor="ie1710166881948a18c44f48eaa2dcf00_112" w:history="1">
              <w:r>
                <w:rPr>
                  <w:rStyle w:val="a5"/>
                  <w:rFonts w:ascii="Times New Roman" w:eastAsia="宋体" w:hAnsi="Times New Roman"/>
                  <w:sz w:val="18"/>
                  <w:szCs w:val="18"/>
                </w:rPr>
                <w:t>Part II. Other Information</w:t>
              </w:r>
            </w:hyperlink>
          </w:p>
        </w:tc>
        <w:tc>
          <w:tcPr>
            <w:tcW w:w="0" w:type="auto"/>
            <w:gridSpan w:val="3"/>
            <w:shd w:val="clear" w:color="auto" w:fill="auto"/>
            <w:tcMar>
              <w:top w:w="0" w:type="dxa"/>
              <w:left w:w="20" w:type="dxa"/>
              <w:bottom w:w="0" w:type="dxa"/>
              <w:right w:w="20" w:type="dxa"/>
            </w:tcMar>
            <w:vAlign w:val="bottom"/>
          </w:tcPr>
          <w:p w14:paraId="442F62EC" w14:textId="77777777" w:rsidR="00CC25B5" w:rsidRDefault="00CC25B5">
            <w:pPr>
              <w:rPr>
                <w:rFonts w:ascii="宋体"/>
              </w:rPr>
            </w:pPr>
          </w:p>
        </w:tc>
      </w:tr>
      <w:tr w:rsidR="00CC25B5" w14:paraId="442F62F1" w14:textId="77777777">
        <w:trPr>
          <w:jc w:val="center"/>
        </w:trPr>
        <w:tc>
          <w:tcPr>
            <w:tcW w:w="0" w:type="auto"/>
            <w:gridSpan w:val="3"/>
            <w:shd w:val="clear" w:color="auto" w:fill="auto"/>
            <w:tcMar>
              <w:top w:w="0" w:type="dxa"/>
              <w:left w:w="20" w:type="dxa"/>
              <w:bottom w:w="0" w:type="dxa"/>
              <w:right w:w="20" w:type="dxa"/>
            </w:tcMar>
            <w:vAlign w:val="bottom"/>
          </w:tcPr>
          <w:p w14:paraId="442F62EE"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EF" w14:textId="77777777" w:rsidR="00CC25B5" w:rsidRDefault="00900968">
            <w:pPr>
              <w:textAlignment w:val="bottom"/>
            </w:pPr>
            <w:hyperlink r:id="rId29" w:anchor="ie1710166881948a18c44f48eaa2dcf00_115" w:history="1">
              <w:r>
                <w:rPr>
                  <w:rStyle w:val="a5"/>
                  <w:rFonts w:ascii="Times New Roman" w:eastAsia="宋体" w:hAnsi="Times New Roman"/>
                  <w:sz w:val="18"/>
                  <w:szCs w:val="18"/>
                </w:rPr>
                <w:t>Item 1. Legal Proceedings</w:t>
              </w:r>
            </w:hyperlink>
          </w:p>
        </w:tc>
        <w:tc>
          <w:tcPr>
            <w:tcW w:w="0" w:type="auto"/>
            <w:gridSpan w:val="3"/>
            <w:shd w:val="clear" w:color="auto" w:fill="auto"/>
            <w:tcMar>
              <w:top w:w="40" w:type="dxa"/>
              <w:left w:w="20" w:type="dxa"/>
              <w:bottom w:w="40" w:type="dxa"/>
              <w:right w:w="20" w:type="dxa"/>
            </w:tcMar>
            <w:vAlign w:val="bottom"/>
          </w:tcPr>
          <w:p w14:paraId="442F62F0" w14:textId="77777777" w:rsidR="00CC25B5" w:rsidRDefault="00900968">
            <w:pPr>
              <w:jc w:val="center"/>
              <w:textAlignment w:val="bottom"/>
            </w:pPr>
            <w:hyperlink r:id="rId30" w:anchor="ie1710166881948a18c44f48eaa2dcf00_115" w:history="1">
              <w:r>
                <w:rPr>
                  <w:rStyle w:val="a5"/>
                  <w:rFonts w:ascii="Times New Roman" w:eastAsia="宋体" w:hAnsi="Times New Roman"/>
                  <w:sz w:val="18"/>
                  <w:szCs w:val="18"/>
                </w:rPr>
                <w:t>27</w:t>
              </w:r>
            </w:hyperlink>
          </w:p>
        </w:tc>
      </w:tr>
      <w:tr w:rsidR="00CC25B5" w14:paraId="442F62F5" w14:textId="77777777">
        <w:trPr>
          <w:jc w:val="center"/>
        </w:trPr>
        <w:tc>
          <w:tcPr>
            <w:tcW w:w="0" w:type="auto"/>
            <w:gridSpan w:val="3"/>
            <w:shd w:val="clear" w:color="auto" w:fill="auto"/>
            <w:tcMar>
              <w:top w:w="0" w:type="dxa"/>
              <w:left w:w="20" w:type="dxa"/>
              <w:bottom w:w="0" w:type="dxa"/>
              <w:right w:w="20" w:type="dxa"/>
            </w:tcMar>
            <w:vAlign w:val="bottom"/>
          </w:tcPr>
          <w:p w14:paraId="442F62F2"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F3" w14:textId="77777777" w:rsidR="00CC25B5" w:rsidRDefault="00900968">
            <w:pPr>
              <w:textAlignment w:val="bottom"/>
            </w:pPr>
            <w:hyperlink r:id="rId31" w:anchor="ie1710166881948a18c44f48eaa2dcf00_118" w:history="1">
              <w:r>
                <w:rPr>
                  <w:rStyle w:val="a5"/>
                  <w:rFonts w:ascii="Times New Roman" w:eastAsia="宋体" w:hAnsi="Times New Roman"/>
                  <w:sz w:val="18"/>
                  <w:szCs w:val="18"/>
                </w:rPr>
                <w:t>Item 1A. Risk Factors</w:t>
              </w:r>
            </w:hyperlink>
          </w:p>
        </w:tc>
        <w:tc>
          <w:tcPr>
            <w:tcW w:w="0" w:type="auto"/>
            <w:gridSpan w:val="3"/>
            <w:shd w:val="clear" w:color="auto" w:fill="auto"/>
            <w:tcMar>
              <w:top w:w="40" w:type="dxa"/>
              <w:left w:w="20" w:type="dxa"/>
              <w:bottom w:w="40" w:type="dxa"/>
              <w:right w:w="20" w:type="dxa"/>
            </w:tcMar>
            <w:vAlign w:val="bottom"/>
          </w:tcPr>
          <w:p w14:paraId="442F62F4" w14:textId="77777777" w:rsidR="00CC25B5" w:rsidRDefault="00900968">
            <w:pPr>
              <w:jc w:val="center"/>
              <w:textAlignment w:val="bottom"/>
            </w:pPr>
            <w:hyperlink r:id="rId32" w:anchor="ie1710166881948a18c44f48eaa2dcf00_118" w:history="1">
              <w:r>
                <w:rPr>
                  <w:rStyle w:val="a5"/>
                  <w:rFonts w:ascii="Times New Roman" w:eastAsia="宋体" w:hAnsi="Times New Roman"/>
                  <w:sz w:val="18"/>
                  <w:szCs w:val="18"/>
                </w:rPr>
                <w:t>29</w:t>
              </w:r>
            </w:hyperlink>
          </w:p>
        </w:tc>
      </w:tr>
      <w:tr w:rsidR="00CC25B5" w14:paraId="442F62F9" w14:textId="77777777">
        <w:trPr>
          <w:jc w:val="center"/>
        </w:trPr>
        <w:tc>
          <w:tcPr>
            <w:tcW w:w="0" w:type="auto"/>
            <w:gridSpan w:val="3"/>
            <w:shd w:val="clear" w:color="auto" w:fill="auto"/>
            <w:tcMar>
              <w:top w:w="0" w:type="dxa"/>
              <w:left w:w="20" w:type="dxa"/>
              <w:bottom w:w="0" w:type="dxa"/>
              <w:right w:w="20" w:type="dxa"/>
            </w:tcMar>
            <w:vAlign w:val="bottom"/>
          </w:tcPr>
          <w:p w14:paraId="442F62F6"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F7" w14:textId="77777777" w:rsidR="00CC25B5" w:rsidRDefault="00900968">
            <w:pPr>
              <w:textAlignment w:val="bottom"/>
            </w:pPr>
            <w:hyperlink r:id="rId33" w:anchor="ie1710166881948a18c44f48eaa2dcf00_121" w:history="1">
              <w:r>
                <w:rPr>
                  <w:rStyle w:val="a5"/>
                  <w:rFonts w:ascii="Times New Roman" w:eastAsia="宋体" w:hAnsi="Times New Roman"/>
                  <w:sz w:val="18"/>
                  <w:szCs w:val="18"/>
                </w:rPr>
                <w:t>Item 2. 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442F62F8" w14:textId="77777777" w:rsidR="00CC25B5" w:rsidRDefault="00900968">
            <w:pPr>
              <w:jc w:val="center"/>
              <w:textAlignment w:val="bottom"/>
            </w:pPr>
            <w:hyperlink r:id="rId34" w:anchor="ie1710166881948a18c44f48eaa2dcf00_121" w:history="1">
              <w:r>
                <w:rPr>
                  <w:rStyle w:val="a5"/>
                  <w:rFonts w:ascii="Times New Roman" w:eastAsia="宋体" w:hAnsi="Times New Roman"/>
                  <w:sz w:val="18"/>
                  <w:szCs w:val="18"/>
                </w:rPr>
                <w:t>29</w:t>
              </w:r>
            </w:hyperlink>
          </w:p>
        </w:tc>
      </w:tr>
      <w:tr w:rsidR="00CC25B5" w14:paraId="442F62FD" w14:textId="77777777">
        <w:trPr>
          <w:jc w:val="center"/>
        </w:trPr>
        <w:tc>
          <w:tcPr>
            <w:tcW w:w="0" w:type="auto"/>
            <w:gridSpan w:val="3"/>
            <w:shd w:val="clear" w:color="auto" w:fill="auto"/>
            <w:tcMar>
              <w:top w:w="0" w:type="dxa"/>
              <w:left w:w="20" w:type="dxa"/>
              <w:bottom w:w="0" w:type="dxa"/>
              <w:right w:w="20" w:type="dxa"/>
            </w:tcMar>
            <w:vAlign w:val="bottom"/>
          </w:tcPr>
          <w:p w14:paraId="442F62FA"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FB" w14:textId="77777777" w:rsidR="00CC25B5" w:rsidRDefault="00900968">
            <w:pPr>
              <w:textAlignment w:val="bottom"/>
            </w:pPr>
            <w:hyperlink r:id="rId35" w:anchor="ie1710166881948a18c44f48eaa2dcf00_124" w:history="1">
              <w:r>
                <w:rPr>
                  <w:rStyle w:val="a5"/>
                  <w:rFonts w:ascii="Times New Roman" w:eastAsia="宋体" w:hAnsi="Times New Roman"/>
                  <w:sz w:val="18"/>
                  <w:szCs w:val="18"/>
                </w:rPr>
                <w:t>Item 5. Other Information</w:t>
              </w:r>
            </w:hyperlink>
          </w:p>
        </w:tc>
        <w:tc>
          <w:tcPr>
            <w:tcW w:w="0" w:type="auto"/>
            <w:gridSpan w:val="3"/>
            <w:shd w:val="clear" w:color="auto" w:fill="auto"/>
            <w:tcMar>
              <w:top w:w="40" w:type="dxa"/>
              <w:left w:w="20" w:type="dxa"/>
              <w:bottom w:w="40" w:type="dxa"/>
              <w:right w:w="20" w:type="dxa"/>
            </w:tcMar>
            <w:vAlign w:val="bottom"/>
          </w:tcPr>
          <w:p w14:paraId="442F62FC" w14:textId="77777777" w:rsidR="00CC25B5" w:rsidRDefault="00900968">
            <w:pPr>
              <w:jc w:val="center"/>
              <w:textAlignment w:val="bottom"/>
            </w:pPr>
            <w:hyperlink r:id="rId36" w:anchor="ie1710166881948a18c44f48eaa2dcf00_124" w:history="1">
              <w:r>
                <w:rPr>
                  <w:rStyle w:val="a5"/>
                  <w:rFonts w:ascii="Times New Roman" w:eastAsia="宋体" w:hAnsi="Times New Roman"/>
                  <w:sz w:val="18"/>
                  <w:szCs w:val="18"/>
                </w:rPr>
                <w:t>29</w:t>
              </w:r>
            </w:hyperlink>
          </w:p>
        </w:tc>
      </w:tr>
      <w:tr w:rsidR="00CC25B5" w14:paraId="442F6301" w14:textId="77777777">
        <w:trPr>
          <w:jc w:val="center"/>
        </w:trPr>
        <w:tc>
          <w:tcPr>
            <w:tcW w:w="0" w:type="auto"/>
            <w:gridSpan w:val="3"/>
            <w:shd w:val="clear" w:color="auto" w:fill="auto"/>
            <w:tcMar>
              <w:top w:w="0" w:type="dxa"/>
              <w:left w:w="20" w:type="dxa"/>
              <w:bottom w:w="0" w:type="dxa"/>
              <w:right w:w="20" w:type="dxa"/>
            </w:tcMar>
            <w:vAlign w:val="bottom"/>
          </w:tcPr>
          <w:p w14:paraId="442F62FE" w14:textId="77777777" w:rsidR="00CC25B5" w:rsidRDefault="00CC25B5">
            <w:pPr>
              <w:rPr>
                <w:rFonts w:ascii="宋体"/>
              </w:rPr>
            </w:pPr>
          </w:p>
        </w:tc>
        <w:tc>
          <w:tcPr>
            <w:tcW w:w="0" w:type="auto"/>
            <w:gridSpan w:val="6"/>
            <w:shd w:val="clear" w:color="auto" w:fill="auto"/>
            <w:tcMar>
              <w:top w:w="40" w:type="dxa"/>
              <w:left w:w="20" w:type="dxa"/>
              <w:bottom w:w="40" w:type="dxa"/>
              <w:right w:w="20" w:type="dxa"/>
            </w:tcMar>
            <w:vAlign w:val="bottom"/>
          </w:tcPr>
          <w:p w14:paraId="442F62FF" w14:textId="77777777" w:rsidR="00CC25B5" w:rsidRDefault="00900968">
            <w:pPr>
              <w:textAlignment w:val="bottom"/>
            </w:pPr>
            <w:hyperlink r:id="rId37" w:anchor="ie1710166881948a18c44f48eaa2dcf00_127" w:history="1">
              <w:r>
                <w:rPr>
                  <w:rStyle w:val="a5"/>
                  <w:rFonts w:ascii="Times New Roman" w:eastAsia="宋体" w:hAnsi="Times New Roman"/>
                  <w:sz w:val="18"/>
                  <w:szCs w:val="18"/>
                </w:rPr>
                <w:t>Item 6. Exhibits</w:t>
              </w:r>
            </w:hyperlink>
          </w:p>
        </w:tc>
        <w:tc>
          <w:tcPr>
            <w:tcW w:w="0" w:type="auto"/>
            <w:gridSpan w:val="3"/>
            <w:shd w:val="clear" w:color="auto" w:fill="auto"/>
            <w:tcMar>
              <w:top w:w="40" w:type="dxa"/>
              <w:left w:w="20" w:type="dxa"/>
              <w:bottom w:w="40" w:type="dxa"/>
              <w:right w:w="20" w:type="dxa"/>
            </w:tcMar>
            <w:vAlign w:val="bottom"/>
          </w:tcPr>
          <w:p w14:paraId="442F6300" w14:textId="77777777" w:rsidR="00CC25B5" w:rsidRDefault="00900968">
            <w:pPr>
              <w:jc w:val="center"/>
              <w:textAlignment w:val="bottom"/>
            </w:pPr>
            <w:hyperlink r:id="rId38" w:anchor="ie1710166881948a18c44f48eaa2dcf00_127" w:history="1">
              <w:r>
                <w:rPr>
                  <w:rStyle w:val="a5"/>
                  <w:rFonts w:ascii="Times New Roman" w:eastAsia="宋体" w:hAnsi="Times New Roman"/>
                  <w:sz w:val="18"/>
                  <w:szCs w:val="18"/>
                </w:rPr>
                <w:t>33</w:t>
              </w:r>
            </w:hyperlink>
          </w:p>
        </w:tc>
      </w:tr>
      <w:tr w:rsidR="00CC25B5" w14:paraId="442F6306" w14:textId="77777777">
        <w:trPr>
          <w:trHeight w:val="240"/>
          <w:jc w:val="center"/>
        </w:trPr>
        <w:tc>
          <w:tcPr>
            <w:tcW w:w="0" w:type="auto"/>
            <w:gridSpan w:val="3"/>
            <w:shd w:val="clear" w:color="auto" w:fill="auto"/>
            <w:tcMar>
              <w:top w:w="0" w:type="dxa"/>
              <w:left w:w="20" w:type="dxa"/>
              <w:bottom w:w="0" w:type="dxa"/>
              <w:right w:w="20" w:type="dxa"/>
            </w:tcMar>
            <w:vAlign w:val="bottom"/>
          </w:tcPr>
          <w:p w14:paraId="442F6302"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03"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0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05" w14:textId="77777777" w:rsidR="00CC25B5" w:rsidRDefault="00CC25B5">
            <w:pPr>
              <w:rPr>
                <w:rFonts w:ascii="宋体"/>
              </w:rPr>
            </w:pPr>
          </w:p>
        </w:tc>
      </w:tr>
      <w:tr w:rsidR="00CC25B5" w14:paraId="442F630A" w14:textId="77777777">
        <w:trPr>
          <w:jc w:val="center"/>
        </w:trPr>
        <w:tc>
          <w:tcPr>
            <w:tcW w:w="0" w:type="auto"/>
            <w:gridSpan w:val="6"/>
            <w:shd w:val="clear" w:color="auto" w:fill="auto"/>
            <w:tcMar>
              <w:top w:w="40" w:type="dxa"/>
              <w:left w:w="20" w:type="dxa"/>
              <w:bottom w:w="40" w:type="dxa"/>
              <w:right w:w="20" w:type="dxa"/>
            </w:tcMar>
            <w:vAlign w:val="bottom"/>
          </w:tcPr>
          <w:p w14:paraId="442F6307" w14:textId="77777777" w:rsidR="00CC25B5" w:rsidRDefault="00900968">
            <w:pPr>
              <w:textAlignment w:val="bottom"/>
            </w:pPr>
            <w:hyperlink r:id="rId39" w:anchor="ie1710166881948a18c44f48eaa2dcf00_130" w:history="1">
              <w:r>
                <w:rPr>
                  <w:rStyle w:val="a5"/>
                  <w:rFonts w:ascii="Times New Roman" w:eastAsia="宋体" w:hAnsi="Times New Roman"/>
                  <w:sz w:val="18"/>
                  <w:szCs w:val="18"/>
                </w:rPr>
                <w:t>Signatures</w:t>
              </w:r>
            </w:hyperlink>
          </w:p>
        </w:tc>
        <w:tc>
          <w:tcPr>
            <w:tcW w:w="0" w:type="auto"/>
            <w:gridSpan w:val="3"/>
            <w:shd w:val="clear" w:color="auto" w:fill="auto"/>
            <w:tcMar>
              <w:top w:w="0" w:type="dxa"/>
              <w:left w:w="20" w:type="dxa"/>
              <w:bottom w:w="0" w:type="dxa"/>
              <w:right w:w="20" w:type="dxa"/>
            </w:tcMar>
            <w:vAlign w:val="bottom"/>
          </w:tcPr>
          <w:p w14:paraId="442F6308"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309" w14:textId="77777777" w:rsidR="00CC25B5" w:rsidRDefault="00900968">
            <w:pPr>
              <w:jc w:val="center"/>
              <w:textAlignment w:val="bottom"/>
            </w:pPr>
            <w:hyperlink r:id="rId40" w:anchor="ie1710166881948a18c44f48eaa2dcf00_130" w:history="1">
              <w:r>
                <w:rPr>
                  <w:rStyle w:val="a5"/>
                  <w:rFonts w:ascii="Times New Roman" w:eastAsia="宋体" w:hAnsi="Times New Roman"/>
                  <w:sz w:val="18"/>
                  <w:szCs w:val="18"/>
                </w:rPr>
                <w:t>34</w:t>
              </w:r>
            </w:hyperlink>
          </w:p>
        </w:tc>
      </w:tr>
    </w:tbl>
    <w:p w14:paraId="442F630B" w14:textId="77777777" w:rsidR="00CC25B5" w:rsidRDefault="00CC25B5">
      <w:pPr>
        <w:jc w:val="center"/>
      </w:pPr>
    </w:p>
    <w:p w14:paraId="442F630C" w14:textId="77777777" w:rsidR="00CC25B5" w:rsidRDefault="00CC25B5">
      <w:pPr>
        <w:jc w:val="center"/>
      </w:pPr>
    </w:p>
    <w:p w14:paraId="442F630D" w14:textId="77777777" w:rsidR="00CC25B5" w:rsidRDefault="00900968">
      <w:pPr>
        <w:jc w:val="center"/>
      </w:pPr>
      <w:r>
        <w:rPr>
          <w:rFonts w:ascii="Times New Roman" w:eastAsia="宋体" w:hAnsi="Times New Roman"/>
          <w:color w:val="000000"/>
          <w:sz w:val="20"/>
          <w:szCs w:val="20"/>
        </w:rPr>
        <w:t>2</w:t>
      </w:r>
    </w:p>
    <w:p w14:paraId="442F630E" w14:textId="77777777" w:rsidR="00CC25B5" w:rsidRDefault="00900968">
      <w:r>
        <w:pict w14:anchorId="442F85CB">
          <v:rect id="_x0000_i1026" style="width:415.3pt;height:1.5pt" o:hralign="center" o:hrstd="t" o:hr="t" fillcolor="#a0a0a0" stroked="f"/>
        </w:pict>
      </w:r>
    </w:p>
    <w:p w14:paraId="442F630F" w14:textId="77777777" w:rsidR="00CC25B5" w:rsidRDefault="00900968">
      <w:hyperlink r:id="rId41" w:anchor="ie1710166881948a18c44f48eaa2dcf00_7" w:history="1">
        <w:r>
          <w:rPr>
            <w:rStyle w:val="a5"/>
            <w:rFonts w:ascii="Times New Roman" w:eastAsia="宋体" w:hAnsi="Times New Roman"/>
            <w:sz w:val="20"/>
            <w:szCs w:val="20"/>
          </w:rPr>
          <w:t>Table of Contents</w:t>
        </w:r>
      </w:hyperlink>
    </w:p>
    <w:p w14:paraId="442F6310" w14:textId="77777777" w:rsidR="00CC25B5" w:rsidRDefault="00900968">
      <w:pPr>
        <w:spacing w:after="100"/>
      </w:pPr>
      <w:r>
        <w:rPr>
          <w:rFonts w:ascii="Times New Roman" w:eastAsia="宋体" w:hAnsi="Times New Roman"/>
          <w:b/>
          <w:bCs/>
          <w:color w:val="000000"/>
          <w:sz w:val="20"/>
          <w:szCs w:val="20"/>
        </w:rPr>
        <w:t>PART I. FINANCIAL INFORMATION</w:t>
      </w:r>
    </w:p>
    <w:p w14:paraId="442F6311" w14:textId="77777777" w:rsidR="00CC25B5" w:rsidRDefault="00900968">
      <w:pPr>
        <w:spacing w:before="180" w:after="100"/>
        <w:ind w:hanging="360"/>
      </w:pPr>
      <w:r>
        <w:rPr>
          <w:rFonts w:ascii="Times New Roman" w:eastAsia="宋体" w:hAnsi="Times New Roman"/>
          <w:b/>
          <w:bCs/>
          <w:color w:val="000000"/>
          <w:sz w:val="20"/>
          <w:szCs w:val="20"/>
        </w:rPr>
        <w:t>Item 1.Financial Statements</w:t>
      </w:r>
    </w:p>
    <w:p w14:paraId="442F6312" w14:textId="77777777" w:rsidR="00CC25B5" w:rsidRDefault="00900968">
      <w:pPr>
        <w:spacing w:before="180"/>
        <w:jc w:val="center"/>
      </w:pPr>
      <w:r>
        <w:rPr>
          <w:rFonts w:ascii="Times New Roman" w:eastAsia="宋体" w:hAnsi="Times New Roman"/>
          <w:b/>
          <w:bCs/>
          <w:color w:val="000000"/>
          <w:sz w:val="20"/>
          <w:szCs w:val="20"/>
        </w:rPr>
        <w:t>Walmart Inc.</w:t>
      </w:r>
    </w:p>
    <w:p w14:paraId="442F6313" w14:textId="77777777" w:rsidR="00CC25B5" w:rsidRDefault="00900968">
      <w:pPr>
        <w:spacing w:before="60"/>
        <w:jc w:val="center"/>
      </w:pPr>
      <w:r>
        <w:rPr>
          <w:rFonts w:ascii="Times New Roman" w:eastAsia="宋体" w:hAnsi="Times New Roman"/>
          <w:b/>
          <w:bCs/>
          <w:color w:val="000000"/>
          <w:sz w:val="20"/>
          <w:szCs w:val="20"/>
        </w:rPr>
        <w:t>Condensed Conso</w:t>
      </w:r>
      <w:r>
        <w:rPr>
          <w:rFonts w:ascii="Times New Roman" w:eastAsia="宋体" w:hAnsi="Times New Roman"/>
          <w:b/>
          <w:bCs/>
          <w:color w:val="000000"/>
          <w:sz w:val="20"/>
          <w:szCs w:val="20"/>
        </w:rPr>
        <w:t>lidated Statements of Income</w:t>
      </w:r>
    </w:p>
    <w:p w14:paraId="442F6314" w14:textId="77777777" w:rsidR="00CC25B5" w:rsidRDefault="00900968">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41"/>
        <w:gridCol w:w="39"/>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tblGrid>
      <w:tr w:rsidR="00CC25B5" w14:paraId="442F6330" w14:textId="77777777">
        <w:trPr>
          <w:jc w:val="center"/>
        </w:trPr>
        <w:tc>
          <w:tcPr>
            <w:tcW w:w="50" w:type="pct"/>
            <w:shd w:val="clear" w:color="auto" w:fill="auto"/>
            <w:vAlign w:val="bottom"/>
          </w:tcPr>
          <w:p w14:paraId="442F6315" w14:textId="77777777" w:rsidR="00CC25B5" w:rsidRDefault="00CC25B5">
            <w:pPr>
              <w:rPr>
                <w:rFonts w:ascii="宋体"/>
              </w:rPr>
            </w:pPr>
          </w:p>
        </w:tc>
        <w:tc>
          <w:tcPr>
            <w:tcW w:w="3271" w:type="pct"/>
            <w:shd w:val="clear" w:color="auto" w:fill="auto"/>
            <w:vAlign w:val="bottom"/>
          </w:tcPr>
          <w:p w14:paraId="442F6316" w14:textId="77777777" w:rsidR="00CC25B5" w:rsidRDefault="00CC25B5">
            <w:pPr>
              <w:rPr>
                <w:rFonts w:ascii="宋体"/>
              </w:rPr>
            </w:pPr>
          </w:p>
        </w:tc>
        <w:tc>
          <w:tcPr>
            <w:tcW w:w="5" w:type="pct"/>
            <w:shd w:val="clear" w:color="auto" w:fill="auto"/>
            <w:vAlign w:val="bottom"/>
          </w:tcPr>
          <w:p w14:paraId="442F6317" w14:textId="77777777" w:rsidR="00CC25B5" w:rsidRDefault="00CC25B5">
            <w:pPr>
              <w:rPr>
                <w:rFonts w:ascii="宋体"/>
              </w:rPr>
            </w:pPr>
          </w:p>
        </w:tc>
        <w:tc>
          <w:tcPr>
            <w:tcW w:w="5" w:type="pct"/>
            <w:shd w:val="clear" w:color="auto" w:fill="auto"/>
            <w:vAlign w:val="bottom"/>
          </w:tcPr>
          <w:p w14:paraId="442F6318" w14:textId="77777777" w:rsidR="00CC25B5" w:rsidRDefault="00CC25B5">
            <w:pPr>
              <w:rPr>
                <w:rFonts w:ascii="宋体"/>
              </w:rPr>
            </w:pPr>
          </w:p>
        </w:tc>
        <w:tc>
          <w:tcPr>
            <w:tcW w:w="19" w:type="pct"/>
            <w:shd w:val="clear" w:color="auto" w:fill="auto"/>
            <w:vAlign w:val="bottom"/>
          </w:tcPr>
          <w:p w14:paraId="442F6319" w14:textId="77777777" w:rsidR="00CC25B5" w:rsidRDefault="00CC25B5">
            <w:pPr>
              <w:rPr>
                <w:rFonts w:ascii="宋体"/>
              </w:rPr>
            </w:pPr>
          </w:p>
        </w:tc>
        <w:tc>
          <w:tcPr>
            <w:tcW w:w="5" w:type="pct"/>
            <w:shd w:val="clear" w:color="auto" w:fill="auto"/>
            <w:vAlign w:val="bottom"/>
          </w:tcPr>
          <w:p w14:paraId="442F631A" w14:textId="77777777" w:rsidR="00CC25B5" w:rsidRDefault="00CC25B5">
            <w:pPr>
              <w:rPr>
                <w:rFonts w:ascii="宋体"/>
              </w:rPr>
            </w:pPr>
          </w:p>
        </w:tc>
        <w:tc>
          <w:tcPr>
            <w:tcW w:w="50" w:type="pct"/>
            <w:shd w:val="clear" w:color="auto" w:fill="auto"/>
            <w:vAlign w:val="bottom"/>
          </w:tcPr>
          <w:p w14:paraId="442F631B" w14:textId="77777777" w:rsidR="00CC25B5" w:rsidRDefault="00CC25B5">
            <w:pPr>
              <w:rPr>
                <w:rFonts w:ascii="宋体"/>
              </w:rPr>
            </w:pPr>
          </w:p>
        </w:tc>
        <w:tc>
          <w:tcPr>
            <w:tcW w:w="317" w:type="pct"/>
            <w:shd w:val="clear" w:color="auto" w:fill="auto"/>
            <w:vAlign w:val="bottom"/>
          </w:tcPr>
          <w:p w14:paraId="442F631C" w14:textId="77777777" w:rsidR="00CC25B5" w:rsidRDefault="00CC25B5">
            <w:pPr>
              <w:rPr>
                <w:rFonts w:ascii="宋体"/>
              </w:rPr>
            </w:pPr>
          </w:p>
        </w:tc>
        <w:tc>
          <w:tcPr>
            <w:tcW w:w="5" w:type="pct"/>
            <w:shd w:val="clear" w:color="auto" w:fill="auto"/>
            <w:vAlign w:val="bottom"/>
          </w:tcPr>
          <w:p w14:paraId="442F631D" w14:textId="77777777" w:rsidR="00CC25B5" w:rsidRDefault="00CC25B5">
            <w:pPr>
              <w:rPr>
                <w:rFonts w:ascii="宋体"/>
              </w:rPr>
            </w:pPr>
          </w:p>
        </w:tc>
        <w:tc>
          <w:tcPr>
            <w:tcW w:w="5" w:type="pct"/>
            <w:shd w:val="clear" w:color="auto" w:fill="auto"/>
            <w:vAlign w:val="bottom"/>
          </w:tcPr>
          <w:p w14:paraId="442F631E" w14:textId="77777777" w:rsidR="00CC25B5" w:rsidRDefault="00CC25B5">
            <w:pPr>
              <w:rPr>
                <w:rFonts w:ascii="宋体"/>
              </w:rPr>
            </w:pPr>
          </w:p>
        </w:tc>
        <w:tc>
          <w:tcPr>
            <w:tcW w:w="41" w:type="pct"/>
            <w:shd w:val="clear" w:color="auto" w:fill="auto"/>
            <w:vAlign w:val="bottom"/>
          </w:tcPr>
          <w:p w14:paraId="442F631F" w14:textId="77777777" w:rsidR="00CC25B5" w:rsidRDefault="00CC25B5">
            <w:pPr>
              <w:rPr>
                <w:rFonts w:ascii="宋体"/>
              </w:rPr>
            </w:pPr>
          </w:p>
        </w:tc>
        <w:tc>
          <w:tcPr>
            <w:tcW w:w="5" w:type="pct"/>
            <w:shd w:val="clear" w:color="auto" w:fill="auto"/>
            <w:vAlign w:val="bottom"/>
          </w:tcPr>
          <w:p w14:paraId="442F6320" w14:textId="77777777" w:rsidR="00CC25B5" w:rsidRDefault="00CC25B5">
            <w:pPr>
              <w:rPr>
                <w:rFonts w:ascii="宋体"/>
              </w:rPr>
            </w:pPr>
          </w:p>
        </w:tc>
        <w:tc>
          <w:tcPr>
            <w:tcW w:w="50" w:type="pct"/>
            <w:shd w:val="clear" w:color="auto" w:fill="auto"/>
            <w:vAlign w:val="bottom"/>
          </w:tcPr>
          <w:p w14:paraId="442F6321" w14:textId="77777777" w:rsidR="00CC25B5" w:rsidRDefault="00CC25B5">
            <w:pPr>
              <w:rPr>
                <w:rFonts w:ascii="宋体"/>
              </w:rPr>
            </w:pPr>
          </w:p>
        </w:tc>
        <w:tc>
          <w:tcPr>
            <w:tcW w:w="317" w:type="pct"/>
            <w:shd w:val="clear" w:color="auto" w:fill="auto"/>
            <w:vAlign w:val="bottom"/>
          </w:tcPr>
          <w:p w14:paraId="442F6322" w14:textId="77777777" w:rsidR="00CC25B5" w:rsidRDefault="00CC25B5">
            <w:pPr>
              <w:rPr>
                <w:rFonts w:ascii="宋体"/>
              </w:rPr>
            </w:pPr>
          </w:p>
        </w:tc>
        <w:tc>
          <w:tcPr>
            <w:tcW w:w="5" w:type="pct"/>
            <w:shd w:val="clear" w:color="auto" w:fill="auto"/>
            <w:vAlign w:val="bottom"/>
          </w:tcPr>
          <w:p w14:paraId="442F6323" w14:textId="77777777" w:rsidR="00CC25B5" w:rsidRDefault="00CC25B5">
            <w:pPr>
              <w:rPr>
                <w:rFonts w:ascii="宋体"/>
              </w:rPr>
            </w:pPr>
          </w:p>
        </w:tc>
        <w:tc>
          <w:tcPr>
            <w:tcW w:w="5" w:type="pct"/>
            <w:shd w:val="clear" w:color="auto" w:fill="auto"/>
            <w:vAlign w:val="bottom"/>
          </w:tcPr>
          <w:p w14:paraId="442F6324" w14:textId="77777777" w:rsidR="00CC25B5" w:rsidRDefault="00CC25B5">
            <w:pPr>
              <w:rPr>
                <w:rFonts w:ascii="宋体"/>
              </w:rPr>
            </w:pPr>
          </w:p>
        </w:tc>
        <w:tc>
          <w:tcPr>
            <w:tcW w:w="41" w:type="pct"/>
            <w:shd w:val="clear" w:color="auto" w:fill="auto"/>
            <w:vAlign w:val="bottom"/>
          </w:tcPr>
          <w:p w14:paraId="442F6325" w14:textId="77777777" w:rsidR="00CC25B5" w:rsidRDefault="00CC25B5">
            <w:pPr>
              <w:rPr>
                <w:rFonts w:ascii="宋体"/>
              </w:rPr>
            </w:pPr>
          </w:p>
        </w:tc>
        <w:tc>
          <w:tcPr>
            <w:tcW w:w="5" w:type="pct"/>
            <w:shd w:val="clear" w:color="auto" w:fill="auto"/>
            <w:vAlign w:val="bottom"/>
          </w:tcPr>
          <w:p w14:paraId="442F6326" w14:textId="77777777" w:rsidR="00CC25B5" w:rsidRDefault="00CC25B5">
            <w:pPr>
              <w:rPr>
                <w:rFonts w:ascii="宋体"/>
              </w:rPr>
            </w:pPr>
          </w:p>
        </w:tc>
        <w:tc>
          <w:tcPr>
            <w:tcW w:w="50" w:type="pct"/>
            <w:shd w:val="clear" w:color="auto" w:fill="auto"/>
            <w:vAlign w:val="bottom"/>
          </w:tcPr>
          <w:p w14:paraId="442F6327" w14:textId="77777777" w:rsidR="00CC25B5" w:rsidRDefault="00CC25B5">
            <w:pPr>
              <w:rPr>
                <w:rFonts w:ascii="宋体"/>
              </w:rPr>
            </w:pPr>
          </w:p>
        </w:tc>
        <w:tc>
          <w:tcPr>
            <w:tcW w:w="317" w:type="pct"/>
            <w:shd w:val="clear" w:color="auto" w:fill="auto"/>
            <w:vAlign w:val="bottom"/>
          </w:tcPr>
          <w:p w14:paraId="442F6328" w14:textId="77777777" w:rsidR="00CC25B5" w:rsidRDefault="00CC25B5">
            <w:pPr>
              <w:rPr>
                <w:rFonts w:ascii="宋体"/>
              </w:rPr>
            </w:pPr>
          </w:p>
        </w:tc>
        <w:tc>
          <w:tcPr>
            <w:tcW w:w="5" w:type="pct"/>
            <w:shd w:val="clear" w:color="auto" w:fill="auto"/>
            <w:vAlign w:val="bottom"/>
          </w:tcPr>
          <w:p w14:paraId="442F6329" w14:textId="77777777" w:rsidR="00CC25B5" w:rsidRDefault="00CC25B5">
            <w:pPr>
              <w:rPr>
                <w:rFonts w:ascii="宋体"/>
              </w:rPr>
            </w:pPr>
          </w:p>
        </w:tc>
        <w:tc>
          <w:tcPr>
            <w:tcW w:w="5" w:type="pct"/>
            <w:shd w:val="clear" w:color="auto" w:fill="auto"/>
            <w:vAlign w:val="bottom"/>
          </w:tcPr>
          <w:p w14:paraId="442F632A" w14:textId="77777777" w:rsidR="00CC25B5" w:rsidRDefault="00CC25B5">
            <w:pPr>
              <w:rPr>
                <w:rFonts w:ascii="宋体"/>
              </w:rPr>
            </w:pPr>
          </w:p>
        </w:tc>
        <w:tc>
          <w:tcPr>
            <w:tcW w:w="41" w:type="pct"/>
            <w:shd w:val="clear" w:color="auto" w:fill="auto"/>
            <w:vAlign w:val="bottom"/>
          </w:tcPr>
          <w:p w14:paraId="442F632B" w14:textId="77777777" w:rsidR="00CC25B5" w:rsidRDefault="00CC25B5">
            <w:pPr>
              <w:rPr>
                <w:rFonts w:ascii="宋体"/>
              </w:rPr>
            </w:pPr>
          </w:p>
        </w:tc>
        <w:tc>
          <w:tcPr>
            <w:tcW w:w="5" w:type="pct"/>
            <w:shd w:val="clear" w:color="auto" w:fill="auto"/>
            <w:vAlign w:val="bottom"/>
          </w:tcPr>
          <w:p w14:paraId="442F632C" w14:textId="77777777" w:rsidR="00CC25B5" w:rsidRDefault="00CC25B5">
            <w:pPr>
              <w:rPr>
                <w:rFonts w:ascii="宋体"/>
              </w:rPr>
            </w:pPr>
          </w:p>
        </w:tc>
        <w:tc>
          <w:tcPr>
            <w:tcW w:w="50" w:type="pct"/>
            <w:shd w:val="clear" w:color="auto" w:fill="auto"/>
            <w:vAlign w:val="bottom"/>
          </w:tcPr>
          <w:p w14:paraId="442F632D" w14:textId="77777777" w:rsidR="00CC25B5" w:rsidRDefault="00CC25B5">
            <w:pPr>
              <w:rPr>
                <w:rFonts w:ascii="宋体"/>
              </w:rPr>
            </w:pPr>
          </w:p>
        </w:tc>
        <w:tc>
          <w:tcPr>
            <w:tcW w:w="317" w:type="pct"/>
            <w:shd w:val="clear" w:color="auto" w:fill="auto"/>
            <w:vAlign w:val="bottom"/>
          </w:tcPr>
          <w:p w14:paraId="442F632E" w14:textId="77777777" w:rsidR="00CC25B5" w:rsidRDefault="00CC25B5">
            <w:pPr>
              <w:rPr>
                <w:rFonts w:ascii="宋体"/>
              </w:rPr>
            </w:pPr>
          </w:p>
        </w:tc>
        <w:tc>
          <w:tcPr>
            <w:tcW w:w="5" w:type="pct"/>
            <w:shd w:val="clear" w:color="auto" w:fill="auto"/>
            <w:vAlign w:val="bottom"/>
          </w:tcPr>
          <w:p w14:paraId="442F632F" w14:textId="77777777" w:rsidR="00CC25B5" w:rsidRDefault="00CC25B5">
            <w:pPr>
              <w:rPr>
                <w:rFonts w:ascii="宋体"/>
              </w:rPr>
            </w:pPr>
          </w:p>
        </w:tc>
      </w:tr>
      <w:tr w:rsidR="00CC25B5" w14:paraId="442F6336" w14:textId="77777777">
        <w:trPr>
          <w:jc w:val="center"/>
        </w:trPr>
        <w:tc>
          <w:tcPr>
            <w:tcW w:w="0" w:type="auto"/>
            <w:gridSpan w:val="3"/>
            <w:shd w:val="clear" w:color="auto" w:fill="auto"/>
            <w:tcMar>
              <w:top w:w="0" w:type="dxa"/>
              <w:left w:w="20" w:type="dxa"/>
              <w:bottom w:w="0" w:type="dxa"/>
              <w:right w:w="20" w:type="dxa"/>
            </w:tcMar>
            <w:vAlign w:val="bottom"/>
          </w:tcPr>
          <w:p w14:paraId="442F633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32"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6333"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6334"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6335"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6340" w14:textId="77777777">
        <w:trPr>
          <w:jc w:val="center"/>
        </w:trPr>
        <w:tc>
          <w:tcPr>
            <w:tcW w:w="0" w:type="auto"/>
            <w:gridSpan w:val="3"/>
            <w:shd w:val="clear" w:color="auto" w:fill="auto"/>
            <w:tcMar>
              <w:top w:w="40" w:type="dxa"/>
              <w:left w:w="20" w:type="dxa"/>
              <w:bottom w:w="40" w:type="dxa"/>
              <w:right w:w="20" w:type="dxa"/>
            </w:tcMar>
            <w:vAlign w:val="bottom"/>
          </w:tcPr>
          <w:p w14:paraId="442F6337" w14:textId="77777777" w:rsidR="00CC25B5" w:rsidRDefault="00900968">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442F6338"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339"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33A"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33B"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633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33D"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33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33F"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634A" w14:textId="77777777">
        <w:trPr>
          <w:jc w:val="center"/>
        </w:trPr>
        <w:tc>
          <w:tcPr>
            <w:tcW w:w="0" w:type="auto"/>
            <w:gridSpan w:val="3"/>
            <w:shd w:val="clear" w:color="auto" w:fill="auto"/>
            <w:tcMar>
              <w:top w:w="40" w:type="dxa"/>
              <w:left w:w="20" w:type="dxa"/>
              <w:bottom w:w="40" w:type="dxa"/>
              <w:right w:w="20" w:type="dxa"/>
            </w:tcMar>
            <w:vAlign w:val="center"/>
          </w:tcPr>
          <w:p w14:paraId="442F6341" w14:textId="77777777" w:rsidR="00CC25B5" w:rsidRDefault="00900968">
            <w:pPr>
              <w:textAlignment w:val="center"/>
            </w:pP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vAlign w:val="bottom"/>
          </w:tcPr>
          <w:p w14:paraId="442F6342"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343"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44"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34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46"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34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348"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349" w14:textId="77777777" w:rsidR="00CC25B5" w:rsidRDefault="00CC25B5">
            <w:pPr>
              <w:rPr>
                <w:rFonts w:ascii="宋体"/>
              </w:rPr>
            </w:pPr>
          </w:p>
        </w:tc>
      </w:tr>
      <w:tr w:rsidR="00CC25B5" w14:paraId="442F635C" w14:textId="77777777">
        <w:trPr>
          <w:jc w:val="center"/>
        </w:trPr>
        <w:tc>
          <w:tcPr>
            <w:tcW w:w="0" w:type="auto"/>
            <w:gridSpan w:val="3"/>
            <w:shd w:val="clear" w:color="auto" w:fill="CCEEFF"/>
            <w:tcMar>
              <w:top w:w="40" w:type="dxa"/>
              <w:left w:w="380" w:type="dxa"/>
              <w:bottom w:w="40" w:type="dxa"/>
              <w:right w:w="20" w:type="dxa"/>
            </w:tcMar>
            <w:vAlign w:val="center"/>
          </w:tcPr>
          <w:p w14:paraId="442F634B"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42F634C"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34D"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34E" w14:textId="77777777" w:rsidR="00CC25B5" w:rsidRDefault="00900968">
            <w:pPr>
              <w:jc w:val="right"/>
              <w:textAlignment w:val="center"/>
            </w:pPr>
            <w:r>
              <w:rPr>
                <w:rFonts w:ascii="Times New Roman" w:eastAsia="宋体" w:hAnsi="Times New Roman"/>
                <w:color w:val="000000"/>
                <w:sz w:val="16"/>
                <w:szCs w:val="16"/>
              </w:rPr>
              <w:t>139,871 </w:t>
            </w:r>
          </w:p>
        </w:tc>
        <w:tc>
          <w:tcPr>
            <w:tcW w:w="0" w:type="auto"/>
            <w:shd w:val="clear" w:color="auto" w:fill="CCEEFF"/>
            <w:tcMar>
              <w:top w:w="40" w:type="dxa"/>
              <w:left w:w="0" w:type="dxa"/>
              <w:bottom w:w="40" w:type="dxa"/>
              <w:right w:w="20" w:type="dxa"/>
            </w:tcMar>
            <w:vAlign w:val="center"/>
          </w:tcPr>
          <w:p w14:paraId="442F634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50"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35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352" w14:textId="77777777" w:rsidR="00CC25B5" w:rsidRDefault="00900968">
            <w:pPr>
              <w:jc w:val="right"/>
              <w:textAlignment w:val="center"/>
            </w:pPr>
            <w:r>
              <w:rPr>
                <w:rFonts w:ascii="Times New Roman" w:eastAsia="宋体" w:hAnsi="Times New Roman"/>
                <w:color w:val="000000"/>
                <w:sz w:val="16"/>
                <w:szCs w:val="16"/>
              </w:rPr>
              <w:t>136,824 </w:t>
            </w:r>
          </w:p>
        </w:tc>
        <w:tc>
          <w:tcPr>
            <w:tcW w:w="0" w:type="auto"/>
            <w:shd w:val="clear" w:color="auto" w:fill="CCEEFF"/>
            <w:tcMar>
              <w:top w:w="40" w:type="dxa"/>
              <w:left w:w="0" w:type="dxa"/>
              <w:bottom w:w="40" w:type="dxa"/>
              <w:right w:w="20" w:type="dxa"/>
            </w:tcMar>
            <w:vAlign w:val="center"/>
          </w:tcPr>
          <w:p w14:paraId="442F635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54"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35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356" w14:textId="77777777" w:rsidR="00CC25B5" w:rsidRDefault="00900968">
            <w:pPr>
              <w:jc w:val="right"/>
              <w:textAlignment w:val="center"/>
            </w:pPr>
            <w:r>
              <w:rPr>
                <w:rFonts w:ascii="Times New Roman" w:eastAsia="宋体" w:hAnsi="Times New Roman"/>
                <w:color w:val="000000"/>
                <w:sz w:val="16"/>
                <w:szCs w:val="16"/>
              </w:rPr>
              <w:t>277,030 </w:t>
            </w:r>
          </w:p>
        </w:tc>
        <w:tc>
          <w:tcPr>
            <w:tcW w:w="0" w:type="auto"/>
            <w:shd w:val="clear" w:color="auto" w:fill="CCEEFF"/>
            <w:tcMar>
              <w:top w:w="40" w:type="dxa"/>
              <w:left w:w="0" w:type="dxa"/>
              <w:bottom w:w="40" w:type="dxa"/>
              <w:right w:w="20" w:type="dxa"/>
            </w:tcMar>
            <w:vAlign w:val="center"/>
          </w:tcPr>
          <w:p w14:paraId="442F635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58"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35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35A" w14:textId="77777777" w:rsidR="00CC25B5" w:rsidRDefault="00900968">
            <w:pPr>
              <w:jc w:val="right"/>
              <w:textAlignment w:val="center"/>
            </w:pPr>
            <w:r>
              <w:rPr>
                <w:rFonts w:ascii="Times New Roman" w:eastAsia="宋体" w:hAnsi="Times New Roman"/>
                <w:color w:val="000000"/>
                <w:sz w:val="16"/>
                <w:szCs w:val="16"/>
              </w:rPr>
              <w:t>270,496 </w:t>
            </w:r>
          </w:p>
        </w:tc>
        <w:tc>
          <w:tcPr>
            <w:tcW w:w="0" w:type="auto"/>
            <w:shd w:val="clear" w:color="auto" w:fill="CCEEFF"/>
            <w:tcMar>
              <w:top w:w="40" w:type="dxa"/>
              <w:left w:w="0" w:type="dxa"/>
              <w:bottom w:w="40" w:type="dxa"/>
              <w:right w:w="20" w:type="dxa"/>
            </w:tcMar>
            <w:vAlign w:val="center"/>
          </w:tcPr>
          <w:p w14:paraId="442F635B" w14:textId="77777777" w:rsidR="00CC25B5" w:rsidRDefault="00CC25B5">
            <w:pPr>
              <w:jc w:val="right"/>
              <w:rPr>
                <w:rFonts w:ascii="宋体"/>
              </w:rPr>
            </w:pPr>
          </w:p>
        </w:tc>
      </w:tr>
      <w:tr w:rsidR="00CC25B5" w14:paraId="442F636A" w14:textId="77777777">
        <w:trPr>
          <w:jc w:val="center"/>
        </w:trPr>
        <w:tc>
          <w:tcPr>
            <w:tcW w:w="0" w:type="auto"/>
            <w:gridSpan w:val="3"/>
            <w:shd w:val="clear" w:color="auto" w:fill="FFFFFF"/>
            <w:tcMar>
              <w:top w:w="40" w:type="dxa"/>
              <w:left w:w="380" w:type="dxa"/>
              <w:bottom w:w="40" w:type="dxa"/>
              <w:right w:w="20" w:type="dxa"/>
            </w:tcMar>
            <w:vAlign w:val="center"/>
          </w:tcPr>
          <w:p w14:paraId="442F635D" w14:textId="77777777" w:rsidR="00CC25B5" w:rsidRDefault="00900968">
            <w:pPr>
              <w:textAlignment w:val="center"/>
            </w:pPr>
            <w:r>
              <w:rPr>
                <w:rFonts w:ascii="Times New Roman" w:eastAsia="宋体" w:hAnsi="Times New Roman"/>
                <w:color w:val="000000"/>
                <w:sz w:val="16"/>
                <w:szCs w:val="16"/>
              </w:rPr>
              <w:t>Membership and other income</w:t>
            </w:r>
          </w:p>
        </w:tc>
        <w:tc>
          <w:tcPr>
            <w:tcW w:w="0" w:type="auto"/>
            <w:gridSpan w:val="3"/>
            <w:shd w:val="clear" w:color="auto" w:fill="FFFFFF"/>
            <w:tcMar>
              <w:top w:w="0" w:type="dxa"/>
              <w:left w:w="20" w:type="dxa"/>
              <w:bottom w:w="0" w:type="dxa"/>
              <w:right w:w="20" w:type="dxa"/>
            </w:tcMar>
            <w:vAlign w:val="bottom"/>
          </w:tcPr>
          <w:p w14:paraId="442F635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5F" w14:textId="77777777" w:rsidR="00CC25B5" w:rsidRDefault="00900968">
            <w:pPr>
              <w:jc w:val="right"/>
              <w:textAlignment w:val="center"/>
            </w:pPr>
            <w:r>
              <w:rPr>
                <w:rFonts w:ascii="Times New Roman" w:eastAsia="宋体" w:hAnsi="Times New Roman"/>
                <w:color w:val="000000"/>
                <w:sz w:val="16"/>
                <w:szCs w:val="16"/>
              </w:rPr>
              <w:t>1,177 </w:t>
            </w:r>
          </w:p>
        </w:tc>
        <w:tc>
          <w:tcPr>
            <w:tcW w:w="0" w:type="auto"/>
            <w:shd w:val="clear" w:color="auto" w:fill="FFFFFF"/>
            <w:tcMar>
              <w:top w:w="40" w:type="dxa"/>
              <w:left w:w="0" w:type="dxa"/>
              <w:bottom w:w="40" w:type="dxa"/>
              <w:right w:w="20" w:type="dxa"/>
            </w:tcMar>
            <w:vAlign w:val="center"/>
          </w:tcPr>
          <w:p w14:paraId="442F636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6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62" w14:textId="77777777" w:rsidR="00CC25B5" w:rsidRDefault="00900968">
            <w:pPr>
              <w:jc w:val="right"/>
              <w:textAlignment w:val="center"/>
            </w:pPr>
            <w:r>
              <w:rPr>
                <w:rFonts w:ascii="Times New Roman" w:eastAsia="宋体" w:hAnsi="Times New Roman"/>
                <w:color w:val="000000"/>
                <w:sz w:val="16"/>
                <w:szCs w:val="16"/>
              </w:rPr>
              <w:t>918 </w:t>
            </w:r>
          </w:p>
        </w:tc>
        <w:tc>
          <w:tcPr>
            <w:tcW w:w="0" w:type="auto"/>
            <w:shd w:val="clear" w:color="auto" w:fill="FFFFFF"/>
            <w:tcMar>
              <w:top w:w="40" w:type="dxa"/>
              <w:left w:w="0" w:type="dxa"/>
              <w:bottom w:w="40" w:type="dxa"/>
              <w:right w:w="20" w:type="dxa"/>
            </w:tcMar>
            <w:vAlign w:val="center"/>
          </w:tcPr>
          <w:p w14:paraId="442F636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6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65" w14:textId="77777777" w:rsidR="00CC25B5" w:rsidRDefault="00900968">
            <w:pPr>
              <w:jc w:val="right"/>
              <w:textAlignment w:val="center"/>
            </w:pPr>
            <w:r>
              <w:rPr>
                <w:rFonts w:ascii="Times New Roman" w:eastAsia="宋体" w:hAnsi="Times New Roman"/>
                <w:color w:val="000000"/>
                <w:sz w:val="16"/>
                <w:szCs w:val="16"/>
              </w:rPr>
              <w:t>2,328 </w:t>
            </w:r>
          </w:p>
        </w:tc>
        <w:tc>
          <w:tcPr>
            <w:tcW w:w="0" w:type="auto"/>
            <w:shd w:val="clear" w:color="auto" w:fill="FFFFFF"/>
            <w:tcMar>
              <w:top w:w="40" w:type="dxa"/>
              <w:left w:w="0" w:type="dxa"/>
              <w:bottom w:w="40" w:type="dxa"/>
              <w:right w:w="20" w:type="dxa"/>
            </w:tcMar>
            <w:vAlign w:val="center"/>
          </w:tcPr>
          <w:p w14:paraId="442F636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6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68" w14:textId="77777777" w:rsidR="00CC25B5" w:rsidRDefault="00900968">
            <w:pPr>
              <w:jc w:val="right"/>
              <w:textAlignment w:val="center"/>
            </w:pPr>
            <w:r>
              <w:rPr>
                <w:rFonts w:ascii="Times New Roman" w:eastAsia="宋体" w:hAnsi="Times New Roman"/>
                <w:color w:val="000000"/>
                <w:sz w:val="16"/>
                <w:szCs w:val="16"/>
              </w:rPr>
              <w:t>1,868 </w:t>
            </w:r>
          </w:p>
        </w:tc>
        <w:tc>
          <w:tcPr>
            <w:tcW w:w="0" w:type="auto"/>
            <w:shd w:val="clear" w:color="auto" w:fill="FFFFFF"/>
            <w:tcMar>
              <w:top w:w="40" w:type="dxa"/>
              <w:left w:w="0" w:type="dxa"/>
              <w:bottom w:w="40" w:type="dxa"/>
              <w:right w:w="20" w:type="dxa"/>
            </w:tcMar>
            <w:vAlign w:val="center"/>
          </w:tcPr>
          <w:p w14:paraId="442F6369" w14:textId="77777777" w:rsidR="00CC25B5" w:rsidRDefault="00CC25B5">
            <w:pPr>
              <w:jc w:val="right"/>
              <w:rPr>
                <w:rFonts w:ascii="宋体"/>
              </w:rPr>
            </w:pPr>
          </w:p>
        </w:tc>
      </w:tr>
      <w:tr w:rsidR="00CC25B5" w14:paraId="442F6378" w14:textId="77777777">
        <w:trPr>
          <w:jc w:val="center"/>
        </w:trPr>
        <w:tc>
          <w:tcPr>
            <w:tcW w:w="0" w:type="auto"/>
            <w:gridSpan w:val="3"/>
            <w:shd w:val="clear" w:color="auto" w:fill="CCEEFF"/>
            <w:tcMar>
              <w:top w:w="40" w:type="dxa"/>
              <w:left w:w="605" w:type="dxa"/>
              <w:bottom w:w="40" w:type="dxa"/>
              <w:right w:w="20" w:type="dxa"/>
            </w:tcMar>
            <w:vAlign w:val="center"/>
          </w:tcPr>
          <w:p w14:paraId="442F636B" w14:textId="77777777" w:rsidR="00CC25B5" w:rsidRDefault="00900968">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442F636C"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36D" w14:textId="77777777" w:rsidR="00CC25B5" w:rsidRDefault="00900968">
            <w:pPr>
              <w:jc w:val="right"/>
              <w:textAlignment w:val="center"/>
            </w:pPr>
            <w:r>
              <w:rPr>
                <w:rFonts w:ascii="Times New Roman" w:eastAsia="宋体" w:hAnsi="Times New Roman"/>
                <w:color w:val="000000"/>
                <w:sz w:val="16"/>
                <w:szCs w:val="16"/>
              </w:rPr>
              <w:t>141,048 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36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6F"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370" w14:textId="77777777" w:rsidR="00CC25B5" w:rsidRDefault="00900968">
            <w:pPr>
              <w:jc w:val="right"/>
              <w:textAlignment w:val="center"/>
            </w:pPr>
            <w:r>
              <w:rPr>
                <w:rFonts w:ascii="Times New Roman" w:eastAsia="宋体" w:hAnsi="Times New Roman"/>
                <w:color w:val="000000"/>
                <w:sz w:val="16"/>
                <w:szCs w:val="16"/>
              </w:rPr>
              <w:t>137,742 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37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72"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373" w14:textId="77777777" w:rsidR="00CC25B5" w:rsidRDefault="00900968">
            <w:pPr>
              <w:jc w:val="right"/>
              <w:textAlignment w:val="center"/>
            </w:pPr>
            <w:r>
              <w:rPr>
                <w:rFonts w:ascii="Times New Roman" w:eastAsia="宋体" w:hAnsi="Times New Roman"/>
                <w:color w:val="000000"/>
                <w:sz w:val="16"/>
                <w:szCs w:val="16"/>
              </w:rPr>
              <w:t>279,358 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37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75"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376" w14:textId="77777777" w:rsidR="00CC25B5" w:rsidRDefault="00900968">
            <w:pPr>
              <w:jc w:val="right"/>
              <w:textAlignment w:val="center"/>
            </w:pPr>
            <w:r>
              <w:rPr>
                <w:rFonts w:ascii="Times New Roman" w:eastAsia="宋体" w:hAnsi="Times New Roman"/>
                <w:color w:val="000000"/>
                <w:sz w:val="16"/>
                <w:szCs w:val="16"/>
              </w:rPr>
              <w:t>272,364 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377" w14:textId="77777777" w:rsidR="00CC25B5" w:rsidRDefault="00CC25B5">
            <w:pPr>
              <w:jc w:val="right"/>
              <w:rPr>
                <w:rFonts w:ascii="宋体"/>
              </w:rPr>
            </w:pPr>
          </w:p>
        </w:tc>
      </w:tr>
      <w:tr w:rsidR="00CC25B5" w14:paraId="442F6382" w14:textId="77777777">
        <w:trPr>
          <w:jc w:val="center"/>
        </w:trPr>
        <w:tc>
          <w:tcPr>
            <w:tcW w:w="0" w:type="auto"/>
            <w:gridSpan w:val="3"/>
            <w:shd w:val="clear" w:color="auto" w:fill="FFFFFF"/>
            <w:tcMar>
              <w:top w:w="40" w:type="dxa"/>
              <w:left w:w="20" w:type="dxa"/>
              <w:bottom w:w="40" w:type="dxa"/>
              <w:right w:w="20" w:type="dxa"/>
            </w:tcMar>
            <w:vAlign w:val="center"/>
          </w:tcPr>
          <w:p w14:paraId="442F6379" w14:textId="77777777" w:rsidR="00CC25B5" w:rsidRDefault="00900968">
            <w:pPr>
              <w:textAlignment w:val="center"/>
            </w:pPr>
            <w:r>
              <w:rPr>
                <w:rFonts w:ascii="Times New Roman" w:eastAsia="宋体" w:hAnsi="Times New Roman"/>
                <w:b/>
                <w:bCs/>
                <w:color w:val="000000"/>
                <w:sz w:val="16"/>
                <w:szCs w:val="16"/>
              </w:rPr>
              <w:t>Costs and expenses:</w:t>
            </w:r>
          </w:p>
        </w:tc>
        <w:tc>
          <w:tcPr>
            <w:tcW w:w="0" w:type="auto"/>
            <w:gridSpan w:val="3"/>
            <w:shd w:val="clear" w:color="auto" w:fill="FFFFFF"/>
            <w:tcMar>
              <w:top w:w="0" w:type="dxa"/>
              <w:left w:w="20" w:type="dxa"/>
              <w:bottom w:w="0" w:type="dxa"/>
              <w:right w:w="20" w:type="dxa"/>
            </w:tcMar>
            <w:vAlign w:val="bottom"/>
          </w:tcPr>
          <w:p w14:paraId="442F637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7B"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7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7D"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7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7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8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81" w14:textId="77777777" w:rsidR="00CC25B5" w:rsidRDefault="00CC25B5">
            <w:pPr>
              <w:rPr>
                <w:rFonts w:ascii="宋体"/>
              </w:rPr>
            </w:pPr>
          </w:p>
        </w:tc>
      </w:tr>
      <w:tr w:rsidR="00CC25B5" w14:paraId="442F6390" w14:textId="77777777">
        <w:trPr>
          <w:jc w:val="center"/>
        </w:trPr>
        <w:tc>
          <w:tcPr>
            <w:tcW w:w="0" w:type="auto"/>
            <w:gridSpan w:val="3"/>
            <w:shd w:val="clear" w:color="auto" w:fill="CCEEFF"/>
            <w:tcMar>
              <w:top w:w="40" w:type="dxa"/>
              <w:left w:w="380" w:type="dxa"/>
              <w:bottom w:w="40" w:type="dxa"/>
              <w:right w:w="20" w:type="dxa"/>
            </w:tcMar>
            <w:vAlign w:val="center"/>
          </w:tcPr>
          <w:p w14:paraId="442F6383" w14:textId="77777777" w:rsidR="00CC25B5" w:rsidRDefault="00900968">
            <w:pPr>
              <w:textAlignment w:val="center"/>
            </w:pPr>
            <w:r>
              <w:rPr>
                <w:rFonts w:ascii="Times New Roman" w:eastAsia="宋体" w:hAnsi="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bottom"/>
          </w:tcPr>
          <w:p w14:paraId="442F638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85" w14:textId="77777777" w:rsidR="00CC25B5" w:rsidRDefault="00900968">
            <w:pPr>
              <w:jc w:val="right"/>
              <w:textAlignment w:val="center"/>
            </w:pPr>
            <w:r>
              <w:rPr>
                <w:rFonts w:ascii="Times New Roman" w:eastAsia="宋体" w:hAnsi="Times New Roman"/>
                <w:color w:val="000000"/>
                <w:sz w:val="16"/>
                <w:szCs w:val="16"/>
              </w:rPr>
              <w:t>105,183 </w:t>
            </w:r>
          </w:p>
        </w:tc>
        <w:tc>
          <w:tcPr>
            <w:tcW w:w="0" w:type="auto"/>
            <w:shd w:val="clear" w:color="auto" w:fill="CCEEFF"/>
            <w:tcMar>
              <w:top w:w="40" w:type="dxa"/>
              <w:left w:w="0" w:type="dxa"/>
              <w:bottom w:w="40" w:type="dxa"/>
              <w:right w:w="20" w:type="dxa"/>
            </w:tcMar>
            <w:vAlign w:val="center"/>
          </w:tcPr>
          <w:p w14:paraId="442F638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8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88" w14:textId="77777777" w:rsidR="00CC25B5" w:rsidRDefault="00900968">
            <w:pPr>
              <w:jc w:val="right"/>
              <w:textAlignment w:val="center"/>
            </w:pPr>
            <w:r>
              <w:rPr>
                <w:rFonts w:ascii="Times New Roman" w:eastAsia="宋体" w:hAnsi="Times New Roman"/>
                <w:color w:val="000000"/>
                <w:sz w:val="16"/>
                <w:szCs w:val="16"/>
              </w:rPr>
              <w:t>102,689 </w:t>
            </w:r>
          </w:p>
        </w:tc>
        <w:tc>
          <w:tcPr>
            <w:tcW w:w="0" w:type="auto"/>
            <w:shd w:val="clear" w:color="auto" w:fill="CCEEFF"/>
            <w:tcMar>
              <w:top w:w="40" w:type="dxa"/>
              <w:left w:w="0" w:type="dxa"/>
              <w:bottom w:w="40" w:type="dxa"/>
              <w:right w:w="20" w:type="dxa"/>
            </w:tcMar>
            <w:vAlign w:val="center"/>
          </w:tcPr>
          <w:p w14:paraId="442F638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8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38B" w14:textId="77777777" w:rsidR="00CC25B5" w:rsidRDefault="00900968">
            <w:pPr>
              <w:jc w:val="right"/>
              <w:textAlignment w:val="bottom"/>
            </w:pPr>
            <w:r>
              <w:rPr>
                <w:rFonts w:ascii="Times New Roman" w:eastAsia="宋体" w:hAnsi="Times New Roman"/>
                <w:color w:val="000000"/>
                <w:sz w:val="16"/>
                <w:szCs w:val="16"/>
              </w:rPr>
              <w:t>208,455 </w:t>
            </w:r>
          </w:p>
        </w:tc>
        <w:tc>
          <w:tcPr>
            <w:tcW w:w="0" w:type="auto"/>
            <w:shd w:val="clear" w:color="auto" w:fill="CCEEFF"/>
            <w:tcMar>
              <w:top w:w="40" w:type="dxa"/>
              <w:left w:w="0" w:type="dxa"/>
              <w:bottom w:w="40" w:type="dxa"/>
              <w:right w:w="20" w:type="dxa"/>
            </w:tcMar>
            <w:vAlign w:val="bottom"/>
          </w:tcPr>
          <w:p w14:paraId="442F638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8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38E" w14:textId="77777777" w:rsidR="00CC25B5" w:rsidRDefault="00900968">
            <w:pPr>
              <w:jc w:val="right"/>
              <w:textAlignment w:val="bottom"/>
            </w:pPr>
            <w:r>
              <w:rPr>
                <w:rFonts w:ascii="Times New Roman" w:eastAsia="宋体" w:hAnsi="Times New Roman"/>
                <w:color w:val="000000"/>
                <w:sz w:val="16"/>
                <w:szCs w:val="16"/>
              </w:rPr>
              <w:t>204,715 </w:t>
            </w:r>
          </w:p>
        </w:tc>
        <w:tc>
          <w:tcPr>
            <w:tcW w:w="0" w:type="auto"/>
            <w:shd w:val="clear" w:color="auto" w:fill="CCEEFF"/>
            <w:tcMar>
              <w:top w:w="40" w:type="dxa"/>
              <w:left w:w="0" w:type="dxa"/>
              <w:bottom w:w="40" w:type="dxa"/>
              <w:right w:w="20" w:type="dxa"/>
            </w:tcMar>
            <w:vAlign w:val="bottom"/>
          </w:tcPr>
          <w:p w14:paraId="442F638F" w14:textId="77777777" w:rsidR="00CC25B5" w:rsidRDefault="00CC25B5">
            <w:pPr>
              <w:jc w:val="right"/>
              <w:rPr>
                <w:rFonts w:ascii="宋体"/>
              </w:rPr>
            </w:pPr>
          </w:p>
        </w:tc>
      </w:tr>
      <w:tr w:rsidR="00CC25B5" w14:paraId="442F639E" w14:textId="77777777">
        <w:trPr>
          <w:jc w:val="center"/>
        </w:trPr>
        <w:tc>
          <w:tcPr>
            <w:tcW w:w="0" w:type="auto"/>
            <w:gridSpan w:val="3"/>
            <w:shd w:val="clear" w:color="auto" w:fill="FFFFFF"/>
            <w:tcMar>
              <w:top w:w="40" w:type="dxa"/>
              <w:left w:w="380" w:type="dxa"/>
              <w:bottom w:w="40" w:type="dxa"/>
              <w:right w:w="20" w:type="dxa"/>
            </w:tcMar>
            <w:vAlign w:val="center"/>
          </w:tcPr>
          <w:p w14:paraId="442F6391" w14:textId="77777777" w:rsidR="00CC25B5" w:rsidRDefault="00900968">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FFFFFF"/>
            <w:tcMar>
              <w:top w:w="0" w:type="dxa"/>
              <w:left w:w="20" w:type="dxa"/>
              <w:bottom w:w="0" w:type="dxa"/>
              <w:right w:w="20" w:type="dxa"/>
            </w:tcMar>
            <w:vAlign w:val="bottom"/>
          </w:tcPr>
          <w:p w14:paraId="442F639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93" w14:textId="77777777" w:rsidR="00CC25B5" w:rsidRDefault="00900968">
            <w:pPr>
              <w:jc w:val="right"/>
              <w:textAlignment w:val="center"/>
            </w:pPr>
            <w:r>
              <w:rPr>
                <w:rFonts w:ascii="Times New Roman" w:eastAsia="宋体" w:hAnsi="Times New Roman"/>
                <w:color w:val="000000"/>
                <w:sz w:val="16"/>
                <w:szCs w:val="16"/>
              </w:rPr>
              <w:t>28,511 </w:t>
            </w:r>
          </w:p>
        </w:tc>
        <w:tc>
          <w:tcPr>
            <w:tcW w:w="0" w:type="auto"/>
            <w:shd w:val="clear" w:color="auto" w:fill="FFFFFF"/>
            <w:tcMar>
              <w:top w:w="40" w:type="dxa"/>
              <w:left w:w="0" w:type="dxa"/>
              <w:bottom w:w="40" w:type="dxa"/>
              <w:right w:w="20" w:type="dxa"/>
            </w:tcMar>
            <w:vAlign w:val="center"/>
          </w:tcPr>
          <w:p w14:paraId="442F639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9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96" w14:textId="77777777" w:rsidR="00CC25B5" w:rsidRDefault="00900968">
            <w:pPr>
              <w:jc w:val="right"/>
              <w:textAlignment w:val="center"/>
            </w:pPr>
            <w:r>
              <w:rPr>
                <w:rFonts w:ascii="Times New Roman" w:eastAsia="宋体" w:hAnsi="Times New Roman"/>
                <w:color w:val="000000"/>
                <w:sz w:val="16"/>
                <w:szCs w:val="16"/>
              </w:rPr>
              <w:t>28,994 </w:t>
            </w:r>
          </w:p>
        </w:tc>
        <w:tc>
          <w:tcPr>
            <w:tcW w:w="0" w:type="auto"/>
            <w:shd w:val="clear" w:color="auto" w:fill="FFFFFF"/>
            <w:tcMar>
              <w:top w:w="40" w:type="dxa"/>
              <w:left w:w="0" w:type="dxa"/>
              <w:bottom w:w="40" w:type="dxa"/>
              <w:right w:w="20" w:type="dxa"/>
            </w:tcMar>
            <w:vAlign w:val="center"/>
          </w:tcPr>
          <w:p w14:paraId="442F639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9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6399" w14:textId="77777777" w:rsidR="00CC25B5" w:rsidRDefault="00900968">
            <w:pPr>
              <w:jc w:val="right"/>
              <w:textAlignment w:val="bottom"/>
            </w:pPr>
            <w:r>
              <w:rPr>
                <w:rFonts w:ascii="Times New Roman" w:eastAsia="宋体" w:hAnsi="Times New Roman"/>
                <w:color w:val="000000"/>
                <w:sz w:val="16"/>
                <w:szCs w:val="16"/>
              </w:rPr>
              <w:t>56,640 </w:t>
            </w:r>
          </w:p>
        </w:tc>
        <w:tc>
          <w:tcPr>
            <w:tcW w:w="0" w:type="auto"/>
            <w:shd w:val="clear" w:color="auto" w:fill="FFFFFF"/>
            <w:tcMar>
              <w:top w:w="40" w:type="dxa"/>
              <w:left w:w="0" w:type="dxa"/>
              <w:bottom w:w="40" w:type="dxa"/>
              <w:right w:w="20" w:type="dxa"/>
            </w:tcMar>
            <w:vAlign w:val="bottom"/>
          </w:tcPr>
          <w:p w14:paraId="442F639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9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639C" w14:textId="77777777" w:rsidR="00CC25B5" w:rsidRDefault="00900968">
            <w:pPr>
              <w:jc w:val="right"/>
              <w:textAlignment w:val="bottom"/>
            </w:pPr>
            <w:r>
              <w:rPr>
                <w:rFonts w:ascii="Times New Roman" w:eastAsia="宋体" w:hAnsi="Times New Roman"/>
                <w:color w:val="000000"/>
                <w:sz w:val="16"/>
                <w:szCs w:val="16"/>
              </w:rPr>
              <w:t>56,366 </w:t>
            </w:r>
          </w:p>
        </w:tc>
        <w:tc>
          <w:tcPr>
            <w:tcW w:w="0" w:type="auto"/>
            <w:shd w:val="clear" w:color="auto" w:fill="FFFFFF"/>
            <w:tcMar>
              <w:top w:w="40" w:type="dxa"/>
              <w:left w:w="0" w:type="dxa"/>
              <w:bottom w:w="40" w:type="dxa"/>
              <w:right w:w="20" w:type="dxa"/>
            </w:tcMar>
            <w:vAlign w:val="bottom"/>
          </w:tcPr>
          <w:p w14:paraId="442F639D" w14:textId="77777777" w:rsidR="00CC25B5" w:rsidRDefault="00CC25B5">
            <w:pPr>
              <w:jc w:val="right"/>
              <w:rPr>
                <w:rFonts w:ascii="宋体"/>
              </w:rPr>
            </w:pPr>
          </w:p>
        </w:tc>
      </w:tr>
      <w:tr w:rsidR="00CC25B5" w14:paraId="442F63AC" w14:textId="77777777">
        <w:trPr>
          <w:jc w:val="center"/>
        </w:trPr>
        <w:tc>
          <w:tcPr>
            <w:tcW w:w="0" w:type="auto"/>
            <w:gridSpan w:val="3"/>
            <w:shd w:val="clear" w:color="auto" w:fill="CCEEFF"/>
            <w:tcMar>
              <w:top w:w="40" w:type="dxa"/>
              <w:left w:w="20" w:type="dxa"/>
              <w:bottom w:w="40" w:type="dxa"/>
              <w:right w:w="20" w:type="dxa"/>
            </w:tcMar>
            <w:vAlign w:val="center"/>
          </w:tcPr>
          <w:p w14:paraId="442F639F" w14:textId="77777777" w:rsidR="00CC25B5" w:rsidRDefault="00900968">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42F63A0"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3A1" w14:textId="77777777" w:rsidR="00CC25B5" w:rsidRDefault="00900968">
            <w:pPr>
              <w:jc w:val="right"/>
              <w:textAlignment w:val="center"/>
            </w:pPr>
            <w:r>
              <w:rPr>
                <w:rFonts w:ascii="Times New Roman" w:eastAsia="宋体" w:hAnsi="Times New Roman"/>
                <w:color w:val="000000"/>
                <w:sz w:val="16"/>
                <w:szCs w:val="16"/>
              </w:rPr>
              <w:t>7,354 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3A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A3"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3A4" w14:textId="77777777" w:rsidR="00CC25B5" w:rsidRDefault="00900968">
            <w:pPr>
              <w:jc w:val="right"/>
              <w:textAlignment w:val="center"/>
            </w:pPr>
            <w:r>
              <w:rPr>
                <w:rFonts w:ascii="Times New Roman" w:eastAsia="宋体" w:hAnsi="Times New Roman"/>
                <w:color w:val="000000"/>
                <w:sz w:val="16"/>
                <w:szCs w:val="16"/>
              </w:rPr>
              <w:t>6,059 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3A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A6"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F63A7" w14:textId="77777777" w:rsidR="00CC25B5" w:rsidRDefault="00900968">
            <w:pPr>
              <w:jc w:val="right"/>
              <w:textAlignment w:val="bottom"/>
            </w:pPr>
            <w:r>
              <w:rPr>
                <w:rFonts w:ascii="Times New Roman" w:eastAsia="宋体" w:hAnsi="Times New Roman"/>
                <w:color w:val="000000"/>
                <w:sz w:val="16"/>
                <w:szCs w:val="16"/>
              </w:rPr>
              <w:t>14,263 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63A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A9"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F63AA" w14:textId="77777777" w:rsidR="00CC25B5" w:rsidRDefault="00900968">
            <w:pPr>
              <w:jc w:val="right"/>
              <w:textAlignment w:val="bottom"/>
            </w:pPr>
            <w:r>
              <w:rPr>
                <w:rFonts w:ascii="Times New Roman" w:eastAsia="宋体" w:hAnsi="Times New Roman"/>
                <w:color w:val="000000"/>
                <w:sz w:val="16"/>
                <w:szCs w:val="16"/>
              </w:rPr>
              <w:t>11,283 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63AB" w14:textId="77777777" w:rsidR="00CC25B5" w:rsidRDefault="00CC25B5">
            <w:pPr>
              <w:jc w:val="right"/>
              <w:rPr>
                <w:rFonts w:ascii="宋体"/>
              </w:rPr>
            </w:pPr>
          </w:p>
        </w:tc>
      </w:tr>
      <w:tr w:rsidR="00CC25B5" w14:paraId="442F63B6" w14:textId="77777777">
        <w:trPr>
          <w:jc w:val="center"/>
        </w:trPr>
        <w:tc>
          <w:tcPr>
            <w:tcW w:w="0" w:type="auto"/>
            <w:gridSpan w:val="3"/>
            <w:shd w:val="clear" w:color="auto" w:fill="FFFFFF"/>
            <w:tcMar>
              <w:top w:w="40" w:type="dxa"/>
              <w:left w:w="20" w:type="dxa"/>
              <w:bottom w:w="40" w:type="dxa"/>
              <w:right w:w="20" w:type="dxa"/>
            </w:tcMar>
            <w:vAlign w:val="center"/>
          </w:tcPr>
          <w:p w14:paraId="442F63AD" w14:textId="77777777" w:rsidR="00CC25B5" w:rsidRDefault="00900968">
            <w:pPr>
              <w:textAlignment w:val="center"/>
            </w:pPr>
            <w:r>
              <w:rPr>
                <w:rFonts w:ascii="Times New Roman" w:eastAsia="宋体" w:hAnsi="Times New Roman"/>
                <w:b/>
                <w:bCs/>
                <w:color w:val="000000"/>
                <w:sz w:val="16"/>
                <w:szCs w:val="16"/>
              </w:rPr>
              <w:t>Interest:</w:t>
            </w:r>
          </w:p>
        </w:tc>
        <w:tc>
          <w:tcPr>
            <w:tcW w:w="0" w:type="auto"/>
            <w:gridSpan w:val="3"/>
            <w:shd w:val="clear" w:color="auto" w:fill="FFFFFF"/>
            <w:tcMar>
              <w:top w:w="0" w:type="dxa"/>
              <w:left w:w="20" w:type="dxa"/>
              <w:bottom w:w="0" w:type="dxa"/>
              <w:right w:w="20" w:type="dxa"/>
            </w:tcMar>
            <w:vAlign w:val="bottom"/>
          </w:tcPr>
          <w:p w14:paraId="442F63A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A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B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B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B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B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B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3B5" w14:textId="77777777" w:rsidR="00CC25B5" w:rsidRDefault="00CC25B5">
            <w:pPr>
              <w:rPr>
                <w:rFonts w:ascii="宋体"/>
              </w:rPr>
            </w:pPr>
          </w:p>
        </w:tc>
      </w:tr>
      <w:tr w:rsidR="00CC25B5" w14:paraId="442F63C4" w14:textId="77777777">
        <w:trPr>
          <w:jc w:val="center"/>
        </w:trPr>
        <w:tc>
          <w:tcPr>
            <w:tcW w:w="0" w:type="auto"/>
            <w:gridSpan w:val="3"/>
            <w:shd w:val="clear" w:color="auto" w:fill="CCEEFF"/>
            <w:tcMar>
              <w:top w:w="40" w:type="dxa"/>
              <w:left w:w="380" w:type="dxa"/>
              <w:bottom w:w="40" w:type="dxa"/>
              <w:right w:w="20" w:type="dxa"/>
            </w:tcMar>
            <w:vAlign w:val="center"/>
          </w:tcPr>
          <w:p w14:paraId="442F63B7" w14:textId="77777777" w:rsidR="00CC25B5" w:rsidRDefault="00900968">
            <w:pPr>
              <w:textAlignment w:val="center"/>
            </w:pPr>
            <w:r>
              <w:rPr>
                <w:rFonts w:ascii="Times New Roman" w:eastAsia="宋体" w:hAnsi="Times New Roman"/>
                <w:color w:val="000000"/>
                <w:sz w:val="16"/>
                <w:szCs w:val="16"/>
              </w:rPr>
              <w:t>Debt</w:t>
            </w:r>
          </w:p>
        </w:tc>
        <w:tc>
          <w:tcPr>
            <w:tcW w:w="0" w:type="auto"/>
            <w:gridSpan w:val="3"/>
            <w:shd w:val="clear" w:color="auto" w:fill="CCEEFF"/>
            <w:tcMar>
              <w:top w:w="0" w:type="dxa"/>
              <w:left w:w="20" w:type="dxa"/>
              <w:bottom w:w="0" w:type="dxa"/>
              <w:right w:w="20" w:type="dxa"/>
            </w:tcMar>
            <w:vAlign w:val="bottom"/>
          </w:tcPr>
          <w:p w14:paraId="442F63B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B9" w14:textId="77777777" w:rsidR="00CC25B5" w:rsidRDefault="00900968">
            <w:pPr>
              <w:jc w:val="right"/>
              <w:textAlignment w:val="center"/>
            </w:pPr>
            <w:r>
              <w:rPr>
                <w:rFonts w:ascii="Times New Roman" w:eastAsia="宋体" w:hAnsi="Times New Roman"/>
                <w:color w:val="000000"/>
                <w:sz w:val="16"/>
                <w:szCs w:val="16"/>
              </w:rPr>
              <w:t>437 </w:t>
            </w:r>
          </w:p>
        </w:tc>
        <w:tc>
          <w:tcPr>
            <w:tcW w:w="0" w:type="auto"/>
            <w:shd w:val="clear" w:color="auto" w:fill="CCEEFF"/>
            <w:tcMar>
              <w:top w:w="40" w:type="dxa"/>
              <w:left w:w="0" w:type="dxa"/>
              <w:bottom w:w="40" w:type="dxa"/>
              <w:right w:w="20" w:type="dxa"/>
            </w:tcMar>
            <w:vAlign w:val="center"/>
          </w:tcPr>
          <w:p w14:paraId="442F63B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B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BC" w14:textId="77777777" w:rsidR="00CC25B5" w:rsidRDefault="00900968">
            <w:pPr>
              <w:jc w:val="right"/>
              <w:textAlignment w:val="center"/>
            </w:pPr>
            <w:r>
              <w:rPr>
                <w:rFonts w:ascii="Times New Roman" w:eastAsia="宋体" w:hAnsi="Times New Roman"/>
                <w:color w:val="000000"/>
                <w:sz w:val="16"/>
                <w:szCs w:val="16"/>
              </w:rPr>
              <w:t>577 </w:t>
            </w:r>
          </w:p>
        </w:tc>
        <w:tc>
          <w:tcPr>
            <w:tcW w:w="0" w:type="auto"/>
            <w:shd w:val="clear" w:color="auto" w:fill="CCEEFF"/>
            <w:tcMar>
              <w:top w:w="40" w:type="dxa"/>
              <w:left w:w="0" w:type="dxa"/>
              <w:bottom w:w="40" w:type="dxa"/>
              <w:right w:w="20" w:type="dxa"/>
            </w:tcMar>
            <w:vAlign w:val="center"/>
          </w:tcPr>
          <w:p w14:paraId="442F63B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B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3BF" w14:textId="77777777" w:rsidR="00CC25B5" w:rsidRDefault="00900968">
            <w:pPr>
              <w:jc w:val="right"/>
              <w:textAlignment w:val="bottom"/>
            </w:pPr>
            <w:r>
              <w:rPr>
                <w:rFonts w:ascii="Times New Roman" w:eastAsia="宋体" w:hAnsi="Times New Roman"/>
                <w:color w:val="000000"/>
                <w:sz w:val="16"/>
                <w:szCs w:val="16"/>
              </w:rPr>
              <w:t>918 </w:t>
            </w:r>
          </w:p>
        </w:tc>
        <w:tc>
          <w:tcPr>
            <w:tcW w:w="0" w:type="auto"/>
            <w:shd w:val="clear" w:color="auto" w:fill="CCEEFF"/>
            <w:tcMar>
              <w:top w:w="40" w:type="dxa"/>
              <w:left w:w="0" w:type="dxa"/>
              <w:bottom w:w="40" w:type="dxa"/>
              <w:right w:w="20" w:type="dxa"/>
            </w:tcMar>
            <w:vAlign w:val="bottom"/>
          </w:tcPr>
          <w:p w14:paraId="442F63C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C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3C2" w14:textId="77777777" w:rsidR="00CC25B5" w:rsidRDefault="00900968">
            <w:pPr>
              <w:jc w:val="right"/>
              <w:textAlignment w:val="bottom"/>
            </w:pPr>
            <w:r>
              <w:rPr>
                <w:rFonts w:ascii="Times New Roman" w:eastAsia="宋体" w:hAnsi="Times New Roman"/>
                <w:color w:val="000000"/>
                <w:sz w:val="16"/>
                <w:szCs w:val="16"/>
              </w:rPr>
              <w:t>1,087 </w:t>
            </w:r>
          </w:p>
        </w:tc>
        <w:tc>
          <w:tcPr>
            <w:tcW w:w="0" w:type="auto"/>
            <w:shd w:val="clear" w:color="auto" w:fill="CCEEFF"/>
            <w:tcMar>
              <w:top w:w="40" w:type="dxa"/>
              <w:left w:w="0" w:type="dxa"/>
              <w:bottom w:w="40" w:type="dxa"/>
              <w:right w:w="20" w:type="dxa"/>
            </w:tcMar>
            <w:vAlign w:val="bottom"/>
          </w:tcPr>
          <w:p w14:paraId="442F63C3" w14:textId="77777777" w:rsidR="00CC25B5" w:rsidRDefault="00CC25B5">
            <w:pPr>
              <w:jc w:val="right"/>
              <w:rPr>
                <w:rFonts w:ascii="宋体"/>
              </w:rPr>
            </w:pPr>
          </w:p>
        </w:tc>
      </w:tr>
      <w:tr w:rsidR="00CC25B5" w14:paraId="442F63D2" w14:textId="77777777">
        <w:trPr>
          <w:jc w:val="center"/>
        </w:trPr>
        <w:tc>
          <w:tcPr>
            <w:tcW w:w="0" w:type="auto"/>
            <w:gridSpan w:val="3"/>
            <w:shd w:val="clear" w:color="auto" w:fill="FFFFFF"/>
            <w:tcMar>
              <w:top w:w="40" w:type="dxa"/>
              <w:left w:w="380" w:type="dxa"/>
              <w:bottom w:w="40" w:type="dxa"/>
              <w:right w:w="20" w:type="dxa"/>
            </w:tcMar>
            <w:vAlign w:val="center"/>
          </w:tcPr>
          <w:p w14:paraId="442F63C5" w14:textId="77777777" w:rsidR="00CC25B5" w:rsidRDefault="00900968">
            <w:pPr>
              <w:textAlignment w:val="center"/>
            </w:pPr>
            <w:r>
              <w:rPr>
                <w:rFonts w:ascii="Times New Roman" w:eastAsia="宋体" w:hAnsi="Times New Roman"/>
                <w:color w:val="000000"/>
                <w:sz w:val="16"/>
                <w:szCs w:val="16"/>
              </w:rPr>
              <w:t>Finance lease</w:t>
            </w:r>
          </w:p>
        </w:tc>
        <w:tc>
          <w:tcPr>
            <w:tcW w:w="0" w:type="auto"/>
            <w:gridSpan w:val="3"/>
            <w:shd w:val="clear" w:color="auto" w:fill="FFFFFF"/>
            <w:tcMar>
              <w:top w:w="0" w:type="dxa"/>
              <w:left w:w="20" w:type="dxa"/>
              <w:bottom w:w="0" w:type="dxa"/>
              <w:right w:w="20" w:type="dxa"/>
            </w:tcMar>
            <w:vAlign w:val="bottom"/>
          </w:tcPr>
          <w:p w14:paraId="442F63C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C7" w14:textId="77777777" w:rsidR="00CC25B5" w:rsidRDefault="00900968">
            <w:pPr>
              <w:jc w:val="right"/>
              <w:textAlignment w:val="center"/>
            </w:pPr>
            <w:r>
              <w:rPr>
                <w:rFonts w:ascii="Times New Roman" w:eastAsia="宋体" w:hAnsi="Times New Roman"/>
                <w:color w:val="000000"/>
                <w:sz w:val="16"/>
                <w:szCs w:val="16"/>
              </w:rPr>
              <w:t>78 </w:t>
            </w:r>
          </w:p>
        </w:tc>
        <w:tc>
          <w:tcPr>
            <w:tcW w:w="0" w:type="auto"/>
            <w:shd w:val="clear" w:color="auto" w:fill="FFFFFF"/>
            <w:tcMar>
              <w:top w:w="40" w:type="dxa"/>
              <w:left w:w="0" w:type="dxa"/>
              <w:bottom w:w="40" w:type="dxa"/>
              <w:right w:w="20" w:type="dxa"/>
            </w:tcMar>
            <w:vAlign w:val="center"/>
          </w:tcPr>
          <w:p w14:paraId="442F63C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C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3CA" w14:textId="77777777" w:rsidR="00CC25B5" w:rsidRDefault="00900968">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442F63C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C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63CD" w14:textId="77777777" w:rsidR="00CC25B5" w:rsidRDefault="00900968">
            <w:pPr>
              <w:jc w:val="right"/>
              <w:textAlignment w:val="bottom"/>
            </w:pPr>
            <w:r>
              <w:rPr>
                <w:rFonts w:ascii="Times New Roman" w:eastAsia="宋体" w:hAnsi="Times New Roman"/>
                <w:color w:val="000000"/>
                <w:sz w:val="16"/>
                <w:szCs w:val="16"/>
              </w:rPr>
              <w:t>163 </w:t>
            </w:r>
          </w:p>
        </w:tc>
        <w:tc>
          <w:tcPr>
            <w:tcW w:w="0" w:type="auto"/>
            <w:shd w:val="clear" w:color="auto" w:fill="FFFFFF"/>
            <w:tcMar>
              <w:top w:w="40" w:type="dxa"/>
              <w:left w:w="0" w:type="dxa"/>
              <w:bottom w:w="40" w:type="dxa"/>
              <w:right w:w="20" w:type="dxa"/>
            </w:tcMar>
            <w:vAlign w:val="bottom"/>
          </w:tcPr>
          <w:p w14:paraId="442F63C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C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63D0" w14:textId="77777777" w:rsidR="00CC25B5" w:rsidRDefault="00900968">
            <w:pPr>
              <w:jc w:val="right"/>
              <w:textAlignment w:val="bottom"/>
            </w:pPr>
            <w:r>
              <w:rPr>
                <w:rFonts w:ascii="Times New Roman" w:eastAsia="宋体" w:hAnsi="Times New Roman"/>
                <w:color w:val="000000"/>
                <w:sz w:val="16"/>
                <w:szCs w:val="16"/>
              </w:rPr>
              <w:t>163 </w:t>
            </w:r>
          </w:p>
        </w:tc>
        <w:tc>
          <w:tcPr>
            <w:tcW w:w="0" w:type="auto"/>
            <w:shd w:val="clear" w:color="auto" w:fill="FFFFFF"/>
            <w:tcMar>
              <w:top w:w="40" w:type="dxa"/>
              <w:left w:w="0" w:type="dxa"/>
              <w:bottom w:w="40" w:type="dxa"/>
              <w:right w:w="20" w:type="dxa"/>
            </w:tcMar>
            <w:vAlign w:val="bottom"/>
          </w:tcPr>
          <w:p w14:paraId="442F63D1" w14:textId="77777777" w:rsidR="00CC25B5" w:rsidRDefault="00CC25B5">
            <w:pPr>
              <w:jc w:val="right"/>
              <w:rPr>
                <w:rFonts w:ascii="宋体"/>
              </w:rPr>
            </w:pPr>
          </w:p>
        </w:tc>
      </w:tr>
      <w:tr w:rsidR="00CC25B5" w14:paraId="442F63E0" w14:textId="77777777">
        <w:trPr>
          <w:jc w:val="center"/>
        </w:trPr>
        <w:tc>
          <w:tcPr>
            <w:tcW w:w="0" w:type="auto"/>
            <w:gridSpan w:val="3"/>
            <w:shd w:val="clear" w:color="auto" w:fill="CCEEFF"/>
            <w:tcMar>
              <w:top w:w="40" w:type="dxa"/>
              <w:left w:w="380" w:type="dxa"/>
              <w:bottom w:w="40" w:type="dxa"/>
              <w:right w:w="20" w:type="dxa"/>
            </w:tcMar>
            <w:vAlign w:val="center"/>
          </w:tcPr>
          <w:p w14:paraId="442F63D3" w14:textId="77777777" w:rsidR="00CC25B5" w:rsidRDefault="00900968">
            <w:pPr>
              <w:textAlignment w:val="center"/>
            </w:pPr>
            <w:r>
              <w:rPr>
                <w:rFonts w:ascii="Times New Roman" w:eastAsia="宋体" w:hAnsi="Times New Roman"/>
                <w:color w:val="000000"/>
                <w:sz w:val="16"/>
                <w:szCs w:val="16"/>
              </w:rPr>
              <w:t>Interest income</w:t>
            </w:r>
          </w:p>
        </w:tc>
        <w:tc>
          <w:tcPr>
            <w:tcW w:w="0" w:type="auto"/>
            <w:gridSpan w:val="3"/>
            <w:shd w:val="clear" w:color="auto" w:fill="CCEEFF"/>
            <w:tcMar>
              <w:top w:w="0" w:type="dxa"/>
              <w:left w:w="20" w:type="dxa"/>
              <w:bottom w:w="0" w:type="dxa"/>
              <w:right w:w="20" w:type="dxa"/>
            </w:tcMar>
            <w:vAlign w:val="bottom"/>
          </w:tcPr>
          <w:p w14:paraId="442F63D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D5" w14:textId="77777777" w:rsidR="00CC25B5" w:rsidRDefault="00900968">
            <w:pPr>
              <w:jc w:val="right"/>
              <w:textAlignment w:val="center"/>
            </w:pPr>
            <w:r>
              <w:rPr>
                <w:rFonts w:ascii="Times New Roman" w:eastAsia="宋体" w:hAnsi="Times New Roman"/>
                <w:color w:val="000000"/>
                <w:sz w:val="16"/>
                <w:szCs w:val="16"/>
              </w:rPr>
              <w:t>(37)</w:t>
            </w:r>
          </w:p>
        </w:tc>
        <w:tc>
          <w:tcPr>
            <w:tcW w:w="0" w:type="auto"/>
            <w:shd w:val="clear" w:color="auto" w:fill="CCEEFF"/>
            <w:tcMar>
              <w:top w:w="40" w:type="dxa"/>
              <w:left w:w="0" w:type="dxa"/>
              <w:bottom w:w="40" w:type="dxa"/>
              <w:right w:w="20" w:type="dxa"/>
            </w:tcMar>
            <w:vAlign w:val="center"/>
          </w:tcPr>
          <w:p w14:paraId="442F63D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D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D8" w14:textId="77777777" w:rsidR="00CC25B5" w:rsidRDefault="00900968">
            <w:pPr>
              <w:jc w:val="right"/>
              <w:textAlignment w:val="center"/>
            </w:pPr>
            <w:r>
              <w:rPr>
                <w:rFonts w:ascii="Times New Roman" w:eastAsia="宋体" w:hAnsi="Times New Roman"/>
                <w:color w:val="000000"/>
                <w:sz w:val="16"/>
                <w:szCs w:val="16"/>
              </w:rPr>
              <w:t>(23)</w:t>
            </w:r>
          </w:p>
        </w:tc>
        <w:tc>
          <w:tcPr>
            <w:tcW w:w="0" w:type="auto"/>
            <w:shd w:val="clear" w:color="auto" w:fill="CCEEFF"/>
            <w:tcMar>
              <w:top w:w="40" w:type="dxa"/>
              <w:left w:w="0" w:type="dxa"/>
              <w:bottom w:w="40" w:type="dxa"/>
              <w:right w:w="20" w:type="dxa"/>
            </w:tcMar>
            <w:vAlign w:val="center"/>
          </w:tcPr>
          <w:p w14:paraId="442F63D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D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3DB" w14:textId="77777777" w:rsidR="00CC25B5" w:rsidRDefault="00900968">
            <w:pPr>
              <w:jc w:val="right"/>
              <w:textAlignment w:val="bottom"/>
            </w:pPr>
            <w:r>
              <w:rPr>
                <w:rFonts w:ascii="Times New Roman" w:eastAsia="宋体" w:hAnsi="Times New Roman"/>
                <w:color w:val="000000"/>
                <w:sz w:val="16"/>
                <w:szCs w:val="16"/>
              </w:rPr>
              <w:t>(67)</w:t>
            </w:r>
          </w:p>
        </w:tc>
        <w:tc>
          <w:tcPr>
            <w:tcW w:w="0" w:type="auto"/>
            <w:shd w:val="clear" w:color="auto" w:fill="CCEEFF"/>
            <w:tcMar>
              <w:top w:w="40" w:type="dxa"/>
              <w:left w:w="0" w:type="dxa"/>
              <w:bottom w:w="40" w:type="dxa"/>
              <w:right w:w="20" w:type="dxa"/>
            </w:tcMar>
            <w:vAlign w:val="bottom"/>
          </w:tcPr>
          <w:p w14:paraId="442F63D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D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3DE" w14:textId="77777777" w:rsidR="00CC25B5" w:rsidRDefault="00900968">
            <w:pPr>
              <w:jc w:val="right"/>
              <w:textAlignment w:val="bottom"/>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bottom"/>
          </w:tcPr>
          <w:p w14:paraId="442F63DF" w14:textId="77777777" w:rsidR="00CC25B5" w:rsidRDefault="00CC25B5">
            <w:pPr>
              <w:jc w:val="right"/>
              <w:rPr>
                <w:rFonts w:ascii="宋体"/>
              </w:rPr>
            </w:pPr>
          </w:p>
        </w:tc>
      </w:tr>
      <w:tr w:rsidR="00CC25B5" w14:paraId="442F63EE" w14:textId="77777777">
        <w:trPr>
          <w:jc w:val="center"/>
        </w:trPr>
        <w:tc>
          <w:tcPr>
            <w:tcW w:w="0" w:type="auto"/>
            <w:gridSpan w:val="3"/>
            <w:shd w:val="clear" w:color="auto" w:fill="FFFFFF"/>
            <w:tcMar>
              <w:top w:w="40" w:type="dxa"/>
              <w:left w:w="605" w:type="dxa"/>
              <w:bottom w:w="40" w:type="dxa"/>
              <w:right w:w="20" w:type="dxa"/>
            </w:tcMar>
            <w:vAlign w:val="center"/>
          </w:tcPr>
          <w:p w14:paraId="442F63E1" w14:textId="77777777" w:rsidR="00CC25B5" w:rsidRDefault="00900968">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442F63E2"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3E3" w14:textId="77777777" w:rsidR="00CC25B5" w:rsidRDefault="00900968">
            <w:pPr>
              <w:jc w:val="right"/>
              <w:textAlignment w:val="center"/>
            </w:pPr>
            <w:r>
              <w:rPr>
                <w:rFonts w:ascii="Times New Roman" w:eastAsia="宋体" w:hAnsi="Times New Roman"/>
                <w:color w:val="000000"/>
                <w:sz w:val="16"/>
                <w:szCs w:val="16"/>
              </w:rPr>
              <w:t>478 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3E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E5"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3E6" w14:textId="77777777" w:rsidR="00CC25B5" w:rsidRDefault="00900968">
            <w:pPr>
              <w:jc w:val="right"/>
              <w:textAlignment w:val="center"/>
            </w:pPr>
            <w:r>
              <w:rPr>
                <w:rFonts w:ascii="Times New Roman" w:eastAsia="宋体" w:hAnsi="Times New Roman"/>
                <w:color w:val="000000"/>
                <w:sz w:val="16"/>
                <w:szCs w:val="16"/>
              </w:rPr>
              <w:t>635 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3E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E8"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3E9" w14:textId="77777777" w:rsidR="00CC25B5" w:rsidRDefault="00900968">
            <w:pPr>
              <w:jc w:val="right"/>
              <w:textAlignment w:val="center"/>
            </w:pPr>
            <w:r>
              <w:rPr>
                <w:rFonts w:ascii="Times New Roman" w:eastAsia="宋体" w:hAnsi="Times New Roman"/>
                <w:color w:val="000000"/>
                <w:sz w:val="16"/>
                <w:szCs w:val="16"/>
              </w:rPr>
              <w:t>1,014 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3E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3EB"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3EC" w14:textId="77777777" w:rsidR="00CC25B5" w:rsidRDefault="00900968">
            <w:pPr>
              <w:jc w:val="right"/>
              <w:textAlignment w:val="center"/>
            </w:pPr>
            <w:r>
              <w:rPr>
                <w:rFonts w:ascii="Times New Roman" w:eastAsia="宋体" w:hAnsi="Times New Roman"/>
                <w:color w:val="000000"/>
                <w:sz w:val="16"/>
                <w:szCs w:val="16"/>
              </w:rPr>
              <w:t>1,184 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3ED" w14:textId="77777777" w:rsidR="00CC25B5" w:rsidRDefault="00CC25B5">
            <w:pPr>
              <w:jc w:val="right"/>
              <w:rPr>
                <w:rFonts w:ascii="宋体"/>
              </w:rPr>
            </w:pPr>
          </w:p>
        </w:tc>
      </w:tr>
      <w:tr w:rsidR="00CC25B5" w14:paraId="442F63F8" w14:textId="77777777">
        <w:trPr>
          <w:jc w:val="center"/>
          <w:hidden/>
        </w:trPr>
        <w:tc>
          <w:tcPr>
            <w:tcW w:w="0" w:type="auto"/>
            <w:gridSpan w:val="3"/>
            <w:shd w:val="clear" w:color="auto" w:fill="auto"/>
            <w:vAlign w:val="bottom"/>
          </w:tcPr>
          <w:p w14:paraId="442F63EF" w14:textId="77777777" w:rsidR="00CC25B5" w:rsidRDefault="00CC25B5">
            <w:pPr>
              <w:rPr>
                <w:rFonts w:ascii="宋体"/>
                <w:vanish/>
              </w:rPr>
            </w:pPr>
          </w:p>
        </w:tc>
        <w:tc>
          <w:tcPr>
            <w:tcW w:w="0" w:type="auto"/>
            <w:gridSpan w:val="3"/>
            <w:shd w:val="clear" w:color="auto" w:fill="auto"/>
            <w:vAlign w:val="bottom"/>
          </w:tcPr>
          <w:p w14:paraId="442F63F0" w14:textId="77777777" w:rsidR="00CC25B5" w:rsidRDefault="00CC25B5">
            <w:pPr>
              <w:rPr>
                <w:rFonts w:ascii="宋体"/>
                <w:vanish/>
              </w:rPr>
            </w:pPr>
          </w:p>
        </w:tc>
        <w:tc>
          <w:tcPr>
            <w:tcW w:w="0" w:type="auto"/>
            <w:gridSpan w:val="3"/>
            <w:shd w:val="clear" w:color="auto" w:fill="auto"/>
            <w:vAlign w:val="bottom"/>
          </w:tcPr>
          <w:p w14:paraId="442F63F1" w14:textId="77777777" w:rsidR="00CC25B5" w:rsidRDefault="00CC25B5">
            <w:pPr>
              <w:rPr>
                <w:rFonts w:ascii="宋体"/>
                <w:vanish/>
              </w:rPr>
            </w:pPr>
          </w:p>
        </w:tc>
        <w:tc>
          <w:tcPr>
            <w:tcW w:w="0" w:type="auto"/>
            <w:gridSpan w:val="3"/>
            <w:shd w:val="clear" w:color="auto" w:fill="auto"/>
            <w:vAlign w:val="bottom"/>
          </w:tcPr>
          <w:p w14:paraId="442F63F2" w14:textId="77777777" w:rsidR="00CC25B5" w:rsidRDefault="00CC25B5">
            <w:pPr>
              <w:rPr>
                <w:rFonts w:ascii="宋体"/>
                <w:vanish/>
              </w:rPr>
            </w:pPr>
          </w:p>
        </w:tc>
        <w:tc>
          <w:tcPr>
            <w:tcW w:w="0" w:type="auto"/>
            <w:gridSpan w:val="3"/>
            <w:shd w:val="clear" w:color="auto" w:fill="auto"/>
            <w:vAlign w:val="bottom"/>
          </w:tcPr>
          <w:p w14:paraId="442F63F3" w14:textId="77777777" w:rsidR="00CC25B5" w:rsidRDefault="00CC25B5">
            <w:pPr>
              <w:rPr>
                <w:rFonts w:ascii="宋体"/>
                <w:vanish/>
              </w:rPr>
            </w:pPr>
          </w:p>
        </w:tc>
        <w:tc>
          <w:tcPr>
            <w:tcW w:w="0" w:type="auto"/>
            <w:gridSpan w:val="3"/>
            <w:shd w:val="clear" w:color="auto" w:fill="auto"/>
            <w:vAlign w:val="bottom"/>
          </w:tcPr>
          <w:p w14:paraId="442F63F4" w14:textId="77777777" w:rsidR="00CC25B5" w:rsidRDefault="00CC25B5">
            <w:pPr>
              <w:rPr>
                <w:rFonts w:ascii="宋体"/>
                <w:vanish/>
              </w:rPr>
            </w:pPr>
          </w:p>
        </w:tc>
        <w:tc>
          <w:tcPr>
            <w:tcW w:w="0" w:type="auto"/>
            <w:gridSpan w:val="3"/>
            <w:shd w:val="clear" w:color="auto" w:fill="auto"/>
            <w:vAlign w:val="bottom"/>
          </w:tcPr>
          <w:p w14:paraId="442F63F5" w14:textId="77777777" w:rsidR="00CC25B5" w:rsidRDefault="00CC25B5">
            <w:pPr>
              <w:rPr>
                <w:rFonts w:ascii="宋体"/>
                <w:vanish/>
              </w:rPr>
            </w:pPr>
          </w:p>
        </w:tc>
        <w:tc>
          <w:tcPr>
            <w:tcW w:w="0" w:type="auto"/>
            <w:gridSpan w:val="3"/>
            <w:shd w:val="clear" w:color="auto" w:fill="auto"/>
            <w:vAlign w:val="bottom"/>
          </w:tcPr>
          <w:p w14:paraId="442F63F6" w14:textId="77777777" w:rsidR="00CC25B5" w:rsidRDefault="00CC25B5">
            <w:pPr>
              <w:rPr>
                <w:rFonts w:ascii="宋体"/>
                <w:vanish/>
              </w:rPr>
            </w:pPr>
          </w:p>
        </w:tc>
        <w:tc>
          <w:tcPr>
            <w:tcW w:w="0" w:type="auto"/>
            <w:gridSpan w:val="3"/>
            <w:shd w:val="clear" w:color="auto" w:fill="auto"/>
            <w:vAlign w:val="bottom"/>
          </w:tcPr>
          <w:p w14:paraId="442F63F7" w14:textId="77777777" w:rsidR="00CC25B5" w:rsidRDefault="00CC25B5">
            <w:pPr>
              <w:rPr>
                <w:rFonts w:ascii="宋体"/>
                <w:vanish/>
              </w:rPr>
            </w:pPr>
          </w:p>
        </w:tc>
      </w:tr>
      <w:tr w:rsidR="00CC25B5" w14:paraId="442F6406" w14:textId="77777777">
        <w:trPr>
          <w:jc w:val="center"/>
        </w:trPr>
        <w:tc>
          <w:tcPr>
            <w:tcW w:w="0" w:type="auto"/>
            <w:gridSpan w:val="3"/>
            <w:shd w:val="clear" w:color="auto" w:fill="CCEEFF"/>
            <w:tcMar>
              <w:top w:w="40" w:type="dxa"/>
              <w:left w:w="20" w:type="dxa"/>
              <w:bottom w:w="40" w:type="dxa"/>
              <w:right w:w="20" w:type="dxa"/>
            </w:tcMar>
            <w:vAlign w:val="center"/>
          </w:tcPr>
          <w:p w14:paraId="442F63F9" w14:textId="77777777" w:rsidR="00CC25B5" w:rsidRDefault="00900968">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442F63F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FB" w14:textId="77777777" w:rsidR="00CC25B5" w:rsidRDefault="00900968">
            <w:pPr>
              <w:jc w:val="right"/>
              <w:textAlignment w:val="center"/>
            </w:pPr>
            <w:r>
              <w:rPr>
                <w:rFonts w:ascii="Times New Roman" w:eastAsia="宋体" w:hAnsi="Times New Roman"/>
                <w:color w:val="000000"/>
                <w:sz w:val="16"/>
                <w:szCs w:val="16"/>
              </w:rPr>
              <w:t>953 </w:t>
            </w:r>
          </w:p>
        </w:tc>
        <w:tc>
          <w:tcPr>
            <w:tcW w:w="0" w:type="auto"/>
            <w:shd w:val="clear" w:color="auto" w:fill="CCEEFF"/>
            <w:tcMar>
              <w:top w:w="40" w:type="dxa"/>
              <w:left w:w="0" w:type="dxa"/>
              <w:bottom w:w="40" w:type="dxa"/>
              <w:right w:w="20" w:type="dxa"/>
            </w:tcMar>
            <w:vAlign w:val="center"/>
          </w:tcPr>
          <w:p w14:paraId="442F63F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3F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3FE" w14:textId="77777777" w:rsidR="00CC25B5" w:rsidRDefault="00900968">
            <w:pPr>
              <w:jc w:val="right"/>
              <w:textAlignment w:val="center"/>
            </w:pPr>
            <w:r>
              <w:rPr>
                <w:rFonts w:ascii="Times New Roman" w:eastAsia="宋体" w:hAnsi="Times New Roman"/>
                <w:color w:val="000000"/>
                <w:sz w:val="16"/>
                <w:szCs w:val="16"/>
              </w:rPr>
              <w:t>(3,222)</w:t>
            </w:r>
          </w:p>
        </w:tc>
        <w:tc>
          <w:tcPr>
            <w:tcW w:w="0" w:type="auto"/>
            <w:shd w:val="clear" w:color="auto" w:fill="CCEEFF"/>
            <w:tcMar>
              <w:top w:w="40" w:type="dxa"/>
              <w:left w:w="0" w:type="dxa"/>
              <w:bottom w:w="40" w:type="dxa"/>
              <w:right w:w="20" w:type="dxa"/>
            </w:tcMar>
            <w:vAlign w:val="center"/>
          </w:tcPr>
          <w:p w14:paraId="442F63F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0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401" w14:textId="77777777" w:rsidR="00CC25B5" w:rsidRDefault="00900968">
            <w:pPr>
              <w:jc w:val="right"/>
              <w:textAlignment w:val="bottom"/>
            </w:pPr>
            <w:r>
              <w:rPr>
                <w:rFonts w:ascii="Times New Roman" w:eastAsia="宋体" w:hAnsi="Times New Roman"/>
                <w:color w:val="000000"/>
                <w:sz w:val="16"/>
                <w:szCs w:val="16"/>
              </w:rPr>
              <w:t>3,482 </w:t>
            </w:r>
          </w:p>
        </w:tc>
        <w:tc>
          <w:tcPr>
            <w:tcW w:w="0" w:type="auto"/>
            <w:shd w:val="clear" w:color="auto" w:fill="CCEEFF"/>
            <w:tcMar>
              <w:top w:w="40" w:type="dxa"/>
              <w:left w:w="0" w:type="dxa"/>
              <w:bottom w:w="40" w:type="dxa"/>
              <w:right w:w="20" w:type="dxa"/>
            </w:tcMar>
            <w:vAlign w:val="bottom"/>
          </w:tcPr>
          <w:p w14:paraId="442F640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0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404" w14:textId="77777777" w:rsidR="00CC25B5" w:rsidRDefault="00900968">
            <w:pPr>
              <w:jc w:val="right"/>
              <w:textAlignment w:val="bottom"/>
            </w:pPr>
            <w:r>
              <w:rPr>
                <w:rFonts w:ascii="Times New Roman" w:eastAsia="宋体" w:hAnsi="Times New Roman"/>
                <w:color w:val="000000"/>
                <w:sz w:val="16"/>
                <w:szCs w:val="16"/>
              </w:rPr>
              <w:t>(3,943)</w:t>
            </w:r>
          </w:p>
        </w:tc>
        <w:tc>
          <w:tcPr>
            <w:tcW w:w="0" w:type="auto"/>
            <w:shd w:val="clear" w:color="auto" w:fill="CCEEFF"/>
            <w:tcMar>
              <w:top w:w="40" w:type="dxa"/>
              <w:left w:w="0" w:type="dxa"/>
              <w:bottom w:w="40" w:type="dxa"/>
              <w:right w:w="20" w:type="dxa"/>
            </w:tcMar>
            <w:vAlign w:val="bottom"/>
          </w:tcPr>
          <w:p w14:paraId="442F6405" w14:textId="77777777" w:rsidR="00CC25B5" w:rsidRDefault="00CC25B5">
            <w:pPr>
              <w:jc w:val="right"/>
              <w:rPr>
                <w:rFonts w:ascii="宋体"/>
              </w:rPr>
            </w:pPr>
          </w:p>
        </w:tc>
      </w:tr>
      <w:tr w:rsidR="00CC25B5" w14:paraId="442F6414" w14:textId="77777777">
        <w:trPr>
          <w:jc w:val="center"/>
        </w:trPr>
        <w:tc>
          <w:tcPr>
            <w:tcW w:w="0" w:type="auto"/>
            <w:gridSpan w:val="3"/>
            <w:shd w:val="clear" w:color="auto" w:fill="FFFFFF"/>
            <w:tcMar>
              <w:top w:w="40" w:type="dxa"/>
              <w:left w:w="20" w:type="dxa"/>
              <w:bottom w:w="40" w:type="dxa"/>
              <w:right w:w="20" w:type="dxa"/>
            </w:tcMar>
            <w:vAlign w:val="center"/>
          </w:tcPr>
          <w:p w14:paraId="442F6407" w14:textId="77777777" w:rsidR="00CC25B5" w:rsidRDefault="00900968">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vAlign w:val="bottom"/>
          </w:tcPr>
          <w:p w14:paraId="442F6408"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409" w14:textId="77777777" w:rsidR="00CC25B5" w:rsidRDefault="00900968">
            <w:pPr>
              <w:jc w:val="right"/>
              <w:textAlignment w:val="center"/>
            </w:pPr>
            <w:r>
              <w:rPr>
                <w:rFonts w:ascii="Times New Roman" w:eastAsia="宋体" w:hAnsi="Times New Roman"/>
                <w:color w:val="000000"/>
                <w:sz w:val="16"/>
                <w:szCs w:val="16"/>
              </w:rPr>
              <w:t>5,923 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0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0B"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40C" w14:textId="77777777" w:rsidR="00CC25B5" w:rsidRDefault="00900968">
            <w:pPr>
              <w:jc w:val="right"/>
              <w:textAlignment w:val="center"/>
            </w:pPr>
            <w:r>
              <w:rPr>
                <w:rFonts w:ascii="Times New Roman" w:eastAsia="宋体" w:hAnsi="Times New Roman"/>
                <w:color w:val="000000"/>
                <w:sz w:val="16"/>
                <w:szCs w:val="16"/>
              </w:rPr>
              <w:t>8,646 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0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0E"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F640F" w14:textId="77777777" w:rsidR="00CC25B5" w:rsidRDefault="00900968">
            <w:pPr>
              <w:jc w:val="right"/>
              <w:textAlignment w:val="bottom"/>
            </w:pPr>
            <w:r>
              <w:rPr>
                <w:rFonts w:ascii="Times New Roman" w:eastAsia="宋体" w:hAnsi="Times New Roman"/>
                <w:color w:val="000000"/>
                <w:sz w:val="16"/>
                <w:szCs w:val="16"/>
              </w:rPr>
              <w:t>9,767 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F641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11"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F6412" w14:textId="77777777" w:rsidR="00CC25B5" w:rsidRDefault="00900968">
            <w:pPr>
              <w:jc w:val="right"/>
              <w:textAlignment w:val="bottom"/>
            </w:pPr>
            <w:r>
              <w:rPr>
                <w:rFonts w:ascii="Times New Roman" w:eastAsia="宋体" w:hAnsi="Times New Roman"/>
                <w:color w:val="000000"/>
                <w:sz w:val="16"/>
                <w:szCs w:val="16"/>
              </w:rPr>
              <w:t>14,042 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F6413" w14:textId="77777777" w:rsidR="00CC25B5" w:rsidRDefault="00CC25B5">
            <w:pPr>
              <w:jc w:val="right"/>
              <w:rPr>
                <w:rFonts w:ascii="宋体"/>
              </w:rPr>
            </w:pPr>
          </w:p>
        </w:tc>
      </w:tr>
      <w:tr w:rsidR="00CC25B5" w14:paraId="442F6422" w14:textId="77777777">
        <w:trPr>
          <w:jc w:val="center"/>
        </w:trPr>
        <w:tc>
          <w:tcPr>
            <w:tcW w:w="0" w:type="auto"/>
            <w:gridSpan w:val="3"/>
            <w:shd w:val="clear" w:color="auto" w:fill="CCEEFF"/>
            <w:tcMar>
              <w:top w:w="40" w:type="dxa"/>
              <w:left w:w="20" w:type="dxa"/>
              <w:bottom w:w="40" w:type="dxa"/>
              <w:right w:w="20" w:type="dxa"/>
            </w:tcMar>
            <w:vAlign w:val="center"/>
          </w:tcPr>
          <w:p w14:paraId="442F6415" w14:textId="77777777" w:rsidR="00CC25B5" w:rsidRDefault="00900968">
            <w:pPr>
              <w:textAlignment w:val="center"/>
            </w:pPr>
            <w:r>
              <w:rPr>
                <w:rFonts w:ascii="Times New Roman" w:eastAsia="宋体" w:hAnsi="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vAlign w:val="bottom"/>
          </w:tcPr>
          <w:p w14:paraId="442F641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417" w14:textId="77777777" w:rsidR="00CC25B5" w:rsidRDefault="00900968">
            <w:pPr>
              <w:jc w:val="right"/>
              <w:textAlignment w:val="center"/>
            </w:pPr>
            <w:r>
              <w:rPr>
                <w:rFonts w:ascii="Times New Roman" w:eastAsia="宋体" w:hAnsi="Times New Roman"/>
                <w:color w:val="000000"/>
                <w:sz w:val="16"/>
                <w:szCs w:val="16"/>
              </w:rPr>
              <w:t>1,559 </w:t>
            </w:r>
          </w:p>
        </w:tc>
        <w:tc>
          <w:tcPr>
            <w:tcW w:w="0" w:type="auto"/>
            <w:shd w:val="clear" w:color="auto" w:fill="CCEEFF"/>
            <w:tcMar>
              <w:top w:w="40" w:type="dxa"/>
              <w:left w:w="0" w:type="dxa"/>
              <w:bottom w:w="40" w:type="dxa"/>
              <w:right w:w="20" w:type="dxa"/>
            </w:tcMar>
            <w:vAlign w:val="center"/>
          </w:tcPr>
          <w:p w14:paraId="442F641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1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41A" w14:textId="77777777" w:rsidR="00CC25B5" w:rsidRDefault="00900968">
            <w:pPr>
              <w:jc w:val="right"/>
              <w:textAlignment w:val="center"/>
            </w:pPr>
            <w:r>
              <w:rPr>
                <w:rFonts w:ascii="Times New Roman" w:eastAsia="宋体" w:hAnsi="Times New Roman"/>
                <w:color w:val="000000"/>
                <w:sz w:val="16"/>
                <w:szCs w:val="16"/>
              </w:rPr>
              <w:t>2,207 </w:t>
            </w:r>
          </w:p>
        </w:tc>
        <w:tc>
          <w:tcPr>
            <w:tcW w:w="0" w:type="auto"/>
            <w:shd w:val="clear" w:color="auto" w:fill="CCEEFF"/>
            <w:tcMar>
              <w:top w:w="40" w:type="dxa"/>
              <w:left w:w="0" w:type="dxa"/>
              <w:bottom w:w="40" w:type="dxa"/>
              <w:right w:w="20" w:type="dxa"/>
            </w:tcMar>
            <w:vAlign w:val="center"/>
          </w:tcPr>
          <w:p w14:paraId="442F641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1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41D" w14:textId="77777777" w:rsidR="00CC25B5" w:rsidRDefault="00900968">
            <w:pPr>
              <w:jc w:val="right"/>
              <w:textAlignment w:val="bottom"/>
            </w:pPr>
            <w:r>
              <w:rPr>
                <w:rFonts w:ascii="Times New Roman" w:eastAsia="宋体" w:hAnsi="Times New Roman"/>
                <w:color w:val="000000"/>
                <w:sz w:val="16"/>
                <w:szCs w:val="16"/>
              </w:rPr>
              <w:t>2,592 </w:t>
            </w:r>
          </w:p>
        </w:tc>
        <w:tc>
          <w:tcPr>
            <w:tcW w:w="0" w:type="auto"/>
            <w:shd w:val="clear" w:color="auto" w:fill="CCEEFF"/>
            <w:tcMar>
              <w:top w:w="40" w:type="dxa"/>
              <w:left w:w="0" w:type="dxa"/>
              <w:bottom w:w="40" w:type="dxa"/>
              <w:right w:w="20" w:type="dxa"/>
            </w:tcMar>
            <w:vAlign w:val="bottom"/>
          </w:tcPr>
          <w:p w14:paraId="442F641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1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420" w14:textId="77777777" w:rsidR="00CC25B5" w:rsidRDefault="00900968">
            <w:pPr>
              <w:jc w:val="right"/>
              <w:textAlignment w:val="bottom"/>
            </w:pPr>
            <w:r>
              <w:rPr>
                <w:rFonts w:ascii="Times New Roman" w:eastAsia="宋体" w:hAnsi="Times New Roman"/>
                <w:color w:val="000000"/>
                <w:sz w:val="16"/>
                <w:szCs w:val="16"/>
              </w:rPr>
              <w:t>3,529 </w:t>
            </w:r>
          </w:p>
        </w:tc>
        <w:tc>
          <w:tcPr>
            <w:tcW w:w="0" w:type="auto"/>
            <w:shd w:val="clear" w:color="auto" w:fill="CCEEFF"/>
            <w:tcMar>
              <w:top w:w="40" w:type="dxa"/>
              <w:left w:w="0" w:type="dxa"/>
              <w:bottom w:w="40" w:type="dxa"/>
              <w:right w:w="20" w:type="dxa"/>
            </w:tcMar>
            <w:vAlign w:val="bottom"/>
          </w:tcPr>
          <w:p w14:paraId="442F6421" w14:textId="77777777" w:rsidR="00CC25B5" w:rsidRDefault="00CC25B5">
            <w:pPr>
              <w:jc w:val="right"/>
              <w:rPr>
                <w:rFonts w:ascii="宋体"/>
              </w:rPr>
            </w:pPr>
          </w:p>
        </w:tc>
      </w:tr>
      <w:tr w:rsidR="00CC25B5" w14:paraId="442F642C" w14:textId="77777777">
        <w:trPr>
          <w:jc w:val="center"/>
          <w:hidden/>
        </w:trPr>
        <w:tc>
          <w:tcPr>
            <w:tcW w:w="0" w:type="auto"/>
            <w:gridSpan w:val="3"/>
            <w:shd w:val="clear" w:color="auto" w:fill="auto"/>
            <w:vAlign w:val="bottom"/>
          </w:tcPr>
          <w:p w14:paraId="442F6423" w14:textId="77777777" w:rsidR="00CC25B5" w:rsidRDefault="00CC25B5">
            <w:pPr>
              <w:rPr>
                <w:rFonts w:ascii="宋体"/>
                <w:vanish/>
              </w:rPr>
            </w:pPr>
          </w:p>
        </w:tc>
        <w:tc>
          <w:tcPr>
            <w:tcW w:w="0" w:type="auto"/>
            <w:gridSpan w:val="3"/>
            <w:shd w:val="clear" w:color="auto" w:fill="auto"/>
            <w:vAlign w:val="bottom"/>
          </w:tcPr>
          <w:p w14:paraId="442F6424" w14:textId="77777777" w:rsidR="00CC25B5" w:rsidRDefault="00CC25B5">
            <w:pPr>
              <w:rPr>
                <w:rFonts w:ascii="宋体"/>
                <w:vanish/>
              </w:rPr>
            </w:pPr>
          </w:p>
        </w:tc>
        <w:tc>
          <w:tcPr>
            <w:tcW w:w="0" w:type="auto"/>
            <w:gridSpan w:val="3"/>
            <w:shd w:val="clear" w:color="auto" w:fill="auto"/>
            <w:vAlign w:val="bottom"/>
          </w:tcPr>
          <w:p w14:paraId="442F6425" w14:textId="77777777" w:rsidR="00CC25B5" w:rsidRDefault="00CC25B5">
            <w:pPr>
              <w:rPr>
                <w:rFonts w:ascii="宋体"/>
                <w:vanish/>
              </w:rPr>
            </w:pPr>
          </w:p>
        </w:tc>
        <w:tc>
          <w:tcPr>
            <w:tcW w:w="0" w:type="auto"/>
            <w:gridSpan w:val="3"/>
            <w:shd w:val="clear" w:color="auto" w:fill="auto"/>
            <w:vAlign w:val="bottom"/>
          </w:tcPr>
          <w:p w14:paraId="442F6426" w14:textId="77777777" w:rsidR="00CC25B5" w:rsidRDefault="00CC25B5">
            <w:pPr>
              <w:rPr>
                <w:rFonts w:ascii="宋体"/>
                <w:vanish/>
              </w:rPr>
            </w:pPr>
          </w:p>
        </w:tc>
        <w:tc>
          <w:tcPr>
            <w:tcW w:w="0" w:type="auto"/>
            <w:gridSpan w:val="3"/>
            <w:shd w:val="clear" w:color="auto" w:fill="auto"/>
            <w:vAlign w:val="bottom"/>
          </w:tcPr>
          <w:p w14:paraId="442F6427" w14:textId="77777777" w:rsidR="00CC25B5" w:rsidRDefault="00CC25B5">
            <w:pPr>
              <w:rPr>
                <w:rFonts w:ascii="宋体"/>
                <w:vanish/>
              </w:rPr>
            </w:pPr>
          </w:p>
        </w:tc>
        <w:tc>
          <w:tcPr>
            <w:tcW w:w="0" w:type="auto"/>
            <w:gridSpan w:val="3"/>
            <w:shd w:val="clear" w:color="auto" w:fill="auto"/>
            <w:vAlign w:val="bottom"/>
          </w:tcPr>
          <w:p w14:paraId="442F6428" w14:textId="77777777" w:rsidR="00CC25B5" w:rsidRDefault="00CC25B5">
            <w:pPr>
              <w:rPr>
                <w:rFonts w:ascii="宋体"/>
                <w:vanish/>
              </w:rPr>
            </w:pPr>
          </w:p>
        </w:tc>
        <w:tc>
          <w:tcPr>
            <w:tcW w:w="0" w:type="auto"/>
            <w:gridSpan w:val="3"/>
            <w:shd w:val="clear" w:color="auto" w:fill="auto"/>
            <w:vAlign w:val="bottom"/>
          </w:tcPr>
          <w:p w14:paraId="442F6429" w14:textId="77777777" w:rsidR="00CC25B5" w:rsidRDefault="00CC25B5">
            <w:pPr>
              <w:rPr>
                <w:rFonts w:ascii="宋体"/>
                <w:vanish/>
              </w:rPr>
            </w:pPr>
          </w:p>
        </w:tc>
        <w:tc>
          <w:tcPr>
            <w:tcW w:w="0" w:type="auto"/>
            <w:gridSpan w:val="3"/>
            <w:shd w:val="clear" w:color="auto" w:fill="auto"/>
            <w:vAlign w:val="bottom"/>
          </w:tcPr>
          <w:p w14:paraId="442F642A" w14:textId="77777777" w:rsidR="00CC25B5" w:rsidRDefault="00CC25B5">
            <w:pPr>
              <w:rPr>
                <w:rFonts w:ascii="宋体"/>
                <w:vanish/>
              </w:rPr>
            </w:pPr>
          </w:p>
        </w:tc>
        <w:tc>
          <w:tcPr>
            <w:tcW w:w="0" w:type="auto"/>
            <w:gridSpan w:val="3"/>
            <w:shd w:val="clear" w:color="auto" w:fill="auto"/>
            <w:vAlign w:val="bottom"/>
          </w:tcPr>
          <w:p w14:paraId="442F642B" w14:textId="77777777" w:rsidR="00CC25B5" w:rsidRDefault="00CC25B5">
            <w:pPr>
              <w:rPr>
                <w:rFonts w:ascii="宋体"/>
                <w:vanish/>
              </w:rPr>
            </w:pPr>
          </w:p>
        </w:tc>
      </w:tr>
      <w:tr w:rsidR="00CC25B5" w14:paraId="442F6436" w14:textId="77777777">
        <w:trPr>
          <w:jc w:val="center"/>
          <w:hidden/>
        </w:trPr>
        <w:tc>
          <w:tcPr>
            <w:tcW w:w="0" w:type="auto"/>
            <w:gridSpan w:val="3"/>
            <w:shd w:val="clear" w:color="auto" w:fill="auto"/>
            <w:vAlign w:val="bottom"/>
          </w:tcPr>
          <w:p w14:paraId="442F642D" w14:textId="77777777" w:rsidR="00CC25B5" w:rsidRDefault="00CC25B5">
            <w:pPr>
              <w:rPr>
                <w:rFonts w:ascii="宋体"/>
                <w:vanish/>
              </w:rPr>
            </w:pPr>
          </w:p>
        </w:tc>
        <w:tc>
          <w:tcPr>
            <w:tcW w:w="0" w:type="auto"/>
            <w:gridSpan w:val="3"/>
            <w:shd w:val="clear" w:color="auto" w:fill="auto"/>
            <w:vAlign w:val="bottom"/>
          </w:tcPr>
          <w:p w14:paraId="442F642E" w14:textId="77777777" w:rsidR="00CC25B5" w:rsidRDefault="00CC25B5">
            <w:pPr>
              <w:rPr>
                <w:rFonts w:ascii="宋体"/>
                <w:vanish/>
              </w:rPr>
            </w:pPr>
          </w:p>
        </w:tc>
        <w:tc>
          <w:tcPr>
            <w:tcW w:w="0" w:type="auto"/>
            <w:gridSpan w:val="3"/>
            <w:shd w:val="clear" w:color="auto" w:fill="auto"/>
            <w:vAlign w:val="bottom"/>
          </w:tcPr>
          <w:p w14:paraId="442F642F" w14:textId="77777777" w:rsidR="00CC25B5" w:rsidRDefault="00CC25B5">
            <w:pPr>
              <w:rPr>
                <w:rFonts w:ascii="宋体"/>
                <w:vanish/>
              </w:rPr>
            </w:pPr>
          </w:p>
        </w:tc>
        <w:tc>
          <w:tcPr>
            <w:tcW w:w="0" w:type="auto"/>
            <w:gridSpan w:val="3"/>
            <w:shd w:val="clear" w:color="auto" w:fill="auto"/>
            <w:vAlign w:val="bottom"/>
          </w:tcPr>
          <w:p w14:paraId="442F6430" w14:textId="77777777" w:rsidR="00CC25B5" w:rsidRDefault="00CC25B5">
            <w:pPr>
              <w:rPr>
                <w:rFonts w:ascii="宋体"/>
                <w:vanish/>
              </w:rPr>
            </w:pPr>
          </w:p>
        </w:tc>
        <w:tc>
          <w:tcPr>
            <w:tcW w:w="0" w:type="auto"/>
            <w:gridSpan w:val="3"/>
            <w:shd w:val="clear" w:color="auto" w:fill="auto"/>
            <w:vAlign w:val="bottom"/>
          </w:tcPr>
          <w:p w14:paraId="442F6431" w14:textId="77777777" w:rsidR="00CC25B5" w:rsidRDefault="00CC25B5">
            <w:pPr>
              <w:rPr>
                <w:rFonts w:ascii="宋体"/>
                <w:vanish/>
              </w:rPr>
            </w:pPr>
          </w:p>
        </w:tc>
        <w:tc>
          <w:tcPr>
            <w:tcW w:w="0" w:type="auto"/>
            <w:gridSpan w:val="3"/>
            <w:shd w:val="clear" w:color="auto" w:fill="auto"/>
            <w:vAlign w:val="bottom"/>
          </w:tcPr>
          <w:p w14:paraId="442F6432" w14:textId="77777777" w:rsidR="00CC25B5" w:rsidRDefault="00CC25B5">
            <w:pPr>
              <w:rPr>
                <w:rFonts w:ascii="宋体"/>
                <w:vanish/>
              </w:rPr>
            </w:pPr>
          </w:p>
        </w:tc>
        <w:tc>
          <w:tcPr>
            <w:tcW w:w="0" w:type="auto"/>
            <w:gridSpan w:val="3"/>
            <w:shd w:val="clear" w:color="auto" w:fill="auto"/>
            <w:vAlign w:val="bottom"/>
          </w:tcPr>
          <w:p w14:paraId="442F6433" w14:textId="77777777" w:rsidR="00CC25B5" w:rsidRDefault="00CC25B5">
            <w:pPr>
              <w:rPr>
                <w:rFonts w:ascii="宋体"/>
                <w:vanish/>
              </w:rPr>
            </w:pPr>
          </w:p>
        </w:tc>
        <w:tc>
          <w:tcPr>
            <w:tcW w:w="0" w:type="auto"/>
            <w:gridSpan w:val="3"/>
            <w:shd w:val="clear" w:color="auto" w:fill="auto"/>
            <w:vAlign w:val="bottom"/>
          </w:tcPr>
          <w:p w14:paraId="442F6434" w14:textId="77777777" w:rsidR="00CC25B5" w:rsidRDefault="00CC25B5">
            <w:pPr>
              <w:rPr>
                <w:rFonts w:ascii="宋体"/>
                <w:vanish/>
              </w:rPr>
            </w:pPr>
          </w:p>
        </w:tc>
        <w:tc>
          <w:tcPr>
            <w:tcW w:w="0" w:type="auto"/>
            <w:gridSpan w:val="3"/>
            <w:shd w:val="clear" w:color="auto" w:fill="auto"/>
            <w:vAlign w:val="bottom"/>
          </w:tcPr>
          <w:p w14:paraId="442F6435" w14:textId="77777777" w:rsidR="00CC25B5" w:rsidRDefault="00CC25B5">
            <w:pPr>
              <w:rPr>
                <w:rFonts w:ascii="宋体"/>
                <w:vanish/>
              </w:rPr>
            </w:pPr>
          </w:p>
        </w:tc>
      </w:tr>
      <w:tr w:rsidR="00CC25B5" w14:paraId="442F6444" w14:textId="77777777">
        <w:trPr>
          <w:jc w:val="center"/>
        </w:trPr>
        <w:tc>
          <w:tcPr>
            <w:tcW w:w="0" w:type="auto"/>
            <w:gridSpan w:val="3"/>
            <w:shd w:val="clear" w:color="auto" w:fill="FFFFFF"/>
            <w:tcMar>
              <w:top w:w="40" w:type="dxa"/>
              <w:left w:w="20" w:type="dxa"/>
              <w:bottom w:w="40" w:type="dxa"/>
              <w:right w:w="20" w:type="dxa"/>
            </w:tcMar>
            <w:vAlign w:val="center"/>
          </w:tcPr>
          <w:p w14:paraId="442F6437" w14:textId="77777777" w:rsidR="00CC25B5" w:rsidRDefault="00900968">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442F6438"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439" w14:textId="77777777" w:rsidR="00CC25B5" w:rsidRDefault="00900968">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3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3B"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43C" w14:textId="77777777" w:rsidR="00CC25B5" w:rsidRDefault="00900968">
            <w:pPr>
              <w:jc w:val="right"/>
              <w:textAlignment w:val="center"/>
            </w:pPr>
            <w:r>
              <w:rPr>
                <w:rFonts w:ascii="Times New Roman" w:eastAsia="宋体" w:hAnsi="Times New Roman"/>
                <w:color w:val="000000"/>
                <w:sz w:val="16"/>
                <w:szCs w:val="16"/>
              </w:rPr>
              <w:t>6,439 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3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3E"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F643F" w14:textId="77777777" w:rsidR="00CC25B5" w:rsidRDefault="00900968">
            <w:pPr>
              <w:jc w:val="right"/>
              <w:textAlignment w:val="bottom"/>
            </w:pPr>
            <w:r>
              <w:rPr>
                <w:rFonts w:ascii="Times New Roman" w:eastAsia="宋体" w:hAnsi="Times New Roman"/>
                <w:color w:val="000000"/>
                <w:sz w:val="16"/>
                <w:szCs w:val="16"/>
              </w:rPr>
              <w:t>7,175 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F644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41"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F6442" w14:textId="77777777" w:rsidR="00CC25B5" w:rsidRDefault="00900968">
            <w:pPr>
              <w:jc w:val="right"/>
              <w:textAlignment w:val="bottom"/>
            </w:pPr>
            <w:r>
              <w:rPr>
                <w:rFonts w:ascii="Times New Roman" w:eastAsia="宋体" w:hAnsi="Times New Roman"/>
                <w:color w:val="000000"/>
                <w:sz w:val="16"/>
                <w:szCs w:val="16"/>
              </w:rPr>
              <w:t>10,513 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F6443" w14:textId="77777777" w:rsidR="00CC25B5" w:rsidRDefault="00CC25B5">
            <w:pPr>
              <w:jc w:val="right"/>
              <w:rPr>
                <w:rFonts w:ascii="宋体"/>
              </w:rPr>
            </w:pPr>
          </w:p>
        </w:tc>
      </w:tr>
      <w:tr w:rsidR="00CC25B5" w14:paraId="442F6452" w14:textId="77777777">
        <w:trPr>
          <w:jc w:val="center"/>
        </w:trPr>
        <w:tc>
          <w:tcPr>
            <w:tcW w:w="0" w:type="auto"/>
            <w:gridSpan w:val="3"/>
            <w:shd w:val="clear" w:color="auto" w:fill="CCEEFF"/>
            <w:tcMar>
              <w:top w:w="40" w:type="dxa"/>
              <w:left w:w="20" w:type="dxa"/>
              <w:bottom w:w="40" w:type="dxa"/>
              <w:right w:w="20" w:type="dxa"/>
            </w:tcMar>
            <w:vAlign w:val="center"/>
          </w:tcPr>
          <w:p w14:paraId="442F6445" w14:textId="77777777" w:rsidR="00CC25B5" w:rsidRDefault="00900968">
            <w:pPr>
              <w:textAlignment w:val="center"/>
            </w:pPr>
            <w:r>
              <w:rPr>
                <w:rFonts w:ascii="Times New Roman" w:eastAsia="宋体" w:hAnsi="Times New Roman"/>
                <w:color w:val="000000"/>
                <w:sz w:val="16"/>
                <w:szCs w:val="16"/>
              </w:rPr>
              <w:t>Consolidated net (income) loss attributable to noncontrolling interest</w:t>
            </w:r>
          </w:p>
        </w:tc>
        <w:tc>
          <w:tcPr>
            <w:tcW w:w="0" w:type="auto"/>
            <w:gridSpan w:val="3"/>
            <w:shd w:val="clear" w:color="auto" w:fill="CCEEFF"/>
            <w:tcMar>
              <w:top w:w="0" w:type="dxa"/>
              <w:left w:w="20" w:type="dxa"/>
              <w:bottom w:w="0" w:type="dxa"/>
              <w:right w:w="20" w:type="dxa"/>
            </w:tcMar>
            <w:vAlign w:val="bottom"/>
          </w:tcPr>
          <w:p w14:paraId="442F644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447" w14:textId="77777777" w:rsidR="00CC25B5" w:rsidRDefault="00900968">
            <w:pPr>
              <w:jc w:val="right"/>
              <w:textAlignment w:val="center"/>
            </w:pPr>
            <w:r>
              <w:rPr>
                <w:rFonts w:ascii="Times New Roman" w:eastAsia="宋体" w:hAnsi="Times New Roman"/>
                <w:color w:val="000000"/>
                <w:sz w:val="16"/>
                <w:szCs w:val="16"/>
              </w:rPr>
              <w:t>(88)</w:t>
            </w:r>
          </w:p>
        </w:tc>
        <w:tc>
          <w:tcPr>
            <w:tcW w:w="0" w:type="auto"/>
            <w:shd w:val="clear" w:color="auto" w:fill="CCEEFF"/>
            <w:tcMar>
              <w:top w:w="40" w:type="dxa"/>
              <w:left w:w="0" w:type="dxa"/>
              <w:bottom w:w="40" w:type="dxa"/>
              <w:right w:w="20" w:type="dxa"/>
            </w:tcMar>
            <w:vAlign w:val="center"/>
          </w:tcPr>
          <w:p w14:paraId="442F644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4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44A" w14:textId="77777777" w:rsidR="00CC25B5" w:rsidRDefault="00900968">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442F644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4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44D" w14:textId="77777777" w:rsidR="00CC25B5" w:rsidRDefault="00900968">
            <w:pPr>
              <w:jc w:val="right"/>
              <w:textAlignment w:val="bottom"/>
            </w:pPr>
            <w:r>
              <w:rPr>
                <w:rFonts w:ascii="Times New Roman" w:eastAsia="宋体" w:hAnsi="Times New Roman"/>
                <w:color w:val="000000"/>
                <w:sz w:val="16"/>
                <w:szCs w:val="16"/>
              </w:rPr>
              <w:t>(169)</w:t>
            </w:r>
          </w:p>
        </w:tc>
        <w:tc>
          <w:tcPr>
            <w:tcW w:w="0" w:type="auto"/>
            <w:shd w:val="clear" w:color="auto" w:fill="CCEEFF"/>
            <w:tcMar>
              <w:top w:w="40" w:type="dxa"/>
              <w:left w:w="0" w:type="dxa"/>
              <w:bottom w:w="40" w:type="dxa"/>
              <w:right w:w="20" w:type="dxa"/>
            </w:tcMar>
            <w:vAlign w:val="bottom"/>
          </w:tcPr>
          <w:p w14:paraId="442F644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4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6450" w14:textId="77777777" w:rsidR="00CC25B5" w:rsidRDefault="00900968">
            <w:pPr>
              <w:jc w:val="right"/>
              <w:textAlignment w:val="bottom"/>
            </w:pPr>
            <w:r>
              <w:rPr>
                <w:rFonts w:ascii="Times New Roman" w:eastAsia="宋体" w:hAnsi="Times New Roman"/>
                <w:color w:val="000000"/>
                <w:sz w:val="16"/>
                <w:szCs w:val="16"/>
              </w:rPr>
              <w:t>(47)</w:t>
            </w:r>
          </w:p>
        </w:tc>
        <w:tc>
          <w:tcPr>
            <w:tcW w:w="0" w:type="auto"/>
            <w:shd w:val="clear" w:color="auto" w:fill="CCEEFF"/>
            <w:tcMar>
              <w:top w:w="40" w:type="dxa"/>
              <w:left w:w="0" w:type="dxa"/>
              <w:bottom w:w="40" w:type="dxa"/>
              <w:right w:w="20" w:type="dxa"/>
            </w:tcMar>
            <w:vAlign w:val="bottom"/>
          </w:tcPr>
          <w:p w14:paraId="442F6451" w14:textId="77777777" w:rsidR="00CC25B5" w:rsidRDefault="00CC25B5">
            <w:pPr>
              <w:jc w:val="right"/>
              <w:rPr>
                <w:rFonts w:ascii="宋体"/>
              </w:rPr>
            </w:pPr>
          </w:p>
        </w:tc>
      </w:tr>
      <w:tr w:rsidR="00CC25B5" w14:paraId="442F6464" w14:textId="77777777">
        <w:trPr>
          <w:jc w:val="center"/>
        </w:trPr>
        <w:tc>
          <w:tcPr>
            <w:tcW w:w="0" w:type="auto"/>
            <w:gridSpan w:val="3"/>
            <w:shd w:val="clear" w:color="auto" w:fill="FFFFFF"/>
            <w:tcMar>
              <w:top w:w="40" w:type="dxa"/>
              <w:left w:w="20" w:type="dxa"/>
              <w:bottom w:w="40" w:type="dxa"/>
              <w:right w:w="20" w:type="dxa"/>
            </w:tcMar>
            <w:vAlign w:val="center"/>
          </w:tcPr>
          <w:p w14:paraId="442F6453" w14:textId="77777777" w:rsidR="00CC25B5" w:rsidRDefault="00900968">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bottom"/>
          </w:tcPr>
          <w:p w14:paraId="442F6454"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45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456" w14:textId="77777777" w:rsidR="00CC25B5" w:rsidRDefault="00900968">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5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58"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45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45A" w14:textId="77777777" w:rsidR="00CC25B5" w:rsidRDefault="00900968">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5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5C"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45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45E" w14:textId="77777777" w:rsidR="00CC25B5" w:rsidRDefault="00900968">
            <w:pPr>
              <w:jc w:val="right"/>
              <w:textAlignment w:val="center"/>
            </w:pPr>
            <w:r>
              <w:rPr>
                <w:rFonts w:ascii="Times New Roman" w:eastAsia="宋体" w:hAnsi="Times New Roman"/>
                <w:color w:val="000000"/>
                <w:sz w:val="16"/>
                <w:szCs w:val="16"/>
              </w:rPr>
              <w:t>7,006 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5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60"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46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462" w14:textId="77777777" w:rsidR="00CC25B5" w:rsidRDefault="00900968">
            <w:pPr>
              <w:jc w:val="right"/>
              <w:textAlignment w:val="center"/>
            </w:pPr>
            <w:r>
              <w:rPr>
                <w:rFonts w:ascii="Times New Roman" w:eastAsia="宋体" w:hAnsi="Times New Roman"/>
                <w:color w:val="000000"/>
                <w:sz w:val="16"/>
                <w:szCs w:val="16"/>
              </w:rPr>
              <w:t>10,466 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463" w14:textId="77777777" w:rsidR="00CC25B5" w:rsidRDefault="00CC25B5">
            <w:pPr>
              <w:jc w:val="right"/>
              <w:rPr>
                <w:rFonts w:ascii="宋体"/>
              </w:rPr>
            </w:pPr>
          </w:p>
        </w:tc>
      </w:tr>
      <w:tr w:rsidR="00CC25B5" w14:paraId="442F646E" w14:textId="77777777">
        <w:trPr>
          <w:jc w:val="center"/>
          <w:hidden/>
        </w:trPr>
        <w:tc>
          <w:tcPr>
            <w:tcW w:w="0" w:type="auto"/>
            <w:gridSpan w:val="3"/>
            <w:shd w:val="clear" w:color="auto" w:fill="auto"/>
            <w:vAlign w:val="bottom"/>
          </w:tcPr>
          <w:p w14:paraId="442F6465" w14:textId="77777777" w:rsidR="00CC25B5" w:rsidRDefault="00CC25B5">
            <w:pPr>
              <w:rPr>
                <w:rFonts w:ascii="宋体"/>
                <w:vanish/>
              </w:rPr>
            </w:pPr>
          </w:p>
        </w:tc>
        <w:tc>
          <w:tcPr>
            <w:tcW w:w="0" w:type="auto"/>
            <w:gridSpan w:val="3"/>
            <w:shd w:val="clear" w:color="auto" w:fill="auto"/>
            <w:vAlign w:val="bottom"/>
          </w:tcPr>
          <w:p w14:paraId="442F6466" w14:textId="77777777" w:rsidR="00CC25B5" w:rsidRDefault="00CC25B5">
            <w:pPr>
              <w:rPr>
                <w:rFonts w:ascii="宋体"/>
                <w:vanish/>
              </w:rPr>
            </w:pPr>
          </w:p>
        </w:tc>
        <w:tc>
          <w:tcPr>
            <w:tcW w:w="0" w:type="auto"/>
            <w:gridSpan w:val="3"/>
            <w:shd w:val="clear" w:color="auto" w:fill="auto"/>
            <w:vAlign w:val="bottom"/>
          </w:tcPr>
          <w:p w14:paraId="442F6467" w14:textId="77777777" w:rsidR="00CC25B5" w:rsidRDefault="00CC25B5">
            <w:pPr>
              <w:rPr>
                <w:rFonts w:ascii="宋体"/>
                <w:vanish/>
              </w:rPr>
            </w:pPr>
          </w:p>
        </w:tc>
        <w:tc>
          <w:tcPr>
            <w:tcW w:w="0" w:type="auto"/>
            <w:gridSpan w:val="3"/>
            <w:shd w:val="clear" w:color="auto" w:fill="auto"/>
            <w:vAlign w:val="bottom"/>
          </w:tcPr>
          <w:p w14:paraId="442F6468" w14:textId="77777777" w:rsidR="00CC25B5" w:rsidRDefault="00CC25B5">
            <w:pPr>
              <w:rPr>
                <w:rFonts w:ascii="宋体"/>
                <w:vanish/>
              </w:rPr>
            </w:pPr>
          </w:p>
        </w:tc>
        <w:tc>
          <w:tcPr>
            <w:tcW w:w="0" w:type="auto"/>
            <w:gridSpan w:val="3"/>
            <w:shd w:val="clear" w:color="auto" w:fill="auto"/>
            <w:vAlign w:val="bottom"/>
          </w:tcPr>
          <w:p w14:paraId="442F6469" w14:textId="77777777" w:rsidR="00CC25B5" w:rsidRDefault="00CC25B5">
            <w:pPr>
              <w:rPr>
                <w:rFonts w:ascii="宋体"/>
                <w:vanish/>
              </w:rPr>
            </w:pPr>
          </w:p>
        </w:tc>
        <w:tc>
          <w:tcPr>
            <w:tcW w:w="0" w:type="auto"/>
            <w:gridSpan w:val="3"/>
            <w:shd w:val="clear" w:color="auto" w:fill="auto"/>
            <w:vAlign w:val="bottom"/>
          </w:tcPr>
          <w:p w14:paraId="442F646A" w14:textId="77777777" w:rsidR="00CC25B5" w:rsidRDefault="00CC25B5">
            <w:pPr>
              <w:rPr>
                <w:rFonts w:ascii="宋体"/>
                <w:vanish/>
              </w:rPr>
            </w:pPr>
          </w:p>
        </w:tc>
        <w:tc>
          <w:tcPr>
            <w:tcW w:w="0" w:type="auto"/>
            <w:gridSpan w:val="3"/>
            <w:shd w:val="clear" w:color="auto" w:fill="auto"/>
            <w:vAlign w:val="bottom"/>
          </w:tcPr>
          <w:p w14:paraId="442F646B" w14:textId="77777777" w:rsidR="00CC25B5" w:rsidRDefault="00CC25B5">
            <w:pPr>
              <w:rPr>
                <w:rFonts w:ascii="宋体"/>
                <w:vanish/>
              </w:rPr>
            </w:pPr>
          </w:p>
        </w:tc>
        <w:tc>
          <w:tcPr>
            <w:tcW w:w="0" w:type="auto"/>
            <w:gridSpan w:val="3"/>
            <w:shd w:val="clear" w:color="auto" w:fill="auto"/>
            <w:vAlign w:val="bottom"/>
          </w:tcPr>
          <w:p w14:paraId="442F646C" w14:textId="77777777" w:rsidR="00CC25B5" w:rsidRDefault="00CC25B5">
            <w:pPr>
              <w:rPr>
                <w:rFonts w:ascii="宋体"/>
                <w:vanish/>
              </w:rPr>
            </w:pPr>
          </w:p>
        </w:tc>
        <w:tc>
          <w:tcPr>
            <w:tcW w:w="0" w:type="auto"/>
            <w:gridSpan w:val="3"/>
            <w:shd w:val="clear" w:color="auto" w:fill="auto"/>
            <w:vAlign w:val="bottom"/>
          </w:tcPr>
          <w:p w14:paraId="442F646D" w14:textId="77777777" w:rsidR="00CC25B5" w:rsidRDefault="00CC25B5">
            <w:pPr>
              <w:rPr>
                <w:rFonts w:ascii="宋体"/>
                <w:vanish/>
              </w:rPr>
            </w:pPr>
          </w:p>
        </w:tc>
      </w:tr>
      <w:tr w:rsidR="00CC25B5" w14:paraId="442F6478" w14:textId="77777777">
        <w:trPr>
          <w:trHeight w:val="220"/>
          <w:jc w:val="center"/>
        </w:trPr>
        <w:tc>
          <w:tcPr>
            <w:tcW w:w="0" w:type="auto"/>
            <w:gridSpan w:val="3"/>
            <w:shd w:val="clear" w:color="auto" w:fill="CCEEFF"/>
            <w:tcMar>
              <w:top w:w="0" w:type="dxa"/>
              <w:left w:w="20" w:type="dxa"/>
              <w:bottom w:w="0" w:type="dxa"/>
              <w:right w:w="20" w:type="dxa"/>
            </w:tcMar>
            <w:vAlign w:val="bottom"/>
          </w:tcPr>
          <w:p w14:paraId="442F646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70"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471"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72"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473"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74"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475"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76"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477" w14:textId="77777777" w:rsidR="00CC25B5" w:rsidRDefault="00CC25B5">
            <w:pPr>
              <w:rPr>
                <w:rFonts w:ascii="宋体"/>
              </w:rPr>
            </w:pPr>
          </w:p>
        </w:tc>
      </w:tr>
      <w:tr w:rsidR="00CC25B5" w14:paraId="442F6482" w14:textId="77777777">
        <w:trPr>
          <w:jc w:val="center"/>
          <w:hidden/>
        </w:trPr>
        <w:tc>
          <w:tcPr>
            <w:tcW w:w="0" w:type="auto"/>
            <w:gridSpan w:val="3"/>
            <w:shd w:val="clear" w:color="auto" w:fill="auto"/>
            <w:vAlign w:val="bottom"/>
          </w:tcPr>
          <w:p w14:paraId="442F6479" w14:textId="77777777" w:rsidR="00CC25B5" w:rsidRDefault="00CC25B5">
            <w:pPr>
              <w:rPr>
                <w:rFonts w:ascii="宋体"/>
                <w:vanish/>
              </w:rPr>
            </w:pPr>
          </w:p>
        </w:tc>
        <w:tc>
          <w:tcPr>
            <w:tcW w:w="0" w:type="auto"/>
            <w:gridSpan w:val="3"/>
            <w:shd w:val="clear" w:color="auto" w:fill="auto"/>
            <w:vAlign w:val="bottom"/>
          </w:tcPr>
          <w:p w14:paraId="442F647A" w14:textId="77777777" w:rsidR="00CC25B5" w:rsidRDefault="00CC25B5">
            <w:pPr>
              <w:rPr>
                <w:rFonts w:ascii="宋体"/>
                <w:vanish/>
              </w:rPr>
            </w:pPr>
          </w:p>
        </w:tc>
        <w:tc>
          <w:tcPr>
            <w:tcW w:w="0" w:type="auto"/>
            <w:gridSpan w:val="3"/>
            <w:shd w:val="clear" w:color="auto" w:fill="auto"/>
            <w:vAlign w:val="bottom"/>
          </w:tcPr>
          <w:p w14:paraId="442F647B" w14:textId="77777777" w:rsidR="00CC25B5" w:rsidRDefault="00CC25B5">
            <w:pPr>
              <w:rPr>
                <w:rFonts w:ascii="宋体"/>
                <w:vanish/>
              </w:rPr>
            </w:pPr>
          </w:p>
        </w:tc>
        <w:tc>
          <w:tcPr>
            <w:tcW w:w="0" w:type="auto"/>
            <w:gridSpan w:val="3"/>
            <w:shd w:val="clear" w:color="auto" w:fill="auto"/>
            <w:vAlign w:val="bottom"/>
          </w:tcPr>
          <w:p w14:paraId="442F647C" w14:textId="77777777" w:rsidR="00CC25B5" w:rsidRDefault="00CC25B5">
            <w:pPr>
              <w:rPr>
                <w:rFonts w:ascii="宋体"/>
                <w:vanish/>
              </w:rPr>
            </w:pPr>
          </w:p>
        </w:tc>
        <w:tc>
          <w:tcPr>
            <w:tcW w:w="0" w:type="auto"/>
            <w:gridSpan w:val="3"/>
            <w:shd w:val="clear" w:color="auto" w:fill="auto"/>
            <w:vAlign w:val="bottom"/>
          </w:tcPr>
          <w:p w14:paraId="442F647D" w14:textId="77777777" w:rsidR="00CC25B5" w:rsidRDefault="00CC25B5">
            <w:pPr>
              <w:rPr>
                <w:rFonts w:ascii="宋体"/>
                <w:vanish/>
              </w:rPr>
            </w:pPr>
          </w:p>
        </w:tc>
        <w:tc>
          <w:tcPr>
            <w:tcW w:w="0" w:type="auto"/>
            <w:gridSpan w:val="3"/>
            <w:shd w:val="clear" w:color="auto" w:fill="auto"/>
            <w:vAlign w:val="bottom"/>
          </w:tcPr>
          <w:p w14:paraId="442F647E" w14:textId="77777777" w:rsidR="00CC25B5" w:rsidRDefault="00CC25B5">
            <w:pPr>
              <w:rPr>
                <w:rFonts w:ascii="宋体"/>
                <w:vanish/>
              </w:rPr>
            </w:pPr>
          </w:p>
        </w:tc>
        <w:tc>
          <w:tcPr>
            <w:tcW w:w="0" w:type="auto"/>
            <w:gridSpan w:val="3"/>
            <w:shd w:val="clear" w:color="auto" w:fill="auto"/>
            <w:vAlign w:val="bottom"/>
          </w:tcPr>
          <w:p w14:paraId="442F647F" w14:textId="77777777" w:rsidR="00CC25B5" w:rsidRDefault="00CC25B5">
            <w:pPr>
              <w:rPr>
                <w:rFonts w:ascii="宋体"/>
                <w:vanish/>
              </w:rPr>
            </w:pPr>
          </w:p>
        </w:tc>
        <w:tc>
          <w:tcPr>
            <w:tcW w:w="0" w:type="auto"/>
            <w:gridSpan w:val="3"/>
            <w:shd w:val="clear" w:color="auto" w:fill="auto"/>
            <w:vAlign w:val="bottom"/>
          </w:tcPr>
          <w:p w14:paraId="442F6480" w14:textId="77777777" w:rsidR="00CC25B5" w:rsidRDefault="00CC25B5">
            <w:pPr>
              <w:rPr>
                <w:rFonts w:ascii="宋体"/>
                <w:vanish/>
              </w:rPr>
            </w:pPr>
          </w:p>
        </w:tc>
        <w:tc>
          <w:tcPr>
            <w:tcW w:w="0" w:type="auto"/>
            <w:gridSpan w:val="3"/>
            <w:shd w:val="clear" w:color="auto" w:fill="auto"/>
            <w:vAlign w:val="bottom"/>
          </w:tcPr>
          <w:p w14:paraId="442F6481" w14:textId="77777777" w:rsidR="00CC25B5" w:rsidRDefault="00CC25B5">
            <w:pPr>
              <w:rPr>
                <w:rFonts w:ascii="宋体"/>
                <w:vanish/>
              </w:rPr>
            </w:pPr>
          </w:p>
        </w:tc>
      </w:tr>
      <w:tr w:rsidR="00CC25B5" w14:paraId="442F648C" w14:textId="77777777">
        <w:trPr>
          <w:jc w:val="center"/>
          <w:hidden/>
        </w:trPr>
        <w:tc>
          <w:tcPr>
            <w:tcW w:w="0" w:type="auto"/>
            <w:gridSpan w:val="3"/>
            <w:shd w:val="clear" w:color="auto" w:fill="auto"/>
            <w:vAlign w:val="bottom"/>
          </w:tcPr>
          <w:p w14:paraId="442F6483" w14:textId="77777777" w:rsidR="00CC25B5" w:rsidRDefault="00CC25B5">
            <w:pPr>
              <w:rPr>
                <w:rFonts w:ascii="宋体"/>
                <w:vanish/>
              </w:rPr>
            </w:pPr>
          </w:p>
        </w:tc>
        <w:tc>
          <w:tcPr>
            <w:tcW w:w="0" w:type="auto"/>
            <w:gridSpan w:val="3"/>
            <w:shd w:val="clear" w:color="auto" w:fill="auto"/>
            <w:vAlign w:val="bottom"/>
          </w:tcPr>
          <w:p w14:paraId="442F6484" w14:textId="77777777" w:rsidR="00CC25B5" w:rsidRDefault="00CC25B5">
            <w:pPr>
              <w:rPr>
                <w:rFonts w:ascii="宋体"/>
                <w:vanish/>
              </w:rPr>
            </w:pPr>
          </w:p>
        </w:tc>
        <w:tc>
          <w:tcPr>
            <w:tcW w:w="0" w:type="auto"/>
            <w:gridSpan w:val="3"/>
            <w:shd w:val="clear" w:color="auto" w:fill="auto"/>
            <w:vAlign w:val="bottom"/>
          </w:tcPr>
          <w:p w14:paraId="442F6485" w14:textId="77777777" w:rsidR="00CC25B5" w:rsidRDefault="00CC25B5">
            <w:pPr>
              <w:rPr>
                <w:rFonts w:ascii="宋体"/>
                <w:vanish/>
              </w:rPr>
            </w:pPr>
          </w:p>
        </w:tc>
        <w:tc>
          <w:tcPr>
            <w:tcW w:w="0" w:type="auto"/>
            <w:gridSpan w:val="3"/>
            <w:shd w:val="clear" w:color="auto" w:fill="auto"/>
            <w:vAlign w:val="bottom"/>
          </w:tcPr>
          <w:p w14:paraId="442F6486" w14:textId="77777777" w:rsidR="00CC25B5" w:rsidRDefault="00CC25B5">
            <w:pPr>
              <w:rPr>
                <w:rFonts w:ascii="宋体"/>
                <w:vanish/>
              </w:rPr>
            </w:pPr>
          </w:p>
        </w:tc>
        <w:tc>
          <w:tcPr>
            <w:tcW w:w="0" w:type="auto"/>
            <w:gridSpan w:val="3"/>
            <w:shd w:val="clear" w:color="auto" w:fill="auto"/>
            <w:vAlign w:val="bottom"/>
          </w:tcPr>
          <w:p w14:paraId="442F6487" w14:textId="77777777" w:rsidR="00CC25B5" w:rsidRDefault="00CC25B5">
            <w:pPr>
              <w:rPr>
                <w:rFonts w:ascii="宋体"/>
                <w:vanish/>
              </w:rPr>
            </w:pPr>
          </w:p>
        </w:tc>
        <w:tc>
          <w:tcPr>
            <w:tcW w:w="0" w:type="auto"/>
            <w:gridSpan w:val="3"/>
            <w:shd w:val="clear" w:color="auto" w:fill="auto"/>
            <w:vAlign w:val="bottom"/>
          </w:tcPr>
          <w:p w14:paraId="442F6488" w14:textId="77777777" w:rsidR="00CC25B5" w:rsidRDefault="00CC25B5">
            <w:pPr>
              <w:rPr>
                <w:rFonts w:ascii="宋体"/>
                <w:vanish/>
              </w:rPr>
            </w:pPr>
          </w:p>
        </w:tc>
        <w:tc>
          <w:tcPr>
            <w:tcW w:w="0" w:type="auto"/>
            <w:gridSpan w:val="3"/>
            <w:shd w:val="clear" w:color="auto" w:fill="auto"/>
            <w:vAlign w:val="bottom"/>
          </w:tcPr>
          <w:p w14:paraId="442F6489" w14:textId="77777777" w:rsidR="00CC25B5" w:rsidRDefault="00CC25B5">
            <w:pPr>
              <w:rPr>
                <w:rFonts w:ascii="宋体"/>
                <w:vanish/>
              </w:rPr>
            </w:pPr>
          </w:p>
        </w:tc>
        <w:tc>
          <w:tcPr>
            <w:tcW w:w="0" w:type="auto"/>
            <w:gridSpan w:val="3"/>
            <w:shd w:val="clear" w:color="auto" w:fill="auto"/>
            <w:vAlign w:val="bottom"/>
          </w:tcPr>
          <w:p w14:paraId="442F648A" w14:textId="77777777" w:rsidR="00CC25B5" w:rsidRDefault="00CC25B5">
            <w:pPr>
              <w:rPr>
                <w:rFonts w:ascii="宋体"/>
                <w:vanish/>
              </w:rPr>
            </w:pPr>
          </w:p>
        </w:tc>
        <w:tc>
          <w:tcPr>
            <w:tcW w:w="0" w:type="auto"/>
            <w:gridSpan w:val="3"/>
            <w:shd w:val="clear" w:color="auto" w:fill="auto"/>
            <w:vAlign w:val="bottom"/>
          </w:tcPr>
          <w:p w14:paraId="442F648B" w14:textId="77777777" w:rsidR="00CC25B5" w:rsidRDefault="00CC25B5">
            <w:pPr>
              <w:rPr>
                <w:rFonts w:ascii="宋体"/>
                <w:vanish/>
              </w:rPr>
            </w:pPr>
          </w:p>
        </w:tc>
      </w:tr>
      <w:tr w:rsidR="00CC25B5" w14:paraId="442F6496" w14:textId="77777777">
        <w:trPr>
          <w:jc w:val="center"/>
          <w:hidden/>
        </w:trPr>
        <w:tc>
          <w:tcPr>
            <w:tcW w:w="0" w:type="auto"/>
            <w:gridSpan w:val="3"/>
            <w:shd w:val="clear" w:color="auto" w:fill="auto"/>
            <w:vAlign w:val="bottom"/>
          </w:tcPr>
          <w:p w14:paraId="442F648D" w14:textId="77777777" w:rsidR="00CC25B5" w:rsidRDefault="00CC25B5">
            <w:pPr>
              <w:rPr>
                <w:rFonts w:ascii="宋体"/>
                <w:vanish/>
              </w:rPr>
            </w:pPr>
          </w:p>
        </w:tc>
        <w:tc>
          <w:tcPr>
            <w:tcW w:w="0" w:type="auto"/>
            <w:gridSpan w:val="3"/>
            <w:shd w:val="clear" w:color="auto" w:fill="auto"/>
            <w:vAlign w:val="bottom"/>
          </w:tcPr>
          <w:p w14:paraId="442F648E" w14:textId="77777777" w:rsidR="00CC25B5" w:rsidRDefault="00CC25B5">
            <w:pPr>
              <w:rPr>
                <w:rFonts w:ascii="宋体"/>
                <w:vanish/>
              </w:rPr>
            </w:pPr>
          </w:p>
        </w:tc>
        <w:tc>
          <w:tcPr>
            <w:tcW w:w="0" w:type="auto"/>
            <w:gridSpan w:val="3"/>
            <w:shd w:val="clear" w:color="auto" w:fill="auto"/>
            <w:vAlign w:val="bottom"/>
          </w:tcPr>
          <w:p w14:paraId="442F648F" w14:textId="77777777" w:rsidR="00CC25B5" w:rsidRDefault="00CC25B5">
            <w:pPr>
              <w:rPr>
                <w:rFonts w:ascii="宋体"/>
                <w:vanish/>
              </w:rPr>
            </w:pPr>
          </w:p>
        </w:tc>
        <w:tc>
          <w:tcPr>
            <w:tcW w:w="0" w:type="auto"/>
            <w:gridSpan w:val="3"/>
            <w:shd w:val="clear" w:color="auto" w:fill="auto"/>
            <w:vAlign w:val="bottom"/>
          </w:tcPr>
          <w:p w14:paraId="442F6490" w14:textId="77777777" w:rsidR="00CC25B5" w:rsidRDefault="00CC25B5">
            <w:pPr>
              <w:rPr>
                <w:rFonts w:ascii="宋体"/>
                <w:vanish/>
              </w:rPr>
            </w:pPr>
          </w:p>
        </w:tc>
        <w:tc>
          <w:tcPr>
            <w:tcW w:w="0" w:type="auto"/>
            <w:gridSpan w:val="3"/>
            <w:shd w:val="clear" w:color="auto" w:fill="auto"/>
            <w:vAlign w:val="bottom"/>
          </w:tcPr>
          <w:p w14:paraId="442F6491" w14:textId="77777777" w:rsidR="00CC25B5" w:rsidRDefault="00CC25B5">
            <w:pPr>
              <w:rPr>
                <w:rFonts w:ascii="宋体"/>
                <w:vanish/>
              </w:rPr>
            </w:pPr>
          </w:p>
        </w:tc>
        <w:tc>
          <w:tcPr>
            <w:tcW w:w="0" w:type="auto"/>
            <w:gridSpan w:val="3"/>
            <w:shd w:val="clear" w:color="auto" w:fill="auto"/>
            <w:vAlign w:val="bottom"/>
          </w:tcPr>
          <w:p w14:paraId="442F6492" w14:textId="77777777" w:rsidR="00CC25B5" w:rsidRDefault="00CC25B5">
            <w:pPr>
              <w:rPr>
                <w:rFonts w:ascii="宋体"/>
                <w:vanish/>
              </w:rPr>
            </w:pPr>
          </w:p>
        </w:tc>
        <w:tc>
          <w:tcPr>
            <w:tcW w:w="0" w:type="auto"/>
            <w:gridSpan w:val="3"/>
            <w:shd w:val="clear" w:color="auto" w:fill="auto"/>
            <w:vAlign w:val="bottom"/>
          </w:tcPr>
          <w:p w14:paraId="442F6493" w14:textId="77777777" w:rsidR="00CC25B5" w:rsidRDefault="00CC25B5">
            <w:pPr>
              <w:rPr>
                <w:rFonts w:ascii="宋体"/>
                <w:vanish/>
              </w:rPr>
            </w:pPr>
          </w:p>
        </w:tc>
        <w:tc>
          <w:tcPr>
            <w:tcW w:w="0" w:type="auto"/>
            <w:gridSpan w:val="3"/>
            <w:shd w:val="clear" w:color="auto" w:fill="auto"/>
            <w:vAlign w:val="bottom"/>
          </w:tcPr>
          <w:p w14:paraId="442F6494" w14:textId="77777777" w:rsidR="00CC25B5" w:rsidRDefault="00CC25B5">
            <w:pPr>
              <w:rPr>
                <w:rFonts w:ascii="宋体"/>
                <w:vanish/>
              </w:rPr>
            </w:pPr>
          </w:p>
        </w:tc>
        <w:tc>
          <w:tcPr>
            <w:tcW w:w="0" w:type="auto"/>
            <w:gridSpan w:val="3"/>
            <w:shd w:val="clear" w:color="auto" w:fill="auto"/>
            <w:vAlign w:val="bottom"/>
          </w:tcPr>
          <w:p w14:paraId="442F6495" w14:textId="77777777" w:rsidR="00CC25B5" w:rsidRDefault="00CC25B5">
            <w:pPr>
              <w:rPr>
                <w:rFonts w:ascii="宋体"/>
                <w:vanish/>
              </w:rPr>
            </w:pPr>
          </w:p>
        </w:tc>
      </w:tr>
      <w:tr w:rsidR="00CC25B5" w14:paraId="442F64A0" w14:textId="77777777">
        <w:trPr>
          <w:jc w:val="center"/>
        </w:trPr>
        <w:tc>
          <w:tcPr>
            <w:tcW w:w="0" w:type="auto"/>
            <w:gridSpan w:val="3"/>
            <w:shd w:val="clear" w:color="auto" w:fill="FFFFFF"/>
            <w:tcMar>
              <w:top w:w="40" w:type="dxa"/>
              <w:left w:w="20" w:type="dxa"/>
              <w:bottom w:w="40" w:type="dxa"/>
              <w:right w:w="20" w:type="dxa"/>
            </w:tcMar>
            <w:vAlign w:val="center"/>
          </w:tcPr>
          <w:p w14:paraId="442F6497" w14:textId="77777777" w:rsidR="00CC25B5" w:rsidRDefault="00900968">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FFFFFF"/>
            <w:tcMar>
              <w:top w:w="0" w:type="dxa"/>
              <w:left w:w="20" w:type="dxa"/>
              <w:bottom w:w="0" w:type="dxa"/>
              <w:right w:w="20" w:type="dxa"/>
            </w:tcMar>
            <w:vAlign w:val="bottom"/>
          </w:tcPr>
          <w:p w14:paraId="442F649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9"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B"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D"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9F" w14:textId="77777777" w:rsidR="00CC25B5" w:rsidRDefault="00CC25B5">
            <w:pPr>
              <w:rPr>
                <w:rFonts w:ascii="宋体"/>
              </w:rPr>
            </w:pPr>
          </w:p>
        </w:tc>
      </w:tr>
      <w:tr w:rsidR="00CC25B5" w14:paraId="442F64B2" w14:textId="77777777">
        <w:trPr>
          <w:jc w:val="center"/>
        </w:trPr>
        <w:tc>
          <w:tcPr>
            <w:tcW w:w="0" w:type="auto"/>
            <w:gridSpan w:val="3"/>
            <w:shd w:val="clear" w:color="auto" w:fill="CCEEFF"/>
            <w:tcMar>
              <w:top w:w="40" w:type="dxa"/>
              <w:left w:w="380" w:type="dxa"/>
              <w:bottom w:w="40" w:type="dxa"/>
              <w:right w:w="20" w:type="dxa"/>
            </w:tcMar>
            <w:vAlign w:val="center"/>
          </w:tcPr>
          <w:p w14:paraId="442F64A1" w14:textId="77777777" w:rsidR="00CC25B5" w:rsidRDefault="00900968">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CCEEFF"/>
            <w:tcMar>
              <w:top w:w="0" w:type="dxa"/>
              <w:left w:w="20" w:type="dxa"/>
              <w:bottom w:w="0" w:type="dxa"/>
              <w:right w:w="20" w:type="dxa"/>
            </w:tcMar>
            <w:vAlign w:val="bottom"/>
          </w:tcPr>
          <w:p w14:paraId="442F64A2"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4A3"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4A4" w14:textId="77777777" w:rsidR="00CC25B5" w:rsidRDefault="00900968">
            <w:pPr>
              <w:jc w:val="right"/>
              <w:textAlignment w:val="center"/>
            </w:pPr>
            <w:r>
              <w:rPr>
                <w:rFonts w:ascii="Times New Roman" w:eastAsia="宋体" w:hAnsi="Times New Roman"/>
                <w:color w:val="000000"/>
                <w:sz w:val="16"/>
                <w:szCs w:val="16"/>
              </w:rPr>
              <w:t>1.53 </w:t>
            </w:r>
          </w:p>
        </w:tc>
        <w:tc>
          <w:tcPr>
            <w:tcW w:w="0" w:type="auto"/>
            <w:shd w:val="clear" w:color="auto" w:fill="CCEEFF"/>
            <w:tcMar>
              <w:top w:w="40" w:type="dxa"/>
              <w:left w:w="0" w:type="dxa"/>
              <w:bottom w:w="40" w:type="dxa"/>
              <w:right w:w="20" w:type="dxa"/>
            </w:tcMar>
            <w:vAlign w:val="center"/>
          </w:tcPr>
          <w:p w14:paraId="442F64A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A6"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4A7"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4A8" w14:textId="77777777" w:rsidR="00CC25B5" w:rsidRDefault="00900968">
            <w:pPr>
              <w:jc w:val="right"/>
              <w:textAlignment w:val="center"/>
            </w:pPr>
            <w:r>
              <w:rPr>
                <w:rFonts w:ascii="Times New Roman" w:eastAsia="宋体" w:hAnsi="Times New Roman"/>
                <w:color w:val="000000"/>
                <w:sz w:val="16"/>
                <w:szCs w:val="16"/>
              </w:rPr>
              <w:t>2.29 </w:t>
            </w:r>
          </w:p>
        </w:tc>
        <w:tc>
          <w:tcPr>
            <w:tcW w:w="0" w:type="auto"/>
            <w:shd w:val="clear" w:color="auto" w:fill="CCEEFF"/>
            <w:tcMar>
              <w:top w:w="40" w:type="dxa"/>
              <w:left w:w="0" w:type="dxa"/>
              <w:bottom w:w="40" w:type="dxa"/>
              <w:right w:w="20" w:type="dxa"/>
            </w:tcMar>
            <w:vAlign w:val="center"/>
          </w:tcPr>
          <w:p w14:paraId="442F64A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AA"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4AB"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4AC" w14:textId="77777777" w:rsidR="00CC25B5" w:rsidRDefault="00900968">
            <w:pPr>
              <w:jc w:val="right"/>
              <w:textAlignment w:val="center"/>
            </w:pPr>
            <w:r>
              <w:rPr>
                <w:rFonts w:ascii="Times New Roman" w:eastAsia="宋体" w:hAnsi="Times New Roman"/>
                <w:color w:val="000000"/>
                <w:sz w:val="16"/>
                <w:szCs w:val="16"/>
              </w:rPr>
              <w:t>2.50 </w:t>
            </w:r>
          </w:p>
        </w:tc>
        <w:tc>
          <w:tcPr>
            <w:tcW w:w="0" w:type="auto"/>
            <w:shd w:val="clear" w:color="auto" w:fill="CCEEFF"/>
            <w:tcMar>
              <w:top w:w="40" w:type="dxa"/>
              <w:left w:w="0" w:type="dxa"/>
              <w:bottom w:w="40" w:type="dxa"/>
              <w:right w:w="20" w:type="dxa"/>
            </w:tcMar>
            <w:vAlign w:val="center"/>
          </w:tcPr>
          <w:p w14:paraId="442F64A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4AE"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4AF"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4B0" w14:textId="77777777" w:rsidR="00CC25B5" w:rsidRDefault="00900968">
            <w:pPr>
              <w:jc w:val="right"/>
              <w:textAlignment w:val="center"/>
            </w:pPr>
            <w:r>
              <w:rPr>
                <w:rFonts w:ascii="Times New Roman" w:eastAsia="宋体" w:hAnsi="Times New Roman"/>
                <w:color w:val="000000"/>
                <w:sz w:val="16"/>
                <w:szCs w:val="16"/>
              </w:rPr>
              <w:t>3.70 </w:t>
            </w:r>
          </w:p>
        </w:tc>
        <w:tc>
          <w:tcPr>
            <w:tcW w:w="0" w:type="auto"/>
            <w:shd w:val="clear" w:color="auto" w:fill="CCEEFF"/>
            <w:tcMar>
              <w:top w:w="40" w:type="dxa"/>
              <w:left w:w="0" w:type="dxa"/>
              <w:bottom w:w="40" w:type="dxa"/>
              <w:right w:w="20" w:type="dxa"/>
            </w:tcMar>
            <w:vAlign w:val="center"/>
          </w:tcPr>
          <w:p w14:paraId="442F64B1" w14:textId="77777777" w:rsidR="00CC25B5" w:rsidRDefault="00CC25B5">
            <w:pPr>
              <w:jc w:val="right"/>
              <w:rPr>
                <w:rFonts w:ascii="宋体"/>
              </w:rPr>
            </w:pPr>
          </w:p>
        </w:tc>
      </w:tr>
      <w:tr w:rsidR="00CC25B5" w14:paraId="442F64BC" w14:textId="77777777">
        <w:trPr>
          <w:jc w:val="center"/>
          <w:hidden/>
        </w:trPr>
        <w:tc>
          <w:tcPr>
            <w:tcW w:w="0" w:type="auto"/>
            <w:gridSpan w:val="3"/>
            <w:shd w:val="clear" w:color="auto" w:fill="auto"/>
            <w:vAlign w:val="bottom"/>
          </w:tcPr>
          <w:p w14:paraId="442F64B3" w14:textId="77777777" w:rsidR="00CC25B5" w:rsidRDefault="00CC25B5">
            <w:pPr>
              <w:rPr>
                <w:rFonts w:ascii="宋体"/>
                <w:vanish/>
              </w:rPr>
            </w:pPr>
          </w:p>
        </w:tc>
        <w:tc>
          <w:tcPr>
            <w:tcW w:w="0" w:type="auto"/>
            <w:gridSpan w:val="3"/>
            <w:shd w:val="clear" w:color="auto" w:fill="auto"/>
            <w:vAlign w:val="bottom"/>
          </w:tcPr>
          <w:p w14:paraId="442F64B4" w14:textId="77777777" w:rsidR="00CC25B5" w:rsidRDefault="00CC25B5">
            <w:pPr>
              <w:rPr>
                <w:rFonts w:ascii="宋体"/>
                <w:vanish/>
              </w:rPr>
            </w:pPr>
          </w:p>
        </w:tc>
        <w:tc>
          <w:tcPr>
            <w:tcW w:w="0" w:type="auto"/>
            <w:gridSpan w:val="3"/>
            <w:shd w:val="clear" w:color="auto" w:fill="auto"/>
            <w:vAlign w:val="bottom"/>
          </w:tcPr>
          <w:p w14:paraId="442F64B5" w14:textId="77777777" w:rsidR="00CC25B5" w:rsidRDefault="00CC25B5">
            <w:pPr>
              <w:rPr>
                <w:rFonts w:ascii="宋体"/>
                <w:vanish/>
              </w:rPr>
            </w:pPr>
          </w:p>
        </w:tc>
        <w:tc>
          <w:tcPr>
            <w:tcW w:w="0" w:type="auto"/>
            <w:gridSpan w:val="3"/>
            <w:shd w:val="clear" w:color="auto" w:fill="auto"/>
            <w:vAlign w:val="bottom"/>
          </w:tcPr>
          <w:p w14:paraId="442F64B6" w14:textId="77777777" w:rsidR="00CC25B5" w:rsidRDefault="00CC25B5">
            <w:pPr>
              <w:rPr>
                <w:rFonts w:ascii="宋体"/>
                <w:vanish/>
              </w:rPr>
            </w:pPr>
          </w:p>
        </w:tc>
        <w:tc>
          <w:tcPr>
            <w:tcW w:w="0" w:type="auto"/>
            <w:gridSpan w:val="3"/>
            <w:shd w:val="clear" w:color="auto" w:fill="auto"/>
            <w:vAlign w:val="bottom"/>
          </w:tcPr>
          <w:p w14:paraId="442F64B7" w14:textId="77777777" w:rsidR="00CC25B5" w:rsidRDefault="00CC25B5">
            <w:pPr>
              <w:rPr>
                <w:rFonts w:ascii="宋体"/>
                <w:vanish/>
              </w:rPr>
            </w:pPr>
          </w:p>
        </w:tc>
        <w:tc>
          <w:tcPr>
            <w:tcW w:w="0" w:type="auto"/>
            <w:gridSpan w:val="3"/>
            <w:shd w:val="clear" w:color="auto" w:fill="auto"/>
            <w:vAlign w:val="bottom"/>
          </w:tcPr>
          <w:p w14:paraId="442F64B8" w14:textId="77777777" w:rsidR="00CC25B5" w:rsidRDefault="00CC25B5">
            <w:pPr>
              <w:rPr>
                <w:rFonts w:ascii="宋体"/>
                <w:vanish/>
              </w:rPr>
            </w:pPr>
          </w:p>
        </w:tc>
        <w:tc>
          <w:tcPr>
            <w:tcW w:w="0" w:type="auto"/>
            <w:gridSpan w:val="3"/>
            <w:shd w:val="clear" w:color="auto" w:fill="auto"/>
            <w:vAlign w:val="bottom"/>
          </w:tcPr>
          <w:p w14:paraId="442F64B9" w14:textId="77777777" w:rsidR="00CC25B5" w:rsidRDefault="00CC25B5">
            <w:pPr>
              <w:rPr>
                <w:rFonts w:ascii="宋体"/>
                <w:vanish/>
              </w:rPr>
            </w:pPr>
          </w:p>
        </w:tc>
        <w:tc>
          <w:tcPr>
            <w:tcW w:w="0" w:type="auto"/>
            <w:gridSpan w:val="3"/>
            <w:shd w:val="clear" w:color="auto" w:fill="auto"/>
            <w:vAlign w:val="bottom"/>
          </w:tcPr>
          <w:p w14:paraId="442F64BA" w14:textId="77777777" w:rsidR="00CC25B5" w:rsidRDefault="00CC25B5">
            <w:pPr>
              <w:rPr>
                <w:rFonts w:ascii="宋体"/>
                <w:vanish/>
              </w:rPr>
            </w:pPr>
          </w:p>
        </w:tc>
        <w:tc>
          <w:tcPr>
            <w:tcW w:w="0" w:type="auto"/>
            <w:gridSpan w:val="3"/>
            <w:shd w:val="clear" w:color="auto" w:fill="auto"/>
            <w:vAlign w:val="bottom"/>
          </w:tcPr>
          <w:p w14:paraId="442F64BB" w14:textId="77777777" w:rsidR="00CC25B5" w:rsidRDefault="00CC25B5">
            <w:pPr>
              <w:rPr>
                <w:rFonts w:ascii="宋体"/>
                <w:vanish/>
              </w:rPr>
            </w:pPr>
          </w:p>
        </w:tc>
      </w:tr>
      <w:tr w:rsidR="00CC25B5" w14:paraId="442F64C6" w14:textId="77777777">
        <w:trPr>
          <w:jc w:val="center"/>
          <w:hidden/>
        </w:trPr>
        <w:tc>
          <w:tcPr>
            <w:tcW w:w="0" w:type="auto"/>
            <w:gridSpan w:val="3"/>
            <w:shd w:val="clear" w:color="auto" w:fill="auto"/>
            <w:vAlign w:val="bottom"/>
          </w:tcPr>
          <w:p w14:paraId="442F64BD" w14:textId="77777777" w:rsidR="00CC25B5" w:rsidRDefault="00CC25B5">
            <w:pPr>
              <w:rPr>
                <w:rFonts w:ascii="宋体"/>
                <w:vanish/>
              </w:rPr>
            </w:pPr>
          </w:p>
        </w:tc>
        <w:tc>
          <w:tcPr>
            <w:tcW w:w="0" w:type="auto"/>
            <w:gridSpan w:val="3"/>
            <w:shd w:val="clear" w:color="auto" w:fill="auto"/>
            <w:vAlign w:val="bottom"/>
          </w:tcPr>
          <w:p w14:paraId="442F64BE" w14:textId="77777777" w:rsidR="00CC25B5" w:rsidRDefault="00CC25B5">
            <w:pPr>
              <w:rPr>
                <w:rFonts w:ascii="宋体"/>
                <w:vanish/>
              </w:rPr>
            </w:pPr>
          </w:p>
        </w:tc>
        <w:tc>
          <w:tcPr>
            <w:tcW w:w="0" w:type="auto"/>
            <w:gridSpan w:val="3"/>
            <w:shd w:val="clear" w:color="auto" w:fill="auto"/>
            <w:vAlign w:val="bottom"/>
          </w:tcPr>
          <w:p w14:paraId="442F64BF" w14:textId="77777777" w:rsidR="00CC25B5" w:rsidRDefault="00CC25B5">
            <w:pPr>
              <w:rPr>
                <w:rFonts w:ascii="宋体"/>
                <w:vanish/>
              </w:rPr>
            </w:pPr>
          </w:p>
        </w:tc>
        <w:tc>
          <w:tcPr>
            <w:tcW w:w="0" w:type="auto"/>
            <w:gridSpan w:val="3"/>
            <w:shd w:val="clear" w:color="auto" w:fill="auto"/>
            <w:vAlign w:val="bottom"/>
          </w:tcPr>
          <w:p w14:paraId="442F64C0" w14:textId="77777777" w:rsidR="00CC25B5" w:rsidRDefault="00CC25B5">
            <w:pPr>
              <w:rPr>
                <w:rFonts w:ascii="宋体"/>
                <w:vanish/>
              </w:rPr>
            </w:pPr>
          </w:p>
        </w:tc>
        <w:tc>
          <w:tcPr>
            <w:tcW w:w="0" w:type="auto"/>
            <w:gridSpan w:val="3"/>
            <w:shd w:val="clear" w:color="auto" w:fill="auto"/>
            <w:vAlign w:val="bottom"/>
          </w:tcPr>
          <w:p w14:paraId="442F64C1" w14:textId="77777777" w:rsidR="00CC25B5" w:rsidRDefault="00CC25B5">
            <w:pPr>
              <w:rPr>
                <w:rFonts w:ascii="宋体"/>
                <w:vanish/>
              </w:rPr>
            </w:pPr>
          </w:p>
        </w:tc>
        <w:tc>
          <w:tcPr>
            <w:tcW w:w="0" w:type="auto"/>
            <w:gridSpan w:val="3"/>
            <w:shd w:val="clear" w:color="auto" w:fill="auto"/>
            <w:vAlign w:val="bottom"/>
          </w:tcPr>
          <w:p w14:paraId="442F64C2" w14:textId="77777777" w:rsidR="00CC25B5" w:rsidRDefault="00CC25B5">
            <w:pPr>
              <w:rPr>
                <w:rFonts w:ascii="宋体"/>
                <w:vanish/>
              </w:rPr>
            </w:pPr>
          </w:p>
        </w:tc>
        <w:tc>
          <w:tcPr>
            <w:tcW w:w="0" w:type="auto"/>
            <w:gridSpan w:val="3"/>
            <w:shd w:val="clear" w:color="auto" w:fill="auto"/>
            <w:vAlign w:val="bottom"/>
          </w:tcPr>
          <w:p w14:paraId="442F64C3" w14:textId="77777777" w:rsidR="00CC25B5" w:rsidRDefault="00CC25B5">
            <w:pPr>
              <w:rPr>
                <w:rFonts w:ascii="宋体"/>
                <w:vanish/>
              </w:rPr>
            </w:pPr>
          </w:p>
        </w:tc>
        <w:tc>
          <w:tcPr>
            <w:tcW w:w="0" w:type="auto"/>
            <w:gridSpan w:val="3"/>
            <w:shd w:val="clear" w:color="auto" w:fill="auto"/>
            <w:vAlign w:val="bottom"/>
          </w:tcPr>
          <w:p w14:paraId="442F64C4" w14:textId="77777777" w:rsidR="00CC25B5" w:rsidRDefault="00CC25B5">
            <w:pPr>
              <w:rPr>
                <w:rFonts w:ascii="宋体"/>
                <w:vanish/>
              </w:rPr>
            </w:pPr>
          </w:p>
        </w:tc>
        <w:tc>
          <w:tcPr>
            <w:tcW w:w="0" w:type="auto"/>
            <w:gridSpan w:val="3"/>
            <w:shd w:val="clear" w:color="auto" w:fill="auto"/>
            <w:vAlign w:val="bottom"/>
          </w:tcPr>
          <w:p w14:paraId="442F64C5" w14:textId="77777777" w:rsidR="00CC25B5" w:rsidRDefault="00CC25B5">
            <w:pPr>
              <w:rPr>
                <w:rFonts w:ascii="宋体"/>
                <w:vanish/>
              </w:rPr>
            </w:pPr>
          </w:p>
        </w:tc>
      </w:tr>
      <w:tr w:rsidR="00CC25B5" w14:paraId="442F64D0" w14:textId="77777777">
        <w:trPr>
          <w:jc w:val="center"/>
          <w:hidden/>
        </w:trPr>
        <w:tc>
          <w:tcPr>
            <w:tcW w:w="0" w:type="auto"/>
            <w:gridSpan w:val="3"/>
            <w:shd w:val="clear" w:color="auto" w:fill="auto"/>
            <w:vAlign w:val="bottom"/>
          </w:tcPr>
          <w:p w14:paraId="442F64C7" w14:textId="77777777" w:rsidR="00CC25B5" w:rsidRDefault="00CC25B5">
            <w:pPr>
              <w:rPr>
                <w:rFonts w:ascii="宋体"/>
                <w:vanish/>
              </w:rPr>
            </w:pPr>
          </w:p>
        </w:tc>
        <w:tc>
          <w:tcPr>
            <w:tcW w:w="0" w:type="auto"/>
            <w:gridSpan w:val="3"/>
            <w:shd w:val="clear" w:color="auto" w:fill="auto"/>
            <w:vAlign w:val="bottom"/>
          </w:tcPr>
          <w:p w14:paraId="442F64C8" w14:textId="77777777" w:rsidR="00CC25B5" w:rsidRDefault="00CC25B5">
            <w:pPr>
              <w:rPr>
                <w:rFonts w:ascii="宋体"/>
                <w:vanish/>
              </w:rPr>
            </w:pPr>
          </w:p>
        </w:tc>
        <w:tc>
          <w:tcPr>
            <w:tcW w:w="0" w:type="auto"/>
            <w:gridSpan w:val="3"/>
            <w:shd w:val="clear" w:color="auto" w:fill="auto"/>
            <w:vAlign w:val="bottom"/>
          </w:tcPr>
          <w:p w14:paraId="442F64C9" w14:textId="77777777" w:rsidR="00CC25B5" w:rsidRDefault="00CC25B5">
            <w:pPr>
              <w:rPr>
                <w:rFonts w:ascii="宋体"/>
                <w:vanish/>
              </w:rPr>
            </w:pPr>
          </w:p>
        </w:tc>
        <w:tc>
          <w:tcPr>
            <w:tcW w:w="0" w:type="auto"/>
            <w:gridSpan w:val="3"/>
            <w:shd w:val="clear" w:color="auto" w:fill="auto"/>
            <w:vAlign w:val="bottom"/>
          </w:tcPr>
          <w:p w14:paraId="442F64CA" w14:textId="77777777" w:rsidR="00CC25B5" w:rsidRDefault="00CC25B5">
            <w:pPr>
              <w:rPr>
                <w:rFonts w:ascii="宋体"/>
                <w:vanish/>
              </w:rPr>
            </w:pPr>
          </w:p>
        </w:tc>
        <w:tc>
          <w:tcPr>
            <w:tcW w:w="0" w:type="auto"/>
            <w:gridSpan w:val="3"/>
            <w:shd w:val="clear" w:color="auto" w:fill="auto"/>
            <w:vAlign w:val="bottom"/>
          </w:tcPr>
          <w:p w14:paraId="442F64CB" w14:textId="77777777" w:rsidR="00CC25B5" w:rsidRDefault="00CC25B5">
            <w:pPr>
              <w:rPr>
                <w:rFonts w:ascii="宋体"/>
                <w:vanish/>
              </w:rPr>
            </w:pPr>
          </w:p>
        </w:tc>
        <w:tc>
          <w:tcPr>
            <w:tcW w:w="0" w:type="auto"/>
            <w:gridSpan w:val="3"/>
            <w:shd w:val="clear" w:color="auto" w:fill="auto"/>
            <w:vAlign w:val="bottom"/>
          </w:tcPr>
          <w:p w14:paraId="442F64CC" w14:textId="77777777" w:rsidR="00CC25B5" w:rsidRDefault="00CC25B5">
            <w:pPr>
              <w:rPr>
                <w:rFonts w:ascii="宋体"/>
                <w:vanish/>
              </w:rPr>
            </w:pPr>
          </w:p>
        </w:tc>
        <w:tc>
          <w:tcPr>
            <w:tcW w:w="0" w:type="auto"/>
            <w:gridSpan w:val="3"/>
            <w:shd w:val="clear" w:color="auto" w:fill="auto"/>
            <w:vAlign w:val="bottom"/>
          </w:tcPr>
          <w:p w14:paraId="442F64CD" w14:textId="77777777" w:rsidR="00CC25B5" w:rsidRDefault="00CC25B5">
            <w:pPr>
              <w:rPr>
                <w:rFonts w:ascii="宋体"/>
                <w:vanish/>
              </w:rPr>
            </w:pPr>
          </w:p>
        </w:tc>
        <w:tc>
          <w:tcPr>
            <w:tcW w:w="0" w:type="auto"/>
            <w:gridSpan w:val="3"/>
            <w:shd w:val="clear" w:color="auto" w:fill="auto"/>
            <w:vAlign w:val="bottom"/>
          </w:tcPr>
          <w:p w14:paraId="442F64CE" w14:textId="77777777" w:rsidR="00CC25B5" w:rsidRDefault="00CC25B5">
            <w:pPr>
              <w:rPr>
                <w:rFonts w:ascii="宋体"/>
                <w:vanish/>
              </w:rPr>
            </w:pPr>
          </w:p>
        </w:tc>
        <w:tc>
          <w:tcPr>
            <w:tcW w:w="0" w:type="auto"/>
            <w:gridSpan w:val="3"/>
            <w:shd w:val="clear" w:color="auto" w:fill="auto"/>
            <w:vAlign w:val="bottom"/>
          </w:tcPr>
          <w:p w14:paraId="442F64CF" w14:textId="77777777" w:rsidR="00CC25B5" w:rsidRDefault="00CC25B5">
            <w:pPr>
              <w:rPr>
                <w:rFonts w:ascii="宋体"/>
                <w:vanish/>
              </w:rPr>
            </w:pPr>
          </w:p>
        </w:tc>
      </w:tr>
      <w:tr w:rsidR="00CC25B5" w14:paraId="442F64DA" w14:textId="77777777">
        <w:trPr>
          <w:jc w:val="center"/>
          <w:hidden/>
        </w:trPr>
        <w:tc>
          <w:tcPr>
            <w:tcW w:w="0" w:type="auto"/>
            <w:gridSpan w:val="3"/>
            <w:shd w:val="clear" w:color="auto" w:fill="auto"/>
            <w:vAlign w:val="bottom"/>
          </w:tcPr>
          <w:p w14:paraId="442F64D1" w14:textId="77777777" w:rsidR="00CC25B5" w:rsidRDefault="00CC25B5">
            <w:pPr>
              <w:rPr>
                <w:rFonts w:ascii="宋体"/>
                <w:vanish/>
              </w:rPr>
            </w:pPr>
          </w:p>
        </w:tc>
        <w:tc>
          <w:tcPr>
            <w:tcW w:w="0" w:type="auto"/>
            <w:gridSpan w:val="3"/>
            <w:shd w:val="clear" w:color="auto" w:fill="auto"/>
            <w:vAlign w:val="bottom"/>
          </w:tcPr>
          <w:p w14:paraId="442F64D2" w14:textId="77777777" w:rsidR="00CC25B5" w:rsidRDefault="00CC25B5">
            <w:pPr>
              <w:rPr>
                <w:rFonts w:ascii="宋体"/>
                <w:vanish/>
              </w:rPr>
            </w:pPr>
          </w:p>
        </w:tc>
        <w:tc>
          <w:tcPr>
            <w:tcW w:w="0" w:type="auto"/>
            <w:gridSpan w:val="3"/>
            <w:shd w:val="clear" w:color="auto" w:fill="auto"/>
            <w:vAlign w:val="bottom"/>
          </w:tcPr>
          <w:p w14:paraId="442F64D3" w14:textId="77777777" w:rsidR="00CC25B5" w:rsidRDefault="00CC25B5">
            <w:pPr>
              <w:rPr>
                <w:rFonts w:ascii="宋体"/>
                <w:vanish/>
              </w:rPr>
            </w:pPr>
          </w:p>
        </w:tc>
        <w:tc>
          <w:tcPr>
            <w:tcW w:w="0" w:type="auto"/>
            <w:gridSpan w:val="3"/>
            <w:shd w:val="clear" w:color="auto" w:fill="auto"/>
            <w:vAlign w:val="bottom"/>
          </w:tcPr>
          <w:p w14:paraId="442F64D4" w14:textId="77777777" w:rsidR="00CC25B5" w:rsidRDefault="00CC25B5">
            <w:pPr>
              <w:rPr>
                <w:rFonts w:ascii="宋体"/>
                <w:vanish/>
              </w:rPr>
            </w:pPr>
          </w:p>
        </w:tc>
        <w:tc>
          <w:tcPr>
            <w:tcW w:w="0" w:type="auto"/>
            <w:gridSpan w:val="3"/>
            <w:shd w:val="clear" w:color="auto" w:fill="auto"/>
            <w:vAlign w:val="bottom"/>
          </w:tcPr>
          <w:p w14:paraId="442F64D5" w14:textId="77777777" w:rsidR="00CC25B5" w:rsidRDefault="00CC25B5">
            <w:pPr>
              <w:rPr>
                <w:rFonts w:ascii="宋体"/>
                <w:vanish/>
              </w:rPr>
            </w:pPr>
          </w:p>
        </w:tc>
        <w:tc>
          <w:tcPr>
            <w:tcW w:w="0" w:type="auto"/>
            <w:gridSpan w:val="3"/>
            <w:shd w:val="clear" w:color="auto" w:fill="auto"/>
            <w:vAlign w:val="bottom"/>
          </w:tcPr>
          <w:p w14:paraId="442F64D6" w14:textId="77777777" w:rsidR="00CC25B5" w:rsidRDefault="00CC25B5">
            <w:pPr>
              <w:rPr>
                <w:rFonts w:ascii="宋体"/>
                <w:vanish/>
              </w:rPr>
            </w:pPr>
          </w:p>
        </w:tc>
        <w:tc>
          <w:tcPr>
            <w:tcW w:w="0" w:type="auto"/>
            <w:gridSpan w:val="3"/>
            <w:shd w:val="clear" w:color="auto" w:fill="auto"/>
            <w:vAlign w:val="bottom"/>
          </w:tcPr>
          <w:p w14:paraId="442F64D7" w14:textId="77777777" w:rsidR="00CC25B5" w:rsidRDefault="00CC25B5">
            <w:pPr>
              <w:rPr>
                <w:rFonts w:ascii="宋体"/>
                <w:vanish/>
              </w:rPr>
            </w:pPr>
          </w:p>
        </w:tc>
        <w:tc>
          <w:tcPr>
            <w:tcW w:w="0" w:type="auto"/>
            <w:gridSpan w:val="3"/>
            <w:shd w:val="clear" w:color="auto" w:fill="auto"/>
            <w:vAlign w:val="bottom"/>
          </w:tcPr>
          <w:p w14:paraId="442F64D8" w14:textId="77777777" w:rsidR="00CC25B5" w:rsidRDefault="00CC25B5">
            <w:pPr>
              <w:rPr>
                <w:rFonts w:ascii="宋体"/>
                <w:vanish/>
              </w:rPr>
            </w:pPr>
          </w:p>
        </w:tc>
        <w:tc>
          <w:tcPr>
            <w:tcW w:w="0" w:type="auto"/>
            <w:gridSpan w:val="3"/>
            <w:shd w:val="clear" w:color="auto" w:fill="auto"/>
            <w:vAlign w:val="bottom"/>
          </w:tcPr>
          <w:p w14:paraId="442F64D9" w14:textId="77777777" w:rsidR="00CC25B5" w:rsidRDefault="00CC25B5">
            <w:pPr>
              <w:rPr>
                <w:rFonts w:ascii="宋体"/>
                <w:vanish/>
              </w:rPr>
            </w:pPr>
          </w:p>
        </w:tc>
      </w:tr>
      <w:tr w:rsidR="00CC25B5" w14:paraId="442F64E8" w14:textId="77777777">
        <w:trPr>
          <w:jc w:val="center"/>
        </w:trPr>
        <w:tc>
          <w:tcPr>
            <w:tcW w:w="0" w:type="auto"/>
            <w:gridSpan w:val="3"/>
            <w:shd w:val="clear" w:color="auto" w:fill="FFFFFF"/>
            <w:tcMar>
              <w:top w:w="40" w:type="dxa"/>
              <w:left w:w="380" w:type="dxa"/>
              <w:bottom w:w="40" w:type="dxa"/>
              <w:right w:w="20" w:type="dxa"/>
            </w:tcMar>
            <w:vAlign w:val="center"/>
          </w:tcPr>
          <w:p w14:paraId="442F64DB" w14:textId="77777777" w:rsidR="00CC25B5" w:rsidRDefault="00900968">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FFFFFF"/>
            <w:tcMar>
              <w:top w:w="0" w:type="dxa"/>
              <w:left w:w="20" w:type="dxa"/>
              <w:bottom w:w="0" w:type="dxa"/>
              <w:right w:w="20" w:type="dxa"/>
            </w:tcMar>
            <w:vAlign w:val="bottom"/>
          </w:tcPr>
          <w:p w14:paraId="442F64D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4DD" w14:textId="77777777" w:rsidR="00CC25B5" w:rsidRDefault="00900968">
            <w:pPr>
              <w:jc w:val="right"/>
              <w:textAlignment w:val="center"/>
            </w:pPr>
            <w:r>
              <w:rPr>
                <w:rFonts w:ascii="Times New Roman" w:eastAsia="宋体" w:hAnsi="Times New Roman"/>
                <w:color w:val="000000"/>
                <w:sz w:val="16"/>
                <w:szCs w:val="16"/>
              </w:rPr>
              <w:t>1.52 </w:t>
            </w:r>
          </w:p>
        </w:tc>
        <w:tc>
          <w:tcPr>
            <w:tcW w:w="0" w:type="auto"/>
            <w:shd w:val="clear" w:color="auto" w:fill="FFFFFF"/>
            <w:tcMar>
              <w:top w:w="40" w:type="dxa"/>
              <w:left w:w="0" w:type="dxa"/>
              <w:bottom w:w="40" w:type="dxa"/>
              <w:right w:w="20" w:type="dxa"/>
            </w:tcMar>
            <w:vAlign w:val="center"/>
          </w:tcPr>
          <w:p w14:paraId="442F64D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D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4E0" w14:textId="77777777" w:rsidR="00CC25B5" w:rsidRDefault="00900968">
            <w:pPr>
              <w:jc w:val="right"/>
              <w:textAlignment w:val="center"/>
            </w:pPr>
            <w:r>
              <w:rPr>
                <w:rFonts w:ascii="Times New Roman" w:eastAsia="宋体" w:hAnsi="Times New Roman"/>
                <w:color w:val="000000"/>
                <w:sz w:val="16"/>
                <w:szCs w:val="16"/>
              </w:rPr>
              <w:t>2.27 </w:t>
            </w:r>
          </w:p>
        </w:tc>
        <w:tc>
          <w:tcPr>
            <w:tcW w:w="0" w:type="auto"/>
            <w:shd w:val="clear" w:color="auto" w:fill="FFFFFF"/>
            <w:tcMar>
              <w:top w:w="40" w:type="dxa"/>
              <w:left w:w="0" w:type="dxa"/>
              <w:bottom w:w="40" w:type="dxa"/>
              <w:right w:w="20" w:type="dxa"/>
            </w:tcMar>
            <w:vAlign w:val="center"/>
          </w:tcPr>
          <w:p w14:paraId="442F64E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E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4E3" w14:textId="77777777" w:rsidR="00CC25B5" w:rsidRDefault="00900968">
            <w:pPr>
              <w:jc w:val="right"/>
              <w:textAlignment w:val="center"/>
            </w:pPr>
            <w:r>
              <w:rPr>
                <w:rFonts w:ascii="Times New Roman" w:eastAsia="宋体" w:hAnsi="Times New Roman"/>
                <w:color w:val="000000"/>
                <w:sz w:val="16"/>
                <w:szCs w:val="16"/>
              </w:rPr>
              <w:t>2.48 </w:t>
            </w:r>
          </w:p>
        </w:tc>
        <w:tc>
          <w:tcPr>
            <w:tcW w:w="0" w:type="auto"/>
            <w:shd w:val="clear" w:color="auto" w:fill="FFFFFF"/>
            <w:tcMar>
              <w:top w:w="40" w:type="dxa"/>
              <w:left w:w="0" w:type="dxa"/>
              <w:bottom w:w="40" w:type="dxa"/>
              <w:right w:w="20" w:type="dxa"/>
            </w:tcMar>
            <w:vAlign w:val="center"/>
          </w:tcPr>
          <w:p w14:paraId="442F64E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4E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4E6" w14:textId="77777777" w:rsidR="00CC25B5" w:rsidRDefault="00900968">
            <w:pPr>
              <w:jc w:val="right"/>
              <w:textAlignment w:val="center"/>
            </w:pPr>
            <w:r>
              <w:rPr>
                <w:rFonts w:ascii="Times New Roman" w:eastAsia="宋体" w:hAnsi="Times New Roman"/>
                <w:color w:val="000000"/>
                <w:sz w:val="16"/>
                <w:szCs w:val="16"/>
              </w:rPr>
              <w:t>3.67 </w:t>
            </w:r>
          </w:p>
        </w:tc>
        <w:tc>
          <w:tcPr>
            <w:tcW w:w="0" w:type="auto"/>
            <w:shd w:val="clear" w:color="auto" w:fill="FFFFFF"/>
            <w:tcMar>
              <w:top w:w="40" w:type="dxa"/>
              <w:left w:w="0" w:type="dxa"/>
              <w:bottom w:w="40" w:type="dxa"/>
              <w:right w:w="20" w:type="dxa"/>
            </w:tcMar>
            <w:vAlign w:val="center"/>
          </w:tcPr>
          <w:p w14:paraId="442F64E7" w14:textId="77777777" w:rsidR="00CC25B5" w:rsidRDefault="00CC25B5">
            <w:pPr>
              <w:jc w:val="right"/>
              <w:rPr>
                <w:rFonts w:ascii="宋体"/>
              </w:rPr>
            </w:pPr>
          </w:p>
        </w:tc>
      </w:tr>
      <w:tr w:rsidR="00CC25B5" w14:paraId="442F64F2" w14:textId="77777777">
        <w:trPr>
          <w:trHeight w:val="220"/>
          <w:jc w:val="center"/>
        </w:trPr>
        <w:tc>
          <w:tcPr>
            <w:tcW w:w="0" w:type="auto"/>
            <w:gridSpan w:val="3"/>
            <w:shd w:val="clear" w:color="auto" w:fill="CCEEFF"/>
            <w:tcMar>
              <w:top w:w="0" w:type="dxa"/>
              <w:left w:w="20" w:type="dxa"/>
              <w:bottom w:w="0" w:type="dxa"/>
              <w:right w:w="20" w:type="dxa"/>
            </w:tcMar>
            <w:vAlign w:val="bottom"/>
          </w:tcPr>
          <w:p w14:paraId="442F64E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E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E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EC"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ED"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E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E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F0"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4F1" w14:textId="77777777" w:rsidR="00CC25B5" w:rsidRDefault="00CC25B5">
            <w:pPr>
              <w:rPr>
                <w:rFonts w:ascii="宋体"/>
              </w:rPr>
            </w:pPr>
          </w:p>
        </w:tc>
      </w:tr>
      <w:tr w:rsidR="00CC25B5" w14:paraId="442F64FC" w14:textId="77777777">
        <w:trPr>
          <w:jc w:val="center"/>
        </w:trPr>
        <w:tc>
          <w:tcPr>
            <w:tcW w:w="0" w:type="auto"/>
            <w:gridSpan w:val="3"/>
            <w:shd w:val="clear" w:color="auto" w:fill="FFFFFF"/>
            <w:tcMar>
              <w:top w:w="40" w:type="dxa"/>
              <w:left w:w="20" w:type="dxa"/>
              <w:bottom w:w="40" w:type="dxa"/>
              <w:right w:w="20" w:type="dxa"/>
            </w:tcMar>
            <w:vAlign w:val="center"/>
          </w:tcPr>
          <w:p w14:paraId="442F64F3" w14:textId="77777777" w:rsidR="00CC25B5" w:rsidRDefault="00900968">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FFFFFF"/>
            <w:tcMar>
              <w:top w:w="0" w:type="dxa"/>
              <w:left w:w="20" w:type="dxa"/>
              <w:bottom w:w="0" w:type="dxa"/>
              <w:right w:w="20" w:type="dxa"/>
            </w:tcMar>
            <w:vAlign w:val="bottom"/>
          </w:tcPr>
          <w:p w14:paraId="442F64F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5"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7"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9"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4FB" w14:textId="77777777" w:rsidR="00CC25B5" w:rsidRDefault="00CC25B5">
            <w:pPr>
              <w:rPr>
                <w:rFonts w:ascii="宋体"/>
              </w:rPr>
            </w:pPr>
          </w:p>
        </w:tc>
      </w:tr>
      <w:tr w:rsidR="00CC25B5" w14:paraId="442F650A" w14:textId="77777777">
        <w:trPr>
          <w:jc w:val="center"/>
        </w:trPr>
        <w:tc>
          <w:tcPr>
            <w:tcW w:w="0" w:type="auto"/>
            <w:gridSpan w:val="3"/>
            <w:shd w:val="clear" w:color="auto" w:fill="CCEEFF"/>
            <w:tcMar>
              <w:top w:w="40" w:type="dxa"/>
              <w:left w:w="380" w:type="dxa"/>
              <w:bottom w:w="40" w:type="dxa"/>
              <w:right w:w="20" w:type="dxa"/>
            </w:tcMar>
            <w:vAlign w:val="center"/>
          </w:tcPr>
          <w:p w14:paraId="442F64FD" w14:textId="77777777" w:rsidR="00CC25B5" w:rsidRDefault="00900968">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442F64F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4FF" w14:textId="77777777" w:rsidR="00CC25B5" w:rsidRDefault="00900968">
            <w:pPr>
              <w:jc w:val="right"/>
              <w:textAlignment w:val="center"/>
            </w:pPr>
            <w:r>
              <w:rPr>
                <w:rFonts w:ascii="Times New Roman" w:eastAsia="宋体" w:hAnsi="Times New Roman"/>
                <w:color w:val="000000"/>
                <w:sz w:val="16"/>
                <w:szCs w:val="16"/>
              </w:rPr>
              <w:t>2,799 </w:t>
            </w:r>
          </w:p>
        </w:tc>
        <w:tc>
          <w:tcPr>
            <w:tcW w:w="0" w:type="auto"/>
            <w:shd w:val="clear" w:color="auto" w:fill="CCEEFF"/>
            <w:tcMar>
              <w:top w:w="40" w:type="dxa"/>
              <w:left w:w="0" w:type="dxa"/>
              <w:bottom w:w="40" w:type="dxa"/>
              <w:right w:w="20" w:type="dxa"/>
            </w:tcMar>
            <w:vAlign w:val="center"/>
          </w:tcPr>
          <w:p w14:paraId="442F650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0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02" w14:textId="77777777" w:rsidR="00CC25B5" w:rsidRDefault="00900968">
            <w:pPr>
              <w:jc w:val="right"/>
              <w:textAlignment w:val="center"/>
            </w:pPr>
            <w:r>
              <w:rPr>
                <w:rFonts w:ascii="Times New Roman" w:eastAsia="宋体" w:hAnsi="Times New Roman"/>
                <w:color w:val="000000"/>
                <w:sz w:val="16"/>
                <w:szCs w:val="16"/>
              </w:rPr>
              <w:t>2,832 </w:t>
            </w:r>
          </w:p>
        </w:tc>
        <w:tc>
          <w:tcPr>
            <w:tcW w:w="0" w:type="auto"/>
            <w:shd w:val="clear" w:color="auto" w:fill="CCEEFF"/>
            <w:tcMar>
              <w:top w:w="40" w:type="dxa"/>
              <w:left w:w="0" w:type="dxa"/>
              <w:bottom w:w="40" w:type="dxa"/>
              <w:right w:w="20" w:type="dxa"/>
            </w:tcMar>
            <w:vAlign w:val="center"/>
          </w:tcPr>
          <w:p w14:paraId="442F650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0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05" w14:textId="77777777" w:rsidR="00CC25B5" w:rsidRDefault="00900968">
            <w:pPr>
              <w:jc w:val="right"/>
              <w:textAlignment w:val="center"/>
            </w:pPr>
            <w:r>
              <w:rPr>
                <w:rFonts w:ascii="Times New Roman" w:eastAsia="宋体" w:hAnsi="Times New Roman"/>
                <w:color w:val="000000"/>
                <w:sz w:val="16"/>
                <w:szCs w:val="16"/>
              </w:rPr>
              <w:t>2,807 </w:t>
            </w:r>
          </w:p>
        </w:tc>
        <w:tc>
          <w:tcPr>
            <w:tcW w:w="0" w:type="auto"/>
            <w:shd w:val="clear" w:color="auto" w:fill="CCEEFF"/>
            <w:tcMar>
              <w:top w:w="40" w:type="dxa"/>
              <w:left w:w="0" w:type="dxa"/>
              <w:bottom w:w="40" w:type="dxa"/>
              <w:right w:w="20" w:type="dxa"/>
            </w:tcMar>
            <w:vAlign w:val="center"/>
          </w:tcPr>
          <w:p w14:paraId="442F650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0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08" w14:textId="77777777" w:rsidR="00CC25B5" w:rsidRDefault="00900968">
            <w:pPr>
              <w:jc w:val="right"/>
              <w:textAlignment w:val="center"/>
            </w:pPr>
            <w:r>
              <w:rPr>
                <w:rFonts w:ascii="Times New Roman" w:eastAsia="宋体" w:hAnsi="Times New Roman"/>
                <w:color w:val="000000"/>
                <w:sz w:val="16"/>
                <w:szCs w:val="16"/>
              </w:rPr>
              <w:t>2,832 </w:t>
            </w:r>
          </w:p>
        </w:tc>
        <w:tc>
          <w:tcPr>
            <w:tcW w:w="0" w:type="auto"/>
            <w:shd w:val="clear" w:color="auto" w:fill="CCEEFF"/>
            <w:tcMar>
              <w:top w:w="40" w:type="dxa"/>
              <w:left w:w="0" w:type="dxa"/>
              <w:bottom w:w="40" w:type="dxa"/>
              <w:right w:w="20" w:type="dxa"/>
            </w:tcMar>
            <w:vAlign w:val="center"/>
          </w:tcPr>
          <w:p w14:paraId="442F6509" w14:textId="77777777" w:rsidR="00CC25B5" w:rsidRDefault="00CC25B5">
            <w:pPr>
              <w:jc w:val="right"/>
              <w:rPr>
                <w:rFonts w:ascii="宋体"/>
              </w:rPr>
            </w:pPr>
          </w:p>
        </w:tc>
      </w:tr>
      <w:tr w:rsidR="00CC25B5" w14:paraId="442F6518" w14:textId="77777777">
        <w:trPr>
          <w:jc w:val="center"/>
        </w:trPr>
        <w:tc>
          <w:tcPr>
            <w:tcW w:w="0" w:type="auto"/>
            <w:gridSpan w:val="3"/>
            <w:shd w:val="clear" w:color="auto" w:fill="FFFFFF"/>
            <w:tcMar>
              <w:top w:w="40" w:type="dxa"/>
              <w:left w:w="380" w:type="dxa"/>
              <w:bottom w:w="40" w:type="dxa"/>
              <w:right w:w="20" w:type="dxa"/>
            </w:tcMar>
            <w:vAlign w:val="center"/>
          </w:tcPr>
          <w:p w14:paraId="442F650B" w14:textId="77777777" w:rsidR="00CC25B5" w:rsidRDefault="00900968">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442F650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0D" w14:textId="77777777" w:rsidR="00CC25B5" w:rsidRDefault="00900968">
            <w:pPr>
              <w:jc w:val="right"/>
              <w:textAlignment w:val="center"/>
            </w:pPr>
            <w:r>
              <w:rPr>
                <w:rFonts w:ascii="Times New Roman" w:eastAsia="宋体" w:hAnsi="Times New Roman"/>
                <w:color w:val="000000"/>
                <w:sz w:val="16"/>
                <w:szCs w:val="16"/>
              </w:rPr>
              <w:t>2,812 </w:t>
            </w:r>
          </w:p>
        </w:tc>
        <w:tc>
          <w:tcPr>
            <w:tcW w:w="0" w:type="auto"/>
            <w:shd w:val="clear" w:color="auto" w:fill="FFFFFF"/>
            <w:tcMar>
              <w:top w:w="40" w:type="dxa"/>
              <w:left w:w="0" w:type="dxa"/>
              <w:bottom w:w="40" w:type="dxa"/>
              <w:right w:w="20" w:type="dxa"/>
            </w:tcMar>
            <w:vAlign w:val="center"/>
          </w:tcPr>
          <w:p w14:paraId="442F650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0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10" w14:textId="77777777" w:rsidR="00CC25B5" w:rsidRDefault="00900968">
            <w:pPr>
              <w:jc w:val="right"/>
              <w:textAlignment w:val="center"/>
            </w:pPr>
            <w:r>
              <w:rPr>
                <w:rFonts w:ascii="Times New Roman" w:eastAsia="宋体" w:hAnsi="Times New Roman"/>
                <w:color w:val="000000"/>
                <w:sz w:val="16"/>
                <w:szCs w:val="16"/>
              </w:rPr>
              <w:t>2,848 </w:t>
            </w:r>
          </w:p>
        </w:tc>
        <w:tc>
          <w:tcPr>
            <w:tcW w:w="0" w:type="auto"/>
            <w:shd w:val="clear" w:color="auto" w:fill="FFFFFF"/>
            <w:tcMar>
              <w:top w:w="40" w:type="dxa"/>
              <w:left w:w="0" w:type="dxa"/>
              <w:bottom w:w="40" w:type="dxa"/>
              <w:right w:w="20" w:type="dxa"/>
            </w:tcMar>
            <w:vAlign w:val="center"/>
          </w:tcPr>
          <w:p w14:paraId="442F651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1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13" w14:textId="77777777" w:rsidR="00CC25B5" w:rsidRDefault="00900968">
            <w:pPr>
              <w:jc w:val="right"/>
              <w:textAlignment w:val="center"/>
            </w:pPr>
            <w:r>
              <w:rPr>
                <w:rFonts w:ascii="Times New Roman" w:eastAsia="宋体" w:hAnsi="Times New Roman"/>
                <w:color w:val="000000"/>
                <w:sz w:val="16"/>
                <w:szCs w:val="16"/>
              </w:rPr>
              <w:t>2,820 </w:t>
            </w:r>
          </w:p>
        </w:tc>
        <w:tc>
          <w:tcPr>
            <w:tcW w:w="0" w:type="auto"/>
            <w:shd w:val="clear" w:color="auto" w:fill="FFFFFF"/>
            <w:tcMar>
              <w:top w:w="40" w:type="dxa"/>
              <w:left w:w="0" w:type="dxa"/>
              <w:bottom w:w="40" w:type="dxa"/>
              <w:right w:w="20" w:type="dxa"/>
            </w:tcMar>
            <w:vAlign w:val="center"/>
          </w:tcPr>
          <w:p w14:paraId="442F651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1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16" w14:textId="77777777" w:rsidR="00CC25B5" w:rsidRDefault="00900968">
            <w:pPr>
              <w:jc w:val="right"/>
              <w:textAlignment w:val="center"/>
            </w:pPr>
            <w:r>
              <w:rPr>
                <w:rFonts w:ascii="Times New Roman" w:eastAsia="宋体" w:hAnsi="Times New Roman"/>
                <w:color w:val="000000"/>
                <w:sz w:val="16"/>
                <w:szCs w:val="16"/>
              </w:rPr>
              <w:t>2,848 </w:t>
            </w:r>
          </w:p>
        </w:tc>
        <w:tc>
          <w:tcPr>
            <w:tcW w:w="0" w:type="auto"/>
            <w:shd w:val="clear" w:color="auto" w:fill="FFFFFF"/>
            <w:tcMar>
              <w:top w:w="40" w:type="dxa"/>
              <w:left w:w="0" w:type="dxa"/>
              <w:bottom w:w="40" w:type="dxa"/>
              <w:right w:w="20" w:type="dxa"/>
            </w:tcMar>
            <w:vAlign w:val="center"/>
          </w:tcPr>
          <w:p w14:paraId="442F6517" w14:textId="77777777" w:rsidR="00CC25B5" w:rsidRDefault="00CC25B5">
            <w:pPr>
              <w:jc w:val="right"/>
              <w:rPr>
                <w:rFonts w:ascii="宋体"/>
              </w:rPr>
            </w:pPr>
          </w:p>
        </w:tc>
      </w:tr>
      <w:tr w:rsidR="00CC25B5" w14:paraId="442F6522" w14:textId="77777777">
        <w:trPr>
          <w:trHeight w:val="220"/>
          <w:jc w:val="center"/>
        </w:trPr>
        <w:tc>
          <w:tcPr>
            <w:tcW w:w="0" w:type="auto"/>
            <w:gridSpan w:val="3"/>
            <w:shd w:val="clear" w:color="auto" w:fill="CCEEFF"/>
            <w:tcMar>
              <w:top w:w="0" w:type="dxa"/>
              <w:left w:w="20" w:type="dxa"/>
              <w:bottom w:w="0" w:type="dxa"/>
              <w:right w:w="20" w:type="dxa"/>
            </w:tcMar>
            <w:vAlign w:val="bottom"/>
          </w:tcPr>
          <w:p w14:paraId="442F651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1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1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1C"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1D"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1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1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20"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21" w14:textId="77777777" w:rsidR="00CC25B5" w:rsidRDefault="00CC25B5">
            <w:pPr>
              <w:rPr>
                <w:rFonts w:ascii="宋体"/>
              </w:rPr>
            </w:pPr>
          </w:p>
        </w:tc>
      </w:tr>
      <w:tr w:rsidR="00CC25B5" w14:paraId="442F6534" w14:textId="77777777">
        <w:trPr>
          <w:jc w:val="center"/>
        </w:trPr>
        <w:tc>
          <w:tcPr>
            <w:tcW w:w="0" w:type="auto"/>
            <w:gridSpan w:val="3"/>
            <w:shd w:val="clear" w:color="auto" w:fill="FFFFFF"/>
            <w:tcMar>
              <w:top w:w="40" w:type="dxa"/>
              <w:left w:w="20" w:type="dxa"/>
              <w:bottom w:w="40" w:type="dxa"/>
              <w:right w:w="20" w:type="dxa"/>
            </w:tcMar>
            <w:vAlign w:val="center"/>
          </w:tcPr>
          <w:p w14:paraId="442F6523" w14:textId="77777777" w:rsidR="00CC25B5" w:rsidRDefault="00900968">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FFFFFF"/>
            <w:tcMar>
              <w:top w:w="0" w:type="dxa"/>
              <w:left w:w="20" w:type="dxa"/>
              <w:bottom w:w="0" w:type="dxa"/>
              <w:right w:w="20" w:type="dxa"/>
            </w:tcMar>
            <w:vAlign w:val="bottom"/>
          </w:tcPr>
          <w:p w14:paraId="442F6524"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52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52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52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28"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52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52A"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52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2C"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52D"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52E" w14:textId="77777777" w:rsidR="00CC25B5" w:rsidRDefault="00900968">
            <w:pPr>
              <w:jc w:val="right"/>
              <w:textAlignment w:val="center"/>
            </w:pPr>
            <w:r>
              <w:rPr>
                <w:rFonts w:ascii="Times New Roman" w:eastAsia="宋体" w:hAnsi="Times New Roman"/>
                <w:color w:val="000000"/>
                <w:sz w:val="16"/>
                <w:szCs w:val="16"/>
              </w:rPr>
              <w:t>2.20 </w:t>
            </w:r>
          </w:p>
        </w:tc>
        <w:tc>
          <w:tcPr>
            <w:tcW w:w="0" w:type="auto"/>
            <w:shd w:val="clear" w:color="auto" w:fill="FFFFFF"/>
            <w:tcMar>
              <w:top w:w="40" w:type="dxa"/>
              <w:left w:w="0" w:type="dxa"/>
              <w:bottom w:w="40" w:type="dxa"/>
              <w:right w:w="20" w:type="dxa"/>
            </w:tcMar>
            <w:vAlign w:val="center"/>
          </w:tcPr>
          <w:p w14:paraId="442F652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30"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53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532" w14:textId="77777777" w:rsidR="00CC25B5" w:rsidRDefault="00900968">
            <w:pPr>
              <w:jc w:val="right"/>
              <w:textAlignment w:val="center"/>
            </w:pPr>
            <w:r>
              <w:rPr>
                <w:rFonts w:ascii="Times New Roman" w:eastAsia="宋体" w:hAnsi="Times New Roman"/>
                <w:color w:val="000000"/>
                <w:sz w:val="16"/>
                <w:szCs w:val="16"/>
              </w:rPr>
              <w:t>2.16 </w:t>
            </w:r>
          </w:p>
        </w:tc>
        <w:tc>
          <w:tcPr>
            <w:tcW w:w="0" w:type="auto"/>
            <w:shd w:val="clear" w:color="auto" w:fill="FFFFFF"/>
            <w:tcMar>
              <w:top w:w="40" w:type="dxa"/>
              <w:left w:w="0" w:type="dxa"/>
              <w:bottom w:w="40" w:type="dxa"/>
              <w:right w:w="20" w:type="dxa"/>
            </w:tcMar>
            <w:vAlign w:val="center"/>
          </w:tcPr>
          <w:p w14:paraId="442F6533" w14:textId="77777777" w:rsidR="00CC25B5" w:rsidRDefault="00CC25B5">
            <w:pPr>
              <w:jc w:val="right"/>
              <w:rPr>
                <w:rFonts w:ascii="宋体"/>
              </w:rPr>
            </w:pPr>
          </w:p>
        </w:tc>
      </w:tr>
    </w:tbl>
    <w:p w14:paraId="442F6535" w14:textId="77777777" w:rsidR="00CC25B5" w:rsidRDefault="00900968">
      <w:pPr>
        <w:spacing w:before="80"/>
      </w:pPr>
      <w:r>
        <w:rPr>
          <w:rFonts w:ascii="Times New Roman" w:eastAsia="宋体" w:hAnsi="Times New Roman"/>
          <w:i/>
          <w:iCs/>
          <w:color w:val="000000"/>
          <w:sz w:val="16"/>
          <w:szCs w:val="16"/>
        </w:rPr>
        <w:t xml:space="preserve">See accompanying notes. </w:t>
      </w:r>
    </w:p>
    <w:p w14:paraId="442F6536" w14:textId="77777777" w:rsidR="00CC25B5" w:rsidRDefault="00900968">
      <w:pPr>
        <w:jc w:val="center"/>
      </w:pPr>
      <w:r>
        <w:rPr>
          <w:rFonts w:ascii="Times New Roman" w:eastAsia="宋体" w:hAnsi="Times New Roman"/>
          <w:color w:val="000000"/>
          <w:sz w:val="20"/>
          <w:szCs w:val="20"/>
        </w:rPr>
        <w:t>3</w:t>
      </w:r>
    </w:p>
    <w:p w14:paraId="442F6537" w14:textId="77777777" w:rsidR="00CC25B5" w:rsidRDefault="00900968">
      <w:r>
        <w:pict w14:anchorId="442F85CC">
          <v:rect id="_x0000_i1027" style="width:415.3pt;height:1.5pt" o:hralign="center" o:hrstd="t" o:hr="t" fillcolor="#a0a0a0" stroked="f"/>
        </w:pict>
      </w:r>
    </w:p>
    <w:p w14:paraId="442F6538" w14:textId="77777777" w:rsidR="00CC25B5" w:rsidRDefault="00900968">
      <w:hyperlink r:id="rId42" w:anchor="ie1710166881948a18c44f48eaa2dcf00_7" w:history="1">
        <w:r>
          <w:rPr>
            <w:rStyle w:val="a5"/>
            <w:rFonts w:ascii="Times New Roman" w:eastAsia="宋体" w:hAnsi="Times New Roman"/>
            <w:sz w:val="20"/>
            <w:szCs w:val="20"/>
          </w:rPr>
          <w:t>Table of Contents</w:t>
        </w:r>
      </w:hyperlink>
    </w:p>
    <w:p w14:paraId="442F6539" w14:textId="77777777" w:rsidR="00CC25B5" w:rsidRDefault="00900968">
      <w:pPr>
        <w:jc w:val="center"/>
      </w:pPr>
      <w:r>
        <w:rPr>
          <w:rFonts w:ascii="Times New Roman" w:eastAsia="宋体" w:hAnsi="Times New Roman"/>
          <w:b/>
          <w:bCs/>
          <w:color w:val="000000"/>
          <w:sz w:val="20"/>
          <w:szCs w:val="20"/>
        </w:rPr>
        <w:t>Walmart Inc.</w:t>
      </w:r>
    </w:p>
    <w:p w14:paraId="442F653A" w14:textId="77777777" w:rsidR="00CC25B5" w:rsidRDefault="00900968">
      <w:pPr>
        <w:spacing w:before="60"/>
        <w:jc w:val="center"/>
      </w:pPr>
      <w:r>
        <w:rPr>
          <w:rFonts w:ascii="Times New Roman" w:eastAsia="宋体" w:hAnsi="Times New Roman"/>
          <w:b/>
          <w:bCs/>
          <w:color w:val="000000"/>
          <w:sz w:val="20"/>
          <w:szCs w:val="20"/>
        </w:rPr>
        <w:t>Condensed Consolidated Statements of Comprehensive Income</w:t>
      </w:r>
    </w:p>
    <w:p w14:paraId="442F653B" w14:textId="77777777" w:rsidR="00CC25B5" w:rsidRDefault="00900968">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64"/>
        <w:gridCol w:w="39"/>
        <w:gridCol w:w="100"/>
        <w:gridCol w:w="487"/>
        <w:gridCol w:w="36"/>
        <w:gridCol w:w="36"/>
        <w:gridCol w:w="36"/>
        <w:gridCol w:w="36"/>
        <w:gridCol w:w="100"/>
        <w:gridCol w:w="478"/>
        <w:gridCol w:w="36"/>
        <w:gridCol w:w="36"/>
        <w:gridCol w:w="36"/>
        <w:gridCol w:w="36"/>
        <w:gridCol w:w="100"/>
        <w:gridCol w:w="480"/>
        <w:gridCol w:w="36"/>
        <w:gridCol w:w="36"/>
        <w:gridCol w:w="36"/>
        <w:gridCol w:w="36"/>
        <w:gridCol w:w="100"/>
        <w:gridCol w:w="480"/>
        <w:gridCol w:w="36"/>
      </w:tblGrid>
      <w:tr w:rsidR="00CC25B5" w14:paraId="442F6554" w14:textId="77777777">
        <w:trPr>
          <w:jc w:val="center"/>
        </w:trPr>
        <w:tc>
          <w:tcPr>
            <w:tcW w:w="50" w:type="pct"/>
            <w:shd w:val="clear" w:color="auto" w:fill="auto"/>
            <w:vAlign w:val="bottom"/>
          </w:tcPr>
          <w:p w14:paraId="442F653C" w14:textId="77777777" w:rsidR="00CC25B5" w:rsidRDefault="00CC25B5">
            <w:pPr>
              <w:rPr>
                <w:rFonts w:ascii="宋体"/>
              </w:rPr>
            </w:pPr>
          </w:p>
        </w:tc>
        <w:tc>
          <w:tcPr>
            <w:tcW w:w="3300" w:type="pct"/>
            <w:shd w:val="clear" w:color="auto" w:fill="auto"/>
            <w:vAlign w:val="bottom"/>
          </w:tcPr>
          <w:p w14:paraId="442F653D" w14:textId="77777777" w:rsidR="00CC25B5" w:rsidRDefault="00CC25B5">
            <w:pPr>
              <w:rPr>
                <w:rFonts w:ascii="宋体"/>
              </w:rPr>
            </w:pPr>
          </w:p>
        </w:tc>
        <w:tc>
          <w:tcPr>
            <w:tcW w:w="5" w:type="pct"/>
            <w:shd w:val="clear" w:color="auto" w:fill="auto"/>
            <w:vAlign w:val="bottom"/>
          </w:tcPr>
          <w:p w14:paraId="442F653E" w14:textId="77777777" w:rsidR="00CC25B5" w:rsidRDefault="00CC25B5">
            <w:pPr>
              <w:rPr>
                <w:rFonts w:ascii="宋体"/>
              </w:rPr>
            </w:pPr>
          </w:p>
        </w:tc>
        <w:tc>
          <w:tcPr>
            <w:tcW w:w="50" w:type="pct"/>
            <w:shd w:val="clear" w:color="auto" w:fill="auto"/>
            <w:vAlign w:val="bottom"/>
          </w:tcPr>
          <w:p w14:paraId="442F653F" w14:textId="77777777" w:rsidR="00CC25B5" w:rsidRDefault="00CC25B5">
            <w:pPr>
              <w:rPr>
                <w:rFonts w:ascii="宋体"/>
              </w:rPr>
            </w:pPr>
          </w:p>
        </w:tc>
        <w:tc>
          <w:tcPr>
            <w:tcW w:w="317" w:type="pct"/>
            <w:shd w:val="clear" w:color="auto" w:fill="auto"/>
            <w:vAlign w:val="bottom"/>
          </w:tcPr>
          <w:p w14:paraId="442F6540" w14:textId="77777777" w:rsidR="00CC25B5" w:rsidRDefault="00CC25B5">
            <w:pPr>
              <w:rPr>
                <w:rFonts w:ascii="宋体"/>
              </w:rPr>
            </w:pPr>
          </w:p>
        </w:tc>
        <w:tc>
          <w:tcPr>
            <w:tcW w:w="5" w:type="pct"/>
            <w:shd w:val="clear" w:color="auto" w:fill="auto"/>
            <w:vAlign w:val="bottom"/>
          </w:tcPr>
          <w:p w14:paraId="442F6541" w14:textId="77777777" w:rsidR="00CC25B5" w:rsidRDefault="00CC25B5">
            <w:pPr>
              <w:rPr>
                <w:rFonts w:ascii="宋体"/>
              </w:rPr>
            </w:pPr>
          </w:p>
        </w:tc>
        <w:tc>
          <w:tcPr>
            <w:tcW w:w="5" w:type="pct"/>
            <w:shd w:val="clear" w:color="auto" w:fill="auto"/>
            <w:vAlign w:val="bottom"/>
          </w:tcPr>
          <w:p w14:paraId="442F6542" w14:textId="77777777" w:rsidR="00CC25B5" w:rsidRDefault="00CC25B5">
            <w:pPr>
              <w:rPr>
                <w:rFonts w:ascii="宋体"/>
              </w:rPr>
            </w:pPr>
          </w:p>
        </w:tc>
        <w:tc>
          <w:tcPr>
            <w:tcW w:w="41" w:type="pct"/>
            <w:shd w:val="clear" w:color="auto" w:fill="auto"/>
            <w:vAlign w:val="bottom"/>
          </w:tcPr>
          <w:p w14:paraId="442F6543" w14:textId="77777777" w:rsidR="00CC25B5" w:rsidRDefault="00CC25B5">
            <w:pPr>
              <w:rPr>
                <w:rFonts w:ascii="宋体"/>
              </w:rPr>
            </w:pPr>
          </w:p>
        </w:tc>
        <w:tc>
          <w:tcPr>
            <w:tcW w:w="5" w:type="pct"/>
            <w:shd w:val="clear" w:color="auto" w:fill="auto"/>
            <w:vAlign w:val="bottom"/>
          </w:tcPr>
          <w:p w14:paraId="442F6544" w14:textId="77777777" w:rsidR="00CC25B5" w:rsidRDefault="00CC25B5">
            <w:pPr>
              <w:rPr>
                <w:rFonts w:ascii="宋体"/>
              </w:rPr>
            </w:pPr>
          </w:p>
        </w:tc>
        <w:tc>
          <w:tcPr>
            <w:tcW w:w="50" w:type="pct"/>
            <w:shd w:val="clear" w:color="auto" w:fill="auto"/>
            <w:vAlign w:val="bottom"/>
          </w:tcPr>
          <w:p w14:paraId="442F6545" w14:textId="77777777" w:rsidR="00CC25B5" w:rsidRDefault="00CC25B5">
            <w:pPr>
              <w:rPr>
                <w:rFonts w:ascii="宋体"/>
              </w:rPr>
            </w:pPr>
          </w:p>
        </w:tc>
        <w:tc>
          <w:tcPr>
            <w:tcW w:w="317" w:type="pct"/>
            <w:shd w:val="clear" w:color="auto" w:fill="auto"/>
            <w:vAlign w:val="bottom"/>
          </w:tcPr>
          <w:p w14:paraId="442F6546" w14:textId="77777777" w:rsidR="00CC25B5" w:rsidRDefault="00CC25B5">
            <w:pPr>
              <w:rPr>
                <w:rFonts w:ascii="宋体"/>
              </w:rPr>
            </w:pPr>
          </w:p>
        </w:tc>
        <w:tc>
          <w:tcPr>
            <w:tcW w:w="5" w:type="pct"/>
            <w:shd w:val="clear" w:color="auto" w:fill="auto"/>
            <w:vAlign w:val="bottom"/>
          </w:tcPr>
          <w:p w14:paraId="442F6547" w14:textId="77777777" w:rsidR="00CC25B5" w:rsidRDefault="00CC25B5">
            <w:pPr>
              <w:rPr>
                <w:rFonts w:ascii="宋体"/>
              </w:rPr>
            </w:pPr>
          </w:p>
        </w:tc>
        <w:tc>
          <w:tcPr>
            <w:tcW w:w="5" w:type="pct"/>
            <w:shd w:val="clear" w:color="auto" w:fill="auto"/>
            <w:vAlign w:val="bottom"/>
          </w:tcPr>
          <w:p w14:paraId="442F6548" w14:textId="77777777" w:rsidR="00CC25B5" w:rsidRDefault="00CC25B5">
            <w:pPr>
              <w:rPr>
                <w:rFonts w:ascii="宋体"/>
              </w:rPr>
            </w:pPr>
          </w:p>
        </w:tc>
        <w:tc>
          <w:tcPr>
            <w:tcW w:w="41" w:type="pct"/>
            <w:shd w:val="clear" w:color="auto" w:fill="auto"/>
            <w:vAlign w:val="bottom"/>
          </w:tcPr>
          <w:p w14:paraId="442F6549" w14:textId="77777777" w:rsidR="00CC25B5" w:rsidRDefault="00CC25B5">
            <w:pPr>
              <w:rPr>
                <w:rFonts w:ascii="宋体"/>
              </w:rPr>
            </w:pPr>
          </w:p>
        </w:tc>
        <w:tc>
          <w:tcPr>
            <w:tcW w:w="5" w:type="pct"/>
            <w:shd w:val="clear" w:color="auto" w:fill="auto"/>
            <w:vAlign w:val="bottom"/>
          </w:tcPr>
          <w:p w14:paraId="442F654A" w14:textId="77777777" w:rsidR="00CC25B5" w:rsidRDefault="00CC25B5">
            <w:pPr>
              <w:rPr>
                <w:rFonts w:ascii="宋体"/>
              </w:rPr>
            </w:pPr>
          </w:p>
        </w:tc>
        <w:tc>
          <w:tcPr>
            <w:tcW w:w="50" w:type="pct"/>
            <w:shd w:val="clear" w:color="auto" w:fill="auto"/>
            <w:vAlign w:val="bottom"/>
          </w:tcPr>
          <w:p w14:paraId="442F654B" w14:textId="77777777" w:rsidR="00CC25B5" w:rsidRDefault="00CC25B5">
            <w:pPr>
              <w:rPr>
                <w:rFonts w:ascii="宋体"/>
              </w:rPr>
            </w:pPr>
          </w:p>
        </w:tc>
        <w:tc>
          <w:tcPr>
            <w:tcW w:w="317" w:type="pct"/>
            <w:shd w:val="clear" w:color="auto" w:fill="auto"/>
            <w:vAlign w:val="bottom"/>
          </w:tcPr>
          <w:p w14:paraId="442F654C" w14:textId="77777777" w:rsidR="00CC25B5" w:rsidRDefault="00CC25B5">
            <w:pPr>
              <w:rPr>
                <w:rFonts w:ascii="宋体"/>
              </w:rPr>
            </w:pPr>
          </w:p>
        </w:tc>
        <w:tc>
          <w:tcPr>
            <w:tcW w:w="5" w:type="pct"/>
            <w:shd w:val="clear" w:color="auto" w:fill="auto"/>
            <w:vAlign w:val="bottom"/>
          </w:tcPr>
          <w:p w14:paraId="442F654D" w14:textId="77777777" w:rsidR="00CC25B5" w:rsidRDefault="00CC25B5">
            <w:pPr>
              <w:rPr>
                <w:rFonts w:ascii="宋体"/>
              </w:rPr>
            </w:pPr>
          </w:p>
        </w:tc>
        <w:tc>
          <w:tcPr>
            <w:tcW w:w="5" w:type="pct"/>
            <w:shd w:val="clear" w:color="auto" w:fill="auto"/>
            <w:vAlign w:val="bottom"/>
          </w:tcPr>
          <w:p w14:paraId="442F654E" w14:textId="77777777" w:rsidR="00CC25B5" w:rsidRDefault="00CC25B5">
            <w:pPr>
              <w:rPr>
                <w:rFonts w:ascii="宋体"/>
              </w:rPr>
            </w:pPr>
          </w:p>
        </w:tc>
        <w:tc>
          <w:tcPr>
            <w:tcW w:w="41" w:type="pct"/>
            <w:shd w:val="clear" w:color="auto" w:fill="auto"/>
            <w:vAlign w:val="bottom"/>
          </w:tcPr>
          <w:p w14:paraId="442F654F" w14:textId="77777777" w:rsidR="00CC25B5" w:rsidRDefault="00CC25B5">
            <w:pPr>
              <w:rPr>
                <w:rFonts w:ascii="宋体"/>
              </w:rPr>
            </w:pPr>
          </w:p>
        </w:tc>
        <w:tc>
          <w:tcPr>
            <w:tcW w:w="5" w:type="pct"/>
            <w:shd w:val="clear" w:color="auto" w:fill="auto"/>
            <w:vAlign w:val="bottom"/>
          </w:tcPr>
          <w:p w14:paraId="442F6550" w14:textId="77777777" w:rsidR="00CC25B5" w:rsidRDefault="00CC25B5">
            <w:pPr>
              <w:rPr>
                <w:rFonts w:ascii="宋体"/>
              </w:rPr>
            </w:pPr>
          </w:p>
        </w:tc>
        <w:tc>
          <w:tcPr>
            <w:tcW w:w="50" w:type="pct"/>
            <w:shd w:val="clear" w:color="auto" w:fill="auto"/>
            <w:vAlign w:val="bottom"/>
          </w:tcPr>
          <w:p w14:paraId="442F6551" w14:textId="77777777" w:rsidR="00CC25B5" w:rsidRDefault="00CC25B5">
            <w:pPr>
              <w:rPr>
                <w:rFonts w:ascii="宋体"/>
              </w:rPr>
            </w:pPr>
          </w:p>
        </w:tc>
        <w:tc>
          <w:tcPr>
            <w:tcW w:w="317" w:type="pct"/>
            <w:shd w:val="clear" w:color="auto" w:fill="auto"/>
            <w:vAlign w:val="bottom"/>
          </w:tcPr>
          <w:p w14:paraId="442F6552" w14:textId="77777777" w:rsidR="00CC25B5" w:rsidRDefault="00CC25B5">
            <w:pPr>
              <w:rPr>
                <w:rFonts w:ascii="宋体"/>
              </w:rPr>
            </w:pPr>
          </w:p>
        </w:tc>
        <w:tc>
          <w:tcPr>
            <w:tcW w:w="5" w:type="pct"/>
            <w:shd w:val="clear" w:color="auto" w:fill="auto"/>
            <w:vAlign w:val="bottom"/>
          </w:tcPr>
          <w:p w14:paraId="442F6553" w14:textId="77777777" w:rsidR="00CC25B5" w:rsidRDefault="00CC25B5">
            <w:pPr>
              <w:rPr>
                <w:rFonts w:ascii="宋体"/>
              </w:rPr>
            </w:pPr>
          </w:p>
        </w:tc>
      </w:tr>
      <w:tr w:rsidR="00CC25B5" w14:paraId="442F6559" w14:textId="77777777">
        <w:trPr>
          <w:jc w:val="center"/>
        </w:trPr>
        <w:tc>
          <w:tcPr>
            <w:tcW w:w="0" w:type="auto"/>
            <w:gridSpan w:val="3"/>
            <w:shd w:val="clear" w:color="auto" w:fill="auto"/>
            <w:tcMar>
              <w:top w:w="40" w:type="dxa"/>
              <w:left w:w="20" w:type="dxa"/>
              <w:bottom w:w="40" w:type="dxa"/>
              <w:right w:w="20" w:type="dxa"/>
            </w:tcMar>
            <w:vAlign w:val="bottom"/>
          </w:tcPr>
          <w:p w14:paraId="442F6555" w14:textId="77777777" w:rsidR="00CC25B5" w:rsidRDefault="00900968">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F6556"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6557"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6558"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6562" w14:textId="77777777">
        <w:trPr>
          <w:jc w:val="center"/>
        </w:trPr>
        <w:tc>
          <w:tcPr>
            <w:tcW w:w="0" w:type="auto"/>
            <w:gridSpan w:val="3"/>
            <w:shd w:val="clear" w:color="auto" w:fill="auto"/>
            <w:tcMar>
              <w:top w:w="40" w:type="dxa"/>
              <w:left w:w="20" w:type="dxa"/>
              <w:bottom w:w="40" w:type="dxa"/>
              <w:right w:w="20" w:type="dxa"/>
            </w:tcMar>
            <w:vAlign w:val="bottom"/>
          </w:tcPr>
          <w:p w14:paraId="442F655A"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55B"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55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55D"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655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55F"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560"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561"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6573" w14:textId="77777777">
        <w:trPr>
          <w:jc w:val="center"/>
        </w:trPr>
        <w:tc>
          <w:tcPr>
            <w:tcW w:w="0" w:type="auto"/>
            <w:gridSpan w:val="3"/>
            <w:shd w:val="clear" w:color="auto" w:fill="CCEEFF"/>
            <w:tcMar>
              <w:top w:w="40" w:type="dxa"/>
              <w:left w:w="20" w:type="dxa"/>
              <w:bottom w:w="40" w:type="dxa"/>
              <w:right w:w="20" w:type="dxa"/>
            </w:tcMar>
            <w:vAlign w:val="center"/>
          </w:tcPr>
          <w:p w14:paraId="442F6563" w14:textId="77777777" w:rsidR="00CC25B5" w:rsidRDefault="00900968">
            <w:pPr>
              <w:textAlignment w:val="center"/>
            </w:pPr>
            <w:r>
              <w:rPr>
                <w:rFonts w:ascii="Times New Roman" w:eastAsia="宋体" w:hAnsi="Times New Roman"/>
                <w:b/>
                <w:bCs/>
                <w:color w:val="000000"/>
                <w:sz w:val="16"/>
                <w:szCs w:val="16"/>
              </w:rPr>
              <w:t>Consolidated net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442F656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565" w14:textId="77777777" w:rsidR="00CC25B5" w:rsidRDefault="00900968">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6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67"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56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569" w14:textId="77777777" w:rsidR="00CC25B5" w:rsidRDefault="00900968">
            <w:pPr>
              <w:jc w:val="right"/>
              <w:textAlignment w:val="center"/>
            </w:pPr>
            <w:r>
              <w:rPr>
                <w:rFonts w:ascii="Times New Roman" w:eastAsia="宋体" w:hAnsi="Times New Roman"/>
                <w:color w:val="000000"/>
                <w:sz w:val="16"/>
                <w:szCs w:val="16"/>
              </w:rPr>
              <w:t>6,439 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6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6B"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56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56D" w14:textId="77777777" w:rsidR="00CC25B5" w:rsidRDefault="00900968">
            <w:pPr>
              <w:jc w:val="right"/>
              <w:textAlignment w:val="center"/>
            </w:pPr>
            <w:r>
              <w:rPr>
                <w:rFonts w:ascii="Times New Roman" w:eastAsia="宋体" w:hAnsi="Times New Roman"/>
                <w:color w:val="000000"/>
                <w:sz w:val="16"/>
                <w:szCs w:val="16"/>
              </w:rPr>
              <w:t>7,175 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6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6F"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57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571" w14:textId="77777777" w:rsidR="00CC25B5" w:rsidRDefault="00900968">
            <w:pPr>
              <w:jc w:val="right"/>
              <w:textAlignment w:val="center"/>
            </w:pPr>
            <w:r>
              <w:rPr>
                <w:rFonts w:ascii="Times New Roman" w:eastAsia="宋体" w:hAnsi="Times New Roman"/>
                <w:color w:val="000000"/>
                <w:sz w:val="16"/>
                <w:szCs w:val="16"/>
              </w:rPr>
              <w:t>10,513 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72" w14:textId="77777777" w:rsidR="00CC25B5" w:rsidRDefault="00CC25B5">
            <w:pPr>
              <w:jc w:val="right"/>
              <w:rPr>
                <w:rFonts w:ascii="宋体"/>
              </w:rPr>
            </w:pPr>
          </w:p>
        </w:tc>
      </w:tr>
      <w:tr w:rsidR="00CC25B5" w14:paraId="442F6580" w14:textId="77777777">
        <w:trPr>
          <w:jc w:val="center"/>
        </w:trPr>
        <w:tc>
          <w:tcPr>
            <w:tcW w:w="0" w:type="auto"/>
            <w:gridSpan w:val="3"/>
            <w:shd w:val="clear" w:color="auto" w:fill="FFFFFF"/>
            <w:tcMar>
              <w:top w:w="40" w:type="dxa"/>
              <w:left w:w="380" w:type="dxa"/>
              <w:bottom w:w="40" w:type="dxa"/>
              <w:right w:w="20" w:type="dxa"/>
            </w:tcMar>
            <w:vAlign w:val="center"/>
          </w:tcPr>
          <w:p w14:paraId="442F6574" w14:textId="77777777" w:rsidR="00CC25B5" w:rsidRDefault="00900968">
            <w:pPr>
              <w:textAlignment w:val="center"/>
            </w:pPr>
            <w:r>
              <w:rPr>
                <w:rFonts w:ascii="Times New Roman" w:eastAsia="宋体" w:hAnsi="Times New Roman"/>
                <w:color w:val="000000"/>
                <w:sz w:val="16"/>
                <w:szCs w:val="16"/>
              </w:rPr>
              <w:t>Consolidated net (income) loss attributable to noncontrolling interest</w:t>
            </w:r>
          </w:p>
        </w:tc>
        <w:tc>
          <w:tcPr>
            <w:tcW w:w="0" w:type="auto"/>
            <w:gridSpan w:val="2"/>
            <w:shd w:val="clear" w:color="auto" w:fill="FFFFFF"/>
            <w:tcMar>
              <w:top w:w="40" w:type="dxa"/>
              <w:left w:w="20" w:type="dxa"/>
              <w:bottom w:w="40" w:type="dxa"/>
              <w:right w:w="0" w:type="dxa"/>
            </w:tcMar>
            <w:vAlign w:val="center"/>
          </w:tcPr>
          <w:p w14:paraId="442F6575" w14:textId="77777777" w:rsidR="00CC25B5" w:rsidRDefault="00900968">
            <w:pPr>
              <w:jc w:val="right"/>
              <w:textAlignment w:val="center"/>
            </w:pPr>
            <w:r>
              <w:rPr>
                <w:rFonts w:ascii="Times New Roman" w:eastAsia="宋体" w:hAnsi="Times New Roman"/>
                <w:color w:val="000000"/>
                <w:sz w:val="16"/>
                <w:szCs w:val="16"/>
              </w:rPr>
              <w:t>(88)</w:t>
            </w:r>
          </w:p>
        </w:tc>
        <w:tc>
          <w:tcPr>
            <w:tcW w:w="0" w:type="auto"/>
            <w:shd w:val="clear" w:color="auto" w:fill="FFFFFF"/>
            <w:tcMar>
              <w:top w:w="40" w:type="dxa"/>
              <w:left w:w="0" w:type="dxa"/>
              <w:bottom w:w="40" w:type="dxa"/>
              <w:right w:w="20" w:type="dxa"/>
            </w:tcMar>
            <w:vAlign w:val="center"/>
          </w:tcPr>
          <w:p w14:paraId="442F657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7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78" w14:textId="77777777" w:rsidR="00CC25B5" w:rsidRDefault="00900968">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442F657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7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7B" w14:textId="77777777" w:rsidR="00CC25B5" w:rsidRDefault="00900968">
            <w:pPr>
              <w:jc w:val="right"/>
              <w:textAlignment w:val="center"/>
            </w:pPr>
            <w:r>
              <w:rPr>
                <w:rFonts w:ascii="Times New Roman" w:eastAsia="宋体" w:hAnsi="Times New Roman"/>
                <w:color w:val="000000"/>
                <w:sz w:val="16"/>
                <w:szCs w:val="16"/>
              </w:rPr>
              <w:t>(169)</w:t>
            </w:r>
          </w:p>
        </w:tc>
        <w:tc>
          <w:tcPr>
            <w:tcW w:w="0" w:type="auto"/>
            <w:shd w:val="clear" w:color="auto" w:fill="FFFFFF"/>
            <w:tcMar>
              <w:top w:w="40" w:type="dxa"/>
              <w:left w:w="0" w:type="dxa"/>
              <w:bottom w:w="40" w:type="dxa"/>
              <w:right w:w="20" w:type="dxa"/>
            </w:tcMar>
            <w:vAlign w:val="center"/>
          </w:tcPr>
          <w:p w14:paraId="442F657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7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7E" w14:textId="77777777" w:rsidR="00CC25B5" w:rsidRDefault="00900968">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442F657F" w14:textId="77777777" w:rsidR="00CC25B5" w:rsidRDefault="00CC25B5">
            <w:pPr>
              <w:jc w:val="right"/>
              <w:rPr>
                <w:rFonts w:ascii="宋体"/>
              </w:rPr>
            </w:pPr>
          </w:p>
        </w:tc>
      </w:tr>
      <w:tr w:rsidR="00CC25B5" w14:paraId="442F6589" w14:textId="77777777">
        <w:trPr>
          <w:jc w:val="center"/>
          <w:hidden/>
        </w:trPr>
        <w:tc>
          <w:tcPr>
            <w:tcW w:w="0" w:type="auto"/>
            <w:gridSpan w:val="3"/>
            <w:shd w:val="clear" w:color="auto" w:fill="auto"/>
            <w:vAlign w:val="bottom"/>
          </w:tcPr>
          <w:p w14:paraId="442F6581" w14:textId="77777777" w:rsidR="00CC25B5" w:rsidRDefault="00CC25B5">
            <w:pPr>
              <w:rPr>
                <w:rFonts w:ascii="宋体"/>
                <w:vanish/>
              </w:rPr>
            </w:pPr>
          </w:p>
        </w:tc>
        <w:tc>
          <w:tcPr>
            <w:tcW w:w="0" w:type="auto"/>
            <w:gridSpan w:val="3"/>
            <w:shd w:val="clear" w:color="auto" w:fill="auto"/>
            <w:vAlign w:val="bottom"/>
          </w:tcPr>
          <w:p w14:paraId="442F6582" w14:textId="77777777" w:rsidR="00CC25B5" w:rsidRDefault="00CC25B5">
            <w:pPr>
              <w:rPr>
                <w:rFonts w:ascii="宋体"/>
                <w:vanish/>
              </w:rPr>
            </w:pPr>
          </w:p>
        </w:tc>
        <w:tc>
          <w:tcPr>
            <w:tcW w:w="0" w:type="auto"/>
            <w:gridSpan w:val="3"/>
            <w:shd w:val="clear" w:color="auto" w:fill="auto"/>
            <w:vAlign w:val="bottom"/>
          </w:tcPr>
          <w:p w14:paraId="442F6583" w14:textId="77777777" w:rsidR="00CC25B5" w:rsidRDefault="00CC25B5">
            <w:pPr>
              <w:rPr>
                <w:rFonts w:ascii="宋体"/>
                <w:vanish/>
              </w:rPr>
            </w:pPr>
          </w:p>
        </w:tc>
        <w:tc>
          <w:tcPr>
            <w:tcW w:w="0" w:type="auto"/>
            <w:gridSpan w:val="3"/>
            <w:shd w:val="clear" w:color="auto" w:fill="auto"/>
            <w:vAlign w:val="bottom"/>
          </w:tcPr>
          <w:p w14:paraId="442F6584" w14:textId="77777777" w:rsidR="00CC25B5" w:rsidRDefault="00CC25B5">
            <w:pPr>
              <w:rPr>
                <w:rFonts w:ascii="宋体"/>
                <w:vanish/>
              </w:rPr>
            </w:pPr>
          </w:p>
        </w:tc>
        <w:tc>
          <w:tcPr>
            <w:tcW w:w="0" w:type="auto"/>
            <w:gridSpan w:val="3"/>
            <w:shd w:val="clear" w:color="auto" w:fill="auto"/>
            <w:vAlign w:val="bottom"/>
          </w:tcPr>
          <w:p w14:paraId="442F6585" w14:textId="77777777" w:rsidR="00CC25B5" w:rsidRDefault="00CC25B5">
            <w:pPr>
              <w:rPr>
                <w:rFonts w:ascii="宋体"/>
                <w:vanish/>
              </w:rPr>
            </w:pPr>
          </w:p>
        </w:tc>
        <w:tc>
          <w:tcPr>
            <w:tcW w:w="0" w:type="auto"/>
            <w:gridSpan w:val="3"/>
            <w:shd w:val="clear" w:color="auto" w:fill="auto"/>
            <w:vAlign w:val="bottom"/>
          </w:tcPr>
          <w:p w14:paraId="442F6586" w14:textId="77777777" w:rsidR="00CC25B5" w:rsidRDefault="00CC25B5">
            <w:pPr>
              <w:rPr>
                <w:rFonts w:ascii="宋体"/>
                <w:vanish/>
              </w:rPr>
            </w:pPr>
          </w:p>
        </w:tc>
        <w:tc>
          <w:tcPr>
            <w:tcW w:w="0" w:type="auto"/>
            <w:gridSpan w:val="3"/>
            <w:shd w:val="clear" w:color="auto" w:fill="auto"/>
            <w:vAlign w:val="bottom"/>
          </w:tcPr>
          <w:p w14:paraId="442F6587" w14:textId="77777777" w:rsidR="00CC25B5" w:rsidRDefault="00CC25B5">
            <w:pPr>
              <w:rPr>
                <w:rFonts w:ascii="宋体"/>
                <w:vanish/>
              </w:rPr>
            </w:pPr>
          </w:p>
        </w:tc>
        <w:tc>
          <w:tcPr>
            <w:tcW w:w="0" w:type="auto"/>
            <w:gridSpan w:val="3"/>
            <w:shd w:val="clear" w:color="auto" w:fill="auto"/>
            <w:vAlign w:val="bottom"/>
          </w:tcPr>
          <w:p w14:paraId="442F6588" w14:textId="77777777" w:rsidR="00CC25B5" w:rsidRDefault="00CC25B5">
            <w:pPr>
              <w:rPr>
                <w:rFonts w:ascii="宋体"/>
                <w:vanish/>
              </w:rPr>
            </w:pPr>
          </w:p>
        </w:tc>
      </w:tr>
      <w:tr w:rsidR="00CC25B5" w14:paraId="442F6596" w14:textId="77777777">
        <w:trPr>
          <w:jc w:val="center"/>
        </w:trPr>
        <w:tc>
          <w:tcPr>
            <w:tcW w:w="0" w:type="auto"/>
            <w:gridSpan w:val="3"/>
            <w:shd w:val="clear" w:color="auto" w:fill="CCEEFF"/>
            <w:tcMar>
              <w:top w:w="40" w:type="dxa"/>
              <w:left w:w="20" w:type="dxa"/>
              <w:bottom w:w="40" w:type="dxa"/>
              <w:right w:w="20" w:type="dxa"/>
            </w:tcMar>
            <w:vAlign w:val="center"/>
          </w:tcPr>
          <w:p w14:paraId="442F658A" w14:textId="77777777" w:rsidR="00CC25B5" w:rsidRDefault="00900968">
            <w:pPr>
              <w:textAlignment w:val="center"/>
            </w:pPr>
            <w:r>
              <w:rPr>
                <w:rFonts w:ascii="Times New Roman" w:eastAsia="宋体" w:hAnsi="Times New Roman"/>
                <w:b/>
                <w:bCs/>
                <w:color w:val="000000"/>
                <w:sz w:val="16"/>
                <w:szCs w:val="16"/>
              </w:rPr>
              <w:t>Consolidated net income attributable to Walmart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58B" w14:textId="77777777" w:rsidR="00CC25B5" w:rsidRDefault="00900968">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8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8D"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58E" w14:textId="77777777" w:rsidR="00CC25B5" w:rsidRDefault="00900968">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8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90"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591" w14:textId="77777777" w:rsidR="00CC25B5" w:rsidRDefault="00900968">
            <w:pPr>
              <w:jc w:val="right"/>
              <w:textAlignment w:val="center"/>
            </w:pPr>
            <w:r>
              <w:rPr>
                <w:rFonts w:ascii="Times New Roman" w:eastAsia="宋体" w:hAnsi="Times New Roman"/>
                <w:color w:val="000000"/>
                <w:sz w:val="16"/>
                <w:szCs w:val="16"/>
              </w:rPr>
              <w:t>7,006 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9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93"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594" w14:textId="77777777" w:rsidR="00CC25B5" w:rsidRDefault="00900968">
            <w:pPr>
              <w:jc w:val="right"/>
              <w:textAlignment w:val="center"/>
            </w:pPr>
            <w:r>
              <w:rPr>
                <w:rFonts w:ascii="Times New Roman" w:eastAsia="宋体" w:hAnsi="Times New Roman"/>
                <w:color w:val="000000"/>
                <w:sz w:val="16"/>
                <w:szCs w:val="16"/>
              </w:rPr>
              <w:t>10,466 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595" w14:textId="77777777" w:rsidR="00CC25B5" w:rsidRDefault="00CC25B5">
            <w:pPr>
              <w:jc w:val="right"/>
              <w:rPr>
                <w:rFonts w:ascii="宋体"/>
              </w:rPr>
            </w:pPr>
          </w:p>
        </w:tc>
      </w:tr>
      <w:tr w:rsidR="00CC25B5" w14:paraId="442F659F" w14:textId="77777777">
        <w:trPr>
          <w:trHeight w:val="220"/>
          <w:jc w:val="center"/>
        </w:trPr>
        <w:tc>
          <w:tcPr>
            <w:tcW w:w="0" w:type="auto"/>
            <w:gridSpan w:val="3"/>
            <w:shd w:val="clear" w:color="auto" w:fill="FFFFFF"/>
            <w:tcMar>
              <w:top w:w="0" w:type="dxa"/>
              <w:left w:w="20" w:type="dxa"/>
              <w:bottom w:w="0" w:type="dxa"/>
              <w:right w:w="20" w:type="dxa"/>
            </w:tcMar>
            <w:vAlign w:val="bottom"/>
          </w:tcPr>
          <w:p w14:paraId="442F6597"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659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599"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659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59B"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659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59D"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659E" w14:textId="77777777" w:rsidR="00CC25B5" w:rsidRDefault="00CC25B5">
            <w:pPr>
              <w:rPr>
                <w:rFonts w:ascii="宋体"/>
              </w:rPr>
            </w:pPr>
          </w:p>
        </w:tc>
      </w:tr>
      <w:tr w:rsidR="00CC25B5" w14:paraId="442F65A8" w14:textId="77777777">
        <w:trPr>
          <w:jc w:val="center"/>
        </w:trPr>
        <w:tc>
          <w:tcPr>
            <w:tcW w:w="0" w:type="auto"/>
            <w:gridSpan w:val="3"/>
            <w:shd w:val="clear" w:color="auto" w:fill="CCEEFF"/>
            <w:tcMar>
              <w:top w:w="40" w:type="dxa"/>
              <w:left w:w="20" w:type="dxa"/>
              <w:bottom w:w="40" w:type="dxa"/>
              <w:right w:w="20" w:type="dxa"/>
            </w:tcMar>
            <w:vAlign w:val="center"/>
          </w:tcPr>
          <w:p w14:paraId="442F65A0" w14:textId="77777777" w:rsidR="00CC25B5" w:rsidRDefault="00900968">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vAlign w:val="bottom"/>
          </w:tcPr>
          <w:p w14:paraId="442F65A1"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A2"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A3"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A4"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A5"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A6"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5A7" w14:textId="77777777" w:rsidR="00CC25B5" w:rsidRDefault="00CC25B5">
            <w:pPr>
              <w:rPr>
                <w:rFonts w:ascii="宋体"/>
              </w:rPr>
            </w:pPr>
          </w:p>
        </w:tc>
      </w:tr>
      <w:tr w:rsidR="00CC25B5" w14:paraId="442F65B5" w14:textId="77777777">
        <w:trPr>
          <w:jc w:val="center"/>
        </w:trPr>
        <w:tc>
          <w:tcPr>
            <w:tcW w:w="0" w:type="auto"/>
            <w:gridSpan w:val="3"/>
            <w:shd w:val="clear" w:color="auto" w:fill="FFFFFF"/>
            <w:tcMar>
              <w:top w:w="40" w:type="dxa"/>
              <w:left w:w="380" w:type="dxa"/>
              <w:bottom w:w="40" w:type="dxa"/>
              <w:right w:w="20" w:type="dxa"/>
            </w:tcMar>
            <w:vAlign w:val="center"/>
          </w:tcPr>
          <w:p w14:paraId="442F65A9" w14:textId="77777777" w:rsidR="00CC25B5" w:rsidRDefault="00900968">
            <w:pPr>
              <w:textAlignment w:val="center"/>
            </w:pPr>
            <w:r>
              <w:rPr>
                <w:rFonts w:ascii="Times New Roman" w:eastAsia="宋体" w:hAnsi="Times New Roman"/>
                <w:color w:val="000000"/>
                <w:sz w:val="16"/>
                <w:szCs w:val="16"/>
              </w:rPr>
              <w:t>Currency translation and other</w:t>
            </w:r>
          </w:p>
        </w:tc>
        <w:tc>
          <w:tcPr>
            <w:tcW w:w="0" w:type="auto"/>
            <w:gridSpan w:val="2"/>
            <w:shd w:val="clear" w:color="auto" w:fill="FFFFFF"/>
            <w:tcMar>
              <w:top w:w="40" w:type="dxa"/>
              <w:left w:w="20" w:type="dxa"/>
              <w:bottom w:w="40" w:type="dxa"/>
              <w:right w:w="0" w:type="dxa"/>
            </w:tcMar>
            <w:vAlign w:val="center"/>
          </w:tcPr>
          <w:p w14:paraId="442F65AA" w14:textId="77777777" w:rsidR="00CC25B5" w:rsidRDefault="00900968">
            <w:pPr>
              <w:jc w:val="right"/>
              <w:textAlignment w:val="center"/>
            </w:pPr>
            <w:r>
              <w:rPr>
                <w:rFonts w:ascii="Times New Roman" w:eastAsia="宋体" w:hAnsi="Times New Roman"/>
                <w:color w:val="000000"/>
                <w:sz w:val="16"/>
                <w:szCs w:val="16"/>
              </w:rPr>
              <w:t>201 </w:t>
            </w:r>
          </w:p>
        </w:tc>
        <w:tc>
          <w:tcPr>
            <w:tcW w:w="0" w:type="auto"/>
            <w:shd w:val="clear" w:color="auto" w:fill="FFFFFF"/>
            <w:tcMar>
              <w:top w:w="40" w:type="dxa"/>
              <w:left w:w="0" w:type="dxa"/>
              <w:bottom w:w="40" w:type="dxa"/>
              <w:right w:w="20" w:type="dxa"/>
            </w:tcMar>
            <w:vAlign w:val="center"/>
          </w:tcPr>
          <w:p w14:paraId="442F65A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A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AD" w14:textId="77777777" w:rsidR="00CC25B5" w:rsidRDefault="00900968">
            <w:pPr>
              <w:jc w:val="right"/>
              <w:textAlignment w:val="center"/>
            </w:pPr>
            <w:r>
              <w:rPr>
                <w:rFonts w:ascii="Times New Roman" w:eastAsia="宋体" w:hAnsi="Times New Roman"/>
                <w:color w:val="000000"/>
                <w:sz w:val="16"/>
                <w:szCs w:val="16"/>
              </w:rPr>
              <w:t>298 </w:t>
            </w:r>
          </w:p>
        </w:tc>
        <w:tc>
          <w:tcPr>
            <w:tcW w:w="0" w:type="auto"/>
            <w:shd w:val="clear" w:color="auto" w:fill="FFFFFF"/>
            <w:tcMar>
              <w:top w:w="40" w:type="dxa"/>
              <w:left w:w="0" w:type="dxa"/>
              <w:bottom w:w="40" w:type="dxa"/>
              <w:right w:w="20" w:type="dxa"/>
            </w:tcMar>
            <w:vAlign w:val="center"/>
          </w:tcPr>
          <w:p w14:paraId="442F65A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A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B0" w14:textId="77777777" w:rsidR="00CC25B5" w:rsidRDefault="00900968">
            <w:pPr>
              <w:jc w:val="right"/>
              <w:textAlignment w:val="center"/>
            </w:pPr>
            <w:r>
              <w:rPr>
                <w:rFonts w:ascii="Times New Roman" w:eastAsia="宋体" w:hAnsi="Times New Roman"/>
                <w:color w:val="000000"/>
                <w:sz w:val="16"/>
                <w:szCs w:val="16"/>
              </w:rPr>
              <w:t>3,160 </w:t>
            </w:r>
          </w:p>
        </w:tc>
        <w:tc>
          <w:tcPr>
            <w:tcW w:w="0" w:type="auto"/>
            <w:shd w:val="clear" w:color="auto" w:fill="FFFFFF"/>
            <w:tcMar>
              <w:top w:w="40" w:type="dxa"/>
              <w:left w:w="0" w:type="dxa"/>
              <w:bottom w:w="40" w:type="dxa"/>
              <w:right w:w="20" w:type="dxa"/>
            </w:tcMar>
            <w:vAlign w:val="center"/>
          </w:tcPr>
          <w:p w14:paraId="442F65B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B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B3" w14:textId="77777777" w:rsidR="00CC25B5" w:rsidRDefault="00900968">
            <w:pPr>
              <w:jc w:val="right"/>
              <w:textAlignment w:val="center"/>
            </w:pPr>
            <w:r>
              <w:rPr>
                <w:rFonts w:ascii="Times New Roman" w:eastAsia="宋体" w:hAnsi="Times New Roman"/>
                <w:color w:val="000000"/>
                <w:sz w:val="16"/>
                <w:szCs w:val="16"/>
              </w:rPr>
              <w:t>(3,670)</w:t>
            </w:r>
          </w:p>
        </w:tc>
        <w:tc>
          <w:tcPr>
            <w:tcW w:w="0" w:type="auto"/>
            <w:shd w:val="clear" w:color="auto" w:fill="FFFFFF"/>
            <w:tcMar>
              <w:top w:w="40" w:type="dxa"/>
              <w:left w:w="0" w:type="dxa"/>
              <w:bottom w:w="40" w:type="dxa"/>
              <w:right w:w="20" w:type="dxa"/>
            </w:tcMar>
            <w:vAlign w:val="center"/>
          </w:tcPr>
          <w:p w14:paraId="442F65B4" w14:textId="77777777" w:rsidR="00CC25B5" w:rsidRDefault="00CC25B5">
            <w:pPr>
              <w:jc w:val="right"/>
              <w:rPr>
                <w:rFonts w:ascii="宋体"/>
              </w:rPr>
            </w:pPr>
          </w:p>
        </w:tc>
      </w:tr>
      <w:tr w:rsidR="00CC25B5" w14:paraId="442F65C2" w14:textId="77777777">
        <w:trPr>
          <w:jc w:val="center"/>
        </w:trPr>
        <w:tc>
          <w:tcPr>
            <w:tcW w:w="0" w:type="auto"/>
            <w:gridSpan w:val="3"/>
            <w:shd w:val="clear" w:color="auto" w:fill="CCEEFF"/>
            <w:tcMar>
              <w:top w:w="40" w:type="dxa"/>
              <w:left w:w="380" w:type="dxa"/>
              <w:bottom w:w="40" w:type="dxa"/>
              <w:right w:w="20" w:type="dxa"/>
            </w:tcMar>
            <w:vAlign w:val="center"/>
          </w:tcPr>
          <w:p w14:paraId="442F65B6" w14:textId="77777777" w:rsidR="00CC25B5" w:rsidRDefault="00900968">
            <w:pPr>
              <w:textAlignment w:val="center"/>
            </w:pPr>
            <w:r>
              <w:rPr>
                <w:rFonts w:ascii="Times New Roman" w:eastAsia="宋体" w:hAnsi="Times New Roman"/>
                <w:color w:val="000000"/>
                <w:sz w:val="16"/>
                <w:szCs w:val="16"/>
              </w:rPr>
              <w:t>Net investment hedges</w:t>
            </w:r>
          </w:p>
        </w:tc>
        <w:tc>
          <w:tcPr>
            <w:tcW w:w="0" w:type="auto"/>
            <w:gridSpan w:val="2"/>
            <w:shd w:val="clear" w:color="auto" w:fill="CCEEFF"/>
            <w:tcMar>
              <w:top w:w="40" w:type="dxa"/>
              <w:left w:w="20" w:type="dxa"/>
              <w:bottom w:w="40" w:type="dxa"/>
              <w:right w:w="0" w:type="dxa"/>
            </w:tcMar>
            <w:vAlign w:val="center"/>
          </w:tcPr>
          <w:p w14:paraId="442F65B7"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5B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B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BA" w14:textId="77777777" w:rsidR="00CC25B5" w:rsidRDefault="00900968">
            <w:pPr>
              <w:jc w:val="right"/>
              <w:textAlignment w:val="center"/>
            </w:pPr>
            <w:r>
              <w:rPr>
                <w:rFonts w:ascii="Times New Roman" w:eastAsia="宋体" w:hAnsi="Times New Roman"/>
                <w:color w:val="000000"/>
                <w:sz w:val="16"/>
                <w:szCs w:val="16"/>
              </w:rPr>
              <w:t>(191)</w:t>
            </w:r>
          </w:p>
        </w:tc>
        <w:tc>
          <w:tcPr>
            <w:tcW w:w="0" w:type="auto"/>
            <w:shd w:val="clear" w:color="auto" w:fill="CCEEFF"/>
            <w:tcMar>
              <w:top w:w="40" w:type="dxa"/>
              <w:left w:w="0" w:type="dxa"/>
              <w:bottom w:w="40" w:type="dxa"/>
              <w:right w:w="20" w:type="dxa"/>
            </w:tcMar>
            <w:vAlign w:val="center"/>
          </w:tcPr>
          <w:p w14:paraId="442F65B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B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BD" w14:textId="77777777" w:rsidR="00CC25B5" w:rsidRDefault="00900968">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442F65B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B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C0" w14:textId="77777777" w:rsidR="00CC25B5" w:rsidRDefault="00900968">
            <w:pPr>
              <w:jc w:val="right"/>
              <w:textAlignment w:val="center"/>
            </w:pPr>
            <w:r>
              <w:rPr>
                <w:rFonts w:ascii="Times New Roman" w:eastAsia="宋体" w:hAnsi="Times New Roman"/>
                <w:color w:val="000000"/>
                <w:sz w:val="16"/>
                <w:szCs w:val="16"/>
              </w:rPr>
              <w:t>(34)</w:t>
            </w:r>
          </w:p>
        </w:tc>
        <w:tc>
          <w:tcPr>
            <w:tcW w:w="0" w:type="auto"/>
            <w:shd w:val="clear" w:color="auto" w:fill="CCEEFF"/>
            <w:tcMar>
              <w:top w:w="40" w:type="dxa"/>
              <w:left w:w="0" w:type="dxa"/>
              <w:bottom w:w="40" w:type="dxa"/>
              <w:right w:w="20" w:type="dxa"/>
            </w:tcMar>
            <w:vAlign w:val="center"/>
          </w:tcPr>
          <w:p w14:paraId="442F65C1" w14:textId="77777777" w:rsidR="00CC25B5" w:rsidRDefault="00CC25B5">
            <w:pPr>
              <w:jc w:val="right"/>
              <w:rPr>
                <w:rFonts w:ascii="宋体"/>
              </w:rPr>
            </w:pPr>
          </w:p>
        </w:tc>
      </w:tr>
      <w:tr w:rsidR="00CC25B5" w14:paraId="442F65CF" w14:textId="77777777">
        <w:trPr>
          <w:jc w:val="center"/>
        </w:trPr>
        <w:tc>
          <w:tcPr>
            <w:tcW w:w="0" w:type="auto"/>
            <w:gridSpan w:val="3"/>
            <w:shd w:val="clear" w:color="auto" w:fill="FFFFFF"/>
            <w:tcMar>
              <w:top w:w="40" w:type="dxa"/>
              <w:left w:w="380" w:type="dxa"/>
              <w:bottom w:w="40" w:type="dxa"/>
              <w:right w:w="20" w:type="dxa"/>
            </w:tcMar>
            <w:vAlign w:val="center"/>
          </w:tcPr>
          <w:p w14:paraId="442F65C3" w14:textId="77777777" w:rsidR="00CC25B5" w:rsidRDefault="00900968">
            <w:pPr>
              <w:textAlignment w:val="center"/>
            </w:pPr>
            <w:r>
              <w:rPr>
                <w:rFonts w:ascii="Times New Roman" w:eastAsia="宋体" w:hAnsi="Times New Roman"/>
                <w:color w:val="000000"/>
                <w:sz w:val="16"/>
                <w:szCs w:val="16"/>
              </w:rPr>
              <w:t>Cash flow hedges</w:t>
            </w:r>
          </w:p>
        </w:tc>
        <w:tc>
          <w:tcPr>
            <w:tcW w:w="0" w:type="auto"/>
            <w:gridSpan w:val="2"/>
            <w:shd w:val="clear" w:color="auto" w:fill="FFFFFF"/>
            <w:tcMar>
              <w:top w:w="40" w:type="dxa"/>
              <w:left w:w="20" w:type="dxa"/>
              <w:bottom w:w="40" w:type="dxa"/>
              <w:right w:w="0" w:type="dxa"/>
            </w:tcMar>
            <w:vAlign w:val="center"/>
          </w:tcPr>
          <w:p w14:paraId="442F65C4" w14:textId="77777777" w:rsidR="00CC25B5" w:rsidRDefault="00900968">
            <w:pPr>
              <w:jc w:val="right"/>
              <w:textAlignment w:val="center"/>
            </w:pPr>
            <w:r>
              <w:rPr>
                <w:rFonts w:ascii="Times New Roman" w:eastAsia="宋体" w:hAnsi="Times New Roman"/>
                <w:color w:val="000000"/>
                <w:sz w:val="16"/>
                <w:szCs w:val="16"/>
              </w:rPr>
              <w:t>(155)</w:t>
            </w:r>
          </w:p>
        </w:tc>
        <w:tc>
          <w:tcPr>
            <w:tcW w:w="0" w:type="auto"/>
            <w:shd w:val="clear" w:color="auto" w:fill="FFFFFF"/>
            <w:tcMar>
              <w:top w:w="40" w:type="dxa"/>
              <w:left w:w="0" w:type="dxa"/>
              <w:bottom w:w="40" w:type="dxa"/>
              <w:right w:w="20" w:type="dxa"/>
            </w:tcMar>
            <w:vAlign w:val="center"/>
          </w:tcPr>
          <w:p w14:paraId="442F65C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C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C7" w14:textId="77777777" w:rsidR="00CC25B5" w:rsidRDefault="00900968">
            <w:pPr>
              <w:jc w:val="right"/>
              <w:textAlignment w:val="center"/>
            </w:pPr>
            <w:r>
              <w:rPr>
                <w:rFonts w:ascii="Times New Roman" w:eastAsia="宋体" w:hAnsi="Times New Roman"/>
                <w:color w:val="000000"/>
                <w:sz w:val="16"/>
                <w:szCs w:val="16"/>
              </w:rPr>
              <w:t>313 </w:t>
            </w:r>
          </w:p>
        </w:tc>
        <w:tc>
          <w:tcPr>
            <w:tcW w:w="0" w:type="auto"/>
            <w:shd w:val="clear" w:color="auto" w:fill="FFFFFF"/>
            <w:tcMar>
              <w:top w:w="40" w:type="dxa"/>
              <w:left w:w="0" w:type="dxa"/>
              <w:bottom w:w="40" w:type="dxa"/>
              <w:right w:w="20" w:type="dxa"/>
            </w:tcMar>
            <w:vAlign w:val="center"/>
          </w:tcPr>
          <w:p w14:paraId="442F65C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C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CA" w14:textId="77777777" w:rsidR="00CC25B5" w:rsidRDefault="00900968">
            <w:pPr>
              <w:jc w:val="right"/>
              <w:textAlignment w:val="center"/>
            </w:pPr>
            <w:r>
              <w:rPr>
                <w:rFonts w:ascii="Times New Roman" w:eastAsia="宋体" w:hAnsi="Times New Roman"/>
                <w:color w:val="000000"/>
                <w:sz w:val="16"/>
                <w:szCs w:val="16"/>
              </w:rPr>
              <w:t>(135)</w:t>
            </w:r>
          </w:p>
        </w:tc>
        <w:tc>
          <w:tcPr>
            <w:tcW w:w="0" w:type="auto"/>
            <w:shd w:val="clear" w:color="auto" w:fill="FFFFFF"/>
            <w:tcMar>
              <w:top w:w="40" w:type="dxa"/>
              <w:left w:w="0" w:type="dxa"/>
              <w:bottom w:w="40" w:type="dxa"/>
              <w:right w:w="20" w:type="dxa"/>
            </w:tcMar>
            <w:vAlign w:val="center"/>
          </w:tcPr>
          <w:p w14:paraId="442F65C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C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5CD" w14:textId="77777777" w:rsidR="00CC25B5" w:rsidRDefault="00900968">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442F65CE" w14:textId="77777777" w:rsidR="00CC25B5" w:rsidRDefault="00CC25B5">
            <w:pPr>
              <w:jc w:val="right"/>
              <w:rPr>
                <w:rFonts w:ascii="宋体"/>
              </w:rPr>
            </w:pPr>
          </w:p>
        </w:tc>
      </w:tr>
      <w:tr w:rsidR="00CC25B5" w14:paraId="442F65DC" w14:textId="77777777">
        <w:trPr>
          <w:jc w:val="center"/>
        </w:trPr>
        <w:tc>
          <w:tcPr>
            <w:tcW w:w="0" w:type="auto"/>
            <w:gridSpan w:val="3"/>
            <w:shd w:val="clear" w:color="auto" w:fill="CCEEFF"/>
            <w:tcMar>
              <w:top w:w="40" w:type="dxa"/>
              <w:left w:w="380" w:type="dxa"/>
              <w:bottom w:w="40" w:type="dxa"/>
              <w:right w:w="20" w:type="dxa"/>
            </w:tcMar>
            <w:vAlign w:val="center"/>
          </w:tcPr>
          <w:p w14:paraId="442F65D0" w14:textId="77777777" w:rsidR="00CC25B5" w:rsidRDefault="00900968">
            <w:pPr>
              <w:textAlignment w:val="center"/>
            </w:pPr>
            <w:r>
              <w:rPr>
                <w:rFonts w:ascii="Times New Roman" w:eastAsia="宋体" w:hAnsi="Times New Roman"/>
                <w:color w:val="000000"/>
                <w:sz w:val="16"/>
                <w:szCs w:val="16"/>
              </w:rPr>
              <w:t>Minimum pension liability</w:t>
            </w:r>
          </w:p>
        </w:tc>
        <w:tc>
          <w:tcPr>
            <w:tcW w:w="0" w:type="auto"/>
            <w:gridSpan w:val="2"/>
            <w:shd w:val="clear" w:color="auto" w:fill="CCEEFF"/>
            <w:tcMar>
              <w:top w:w="40" w:type="dxa"/>
              <w:left w:w="20" w:type="dxa"/>
              <w:bottom w:w="40" w:type="dxa"/>
              <w:right w:w="0" w:type="dxa"/>
            </w:tcMar>
            <w:vAlign w:val="center"/>
          </w:tcPr>
          <w:p w14:paraId="442F65D1" w14:textId="77777777" w:rsidR="00CC25B5" w:rsidRDefault="00900968">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42F65D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D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D4" w14:textId="77777777" w:rsidR="00CC25B5" w:rsidRDefault="00900968">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42F65D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D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D7" w14:textId="77777777" w:rsidR="00CC25B5" w:rsidRDefault="00900968">
            <w:pPr>
              <w:jc w:val="right"/>
              <w:textAlignment w:val="center"/>
            </w:pPr>
            <w:r>
              <w:rPr>
                <w:rFonts w:ascii="Times New Roman" w:eastAsia="宋体" w:hAnsi="Times New Roman"/>
                <w:color w:val="000000"/>
                <w:sz w:val="16"/>
                <w:szCs w:val="16"/>
              </w:rPr>
              <w:t>1,971 </w:t>
            </w:r>
          </w:p>
        </w:tc>
        <w:tc>
          <w:tcPr>
            <w:tcW w:w="0" w:type="auto"/>
            <w:shd w:val="clear" w:color="auto" w:fill="CCEEFF"/>
            <w:tcMar>
              <w:top w:w="40" w:type="dxa"/>
              <w:left w:w="0" w:type="dxa"/>
              <w:bottom w:w="40" w:type="dxa"/>
              <w:right w:w="20" w:type="dxa"/>
            </w:tcMar>
            <w:vAlign w:val="center"/>
          </w:tcPr>
          <w:p w14:paraId="442F65D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D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DA" w14:textId="77777777" w:rsidR="00CC25B5" w:rsidRDefault="00900968">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42F65DB" w14:textId="77777777" w:rsidR="00CC25B5" w:rsidRDefault="00CC25B5">
            <w:pPr>
              <w:jc w:val="right"/>
              <w:rPr>
                <w:rFonts w:ascii="宋体"/>
              </w:rPr>
            </w:pPr>
          </w:p>
        </w:tc>
      </w:tr>
      <w:tr w:rsidR="00CC25B5" w14:paraId="442F65E5" w14:textId="77777777">
        <w:trPr>
          <w:jc w:val="center"/>
          <w:hidden/>
        </w:trPr>
        <w:tc>
          <w:tcPr>
            <w:tcW w:w="0" w:type="auto"/>
            <w:gridSpan w:val="3"/>
            <w:shd w:val="clear" w:color="auto" w:fill="auto"/>
            <w:vAlign w:val="bottom"/>
          </w:tcPr>
          <w:p w14:paraId="442F65DD" w14:textId="77777777" w:rsidR="00CC25B5" w:rsidRDefault="00CC25B5">
            <w:pPr>
              <w:rPr>
                <w:rFonts w:ascii="宋体"/>
                <w:vanish/>
              </w:rPr>
            </w:pPr>
          </w:p>
        </w:tc>
        <w:tc>
          <w:tcPr>
            <w:tcW w:w="0" w:type="auto"/>
            <w:gridSpan w:val="3"/>
            <w:shd w:val="clear" w:color="auto" w:fill="auto"/>
            <w:vAlign w:val="bottom"/>
          </w:tcPr>
          <w:p w14:paraId="442F65DE" w14:textId="77777777" w:rsidR="00CC25B5" w:rsidRDefault="00CC25B5">
            <w:pPr>
              <w:rPr>
                <w:rFonts w:ascii="宋体"/>
                <w:vanish/>
              </w:rPr>
            </w:pPr>
          </w:p>
        </w:tc>
        <w:tc>
          <w:tcPr>
            <w:tcW w:w="0" w:type="auto"/>
            <w:gridSpan w:val="3"/>
            <w:shd w:val="clear" w:color="auto" w:fill="auto"/>
            <w:vAlign w:val="bottom"/>
          </w:tcPr>
          <w:p w14:paraId="442F65DF" w14:textId="77777777" w:rsidR="00CC25B5" w:rsidRDefault="00CC25B5">
            <w:pPr>
              <w:rPr>
                <w:rFonts w:ascii="宋体"/>
                <w:vanish/>
              </w:rPr>
            </w:pPr>
          </w:p>
        </w:tc>
        <w:tc>
          <w:tcPr>
            <w:tcW w:w="0" w:type="auto"/>
            <w:gridSpan w:val="3"/>
            <w:shd w:val="clear" w:color="auto" w:fill="auto"/>
            <w:vAlign w:val="bottom"/>
          </w:tcPr>
          <w:p w14:paraId="442F65E0" w14:textId="77777777" w:rsidR="00CC25B5" w:rsidRDefault="00CC25B5">
            <w:pPr>
              <w:rPr>
                <w:rFonts w:ascii="宋体"/>
                <w:vanish/>
              </w:rPr>
            </w:pPr>
          </w:p>
        </w:tc>
        <w:tc>
          <w:tcPr>
            <w:tcW w:w="0" w:type="auto"/>
            <w:gridSpan w:val="3"/>
            <w:shd w:val="clear" w:color="auto" w:fill="auto"/>
            <w:vAlign w:val="bottom"/>
          </w:tcPr>
          <w:p w14:paraId="442F65E1" w14:textId="77777777" w:rsidR="00CC25B5" w:rsidRDefault="00CC25B5">
            <w:pPr>
              <w:rPr>
                <w:rFonts w:ascii="宋体"/>
                <w:vanish/>
              </w:rPr>
            </w:pPr>
          </w:p>
        </w:tc>
        <w:tc>
          <w:tcPr>
            <w:tcW w:w="0" w:type="auto"/>
            <w:gridSpan w:val="3"/>
            <w:shd w:val="clear" w:color="auto" w:fill="auto"/>
            <w:vAlign w:val="bottom"/>
          </w:tcPr>
          <w:p w14:paraId="442F65E2" w14:textId="77777777" w:rsidR="00CC25B5" w:rsidRDefault="00CC25B5">
            <w:pPr>
              <w:rPr>
                <w:rFonts w:ascii="宋体"/>
                <w:vanish/>
              </w:rPr>
            </w:pPr>
          </w:p>
        </w:tc>
        <w:tc>
          <w:tcPr>
            <w:tcW w:w="0" w:type="auto"/>
            <w:gridSpan w:val="3"/>
            <w:shd w:val="clear" w:color="auto" w:fill="auto"/>
            <w:vAlign w:val="bottom"/>
          </w:tcPr>
          <w:p w14:paraId="442F65E3" w14:textId="77777777" w:rsidR="00CC25B5" w:rsidRDefault="00CC25B5">
            <w:pPr>
              <w:rPr>
                <w:rFonts w:ascii="宋体"/>
                <w:vanish/>
              </w:rPr>
            </w:pPr>
          </w:p>
        </w:tc>
        <w:tc>
          <w:tcPr>
            <w:tcW w:w="0" w:type="auto"/>
            <w:gridSpan w:val="3"/>
            <w:shd w:val="clear" w:color="auto" w:fill="auto"/>
            <w:vAlign w:val="bottom"/>
          </w:tcPr>
          <w:p w14:paraId="442F65E4" w14:textId="77777777" w:rsidR="00CC25B5" w:rsidRDefault="00CC25B5">
            <w:pPr>
              <w:rPr>
                <w:rFonts w:ascii="宋体"/>
                <w:vanish/>
              </w:rPr>
            </w:pPr>
          </w:p>
        </w:tc>
      </w:tr>
      <w:tr w:rsidR="00CC25B5" w14:paraId="442F65F2" w14:textId="77777777">
        <w:trPr>
          <w:jc w:val="center"/>
        </w:trPr>
        <w:tc>
          <w:tcPr>
            <w:tcW w:w="0" w:type="auto"/>
            <w:gridSpan w:val="3"/>
            <w:shd w:val="clear" w:color="auto" w:fill="FFFFFF"/>
            <w:tcMar>
              <w:top w:w="40" w:type="dxa"/>
              <w:left w:w="20" w:type="dxa"/>
              <w:bottom w:w="40" w:type="dxa"/>
              <w:right w:w="20" w:type="dxa"/>
            </w:tcMar>
            <w:vAlign w:val="center"/>
          </w:tcPr>
          <w:p w14:paraId="442F65E6" w14:textId="77777777" w:rsidR="00CC25B5" w:rsidRDefault="00900968">
            <w:pPr>
              <w:textAlignment w:val="center"/>
            </w:pPr>
            <w:r>
              <w:rPr>
                <w:rFonts w:ascii="Times New Roman" w:eastAsia="宋体" w:hAnsi="Times New Roman"/>
                <w:color w:val="000000"/>
                <w:sz w:val="16"/>
                <w:szCs w:val="16"/>
              </w:rPr>
              <w:t>Other comprehensive income (loss), net of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5E7" w14:textId="77777777" w:rsidR="00CC25B5" w:rsidRDefault="00900968">
            <w:pPr>
              <w:jc w:val="right"/>
              <w:textAlignment w:val="center"/>
            </w:pPr>
            <w:r>
              <w:rPr>
                <w:rFonts w:ascii="Times New Roman" w:eastAsia="宋体" w:hAnsi="Times New Roman"/>
                <w:color w:val="000000"/>
                <w:sz w:val="16"/>
                <w:szCs w:val="16"/>
              </w:rPr>
              <w:t>48 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5E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E9"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5EA" w14:textId="77777777" w:rsidR="00CC25B5" w:rsidRDefault="00900968">
            <w:pPr>
              <w:jc w:val="right"/>
              <w:textAlignment w:val="center"/>
            </w:pPr>
            <w:r>
              <w:rPr>
                <w:rFonts w:ascii="Times New Roman" w:eastAsia="宋体" w:hAnsi="Times New Roman"/>
                <w:color w:val="000000"/>
                <w:sz w:val="16"/>
                <w:szCs w:val="16"/>
              </w:rPr>
              <w:t>436 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5E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EC"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5ED" w14:textId="77777777" w:rsidR="00CC25B5" w:rsidRDefault="00900968">
            <w:pPr>
              <w:jc w:val="right"/>
              <w:textAlignment w:val="center"/>
            </w:pPr>
            <w:r>
              <w:rPr>
                <w:rFonts w:ascii="Times New Roman" w:eastAsia="宋体" w:hAnsi="Times New Roman"/>
                <w:color w:val="000000"/>
                <w:sz w:val="16"/>
                <w:szCs w:val="16"/>
              </w:rPr>
              <w:t>3,794 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5E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5EF"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5F0" w14:textId="77777777" w:rsidR="00CC25B5" w:rsidRDefault="00900968">
            <w:pPr>
              <w:jc w:val="right"/>
              <w:textAlignment w:val="center"/>
            </w:pPr>
            <w:r>
              <w:rPr>
                <w:rFonts w:ascii="Times New Roman" w:eastAsia="宋体" w:hAnsi="Times New Roman"/>
                <w:color w:val="000000"/>
                <w:sz w:val="16"/>
                <w:szCs w:val="16"/>
              </w:rPr>
              <w:t>(3,639)</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5F1" w14:textId="77777777" w:rsidR="00CC25B5" w:rsidRDefault="00CC25B5">
            <w:pPr>
              <w:jc w:val="right"/>
              <w:rPr>
                <w:rFonts w:ascii="宋体"/>
              </w:rPr>
            </w:pPr>
          </w:p>
        </w:tc>
      </w:tr>
      <w:tr w:rsidR="00CC25B5" w14:paraId="442F65FF" w14:textId="77777777">
        <w:trPr>
          <w:jc w:val="center"/>
        </w:trPr>
        <w:tc>
          <w:tcPr>
            <w:tcW w:w="0" w:type="auto"/>
            <w:gridSpan w:val="3"/>
            <w:shd w:val="clear" w:color="auto" w:fill="CCEEFF"/>
            <w:tcMar>
              <w:top w:w="40" w:type="dxa"/>
              <w:left w:w="380" w:type="dxa"/>
              <w:bottom w:w="40" w:type="dxa"/>
              <w:right w:w="20" w:type="dxa"/>
            </w:tcMar>
            <w:vAlign w:val="center"/>
          </w:tcPr>
          <w:p w14:paraId="442F65F3" w14:textId="77777777" w:rsidR="00CC25B5" w:rsidRDefault="00900968">
            <w:pPr>
              <w:textAlignment w:val="center"/>
            </w:pPr>
            <w:r>
              <w:rPr>
                <w:rFonts w:ascii="Times New Roman" w:eastAsia="宋体" w:hAnsi="Times New Roman"/>
                <w:color w:val="000000"/>
                <w:sz w:val="16"/>
                <w:szCs w:val="16"/>
              </w:rPr>
              <w:t>Other 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442F65F4" w14:textId="77777777" w:rsidR="00CC25B5" w:rsidRDefault="00900968">
            <w:pPr>
              <w:jc w:val="right"/>
              <w:textAlignment w:val="center"/>
            </w:pPr>
            <w:r>
              <w:rPr>
                <w:rFonts w:ascii="Times New Roman" w:eastAsia="宋体" w:hAnsi="Times New Roman"/>
                <w:color w:val="000000"/>
                <w:sz w:val="16"/>
                <w:szCs w:val="16"/>
              </w:rPr>
              <w:t>(78)</w:t>
            </w:r>
          </w:p>
        </w:tc>
        <w:tc>
          <w:tcPr>
            <w:tcW w:w="0" w:type="auto"/>
            <w:shd w:val="clear" w:color="auto" w:fill="CCEEFF"/>
            <w:tcMar>
              <w:top w:w="40" w:type="dxa"/>
              <w:left w:w="0" w:type="dxa"/>
              <w:bottom w:w="40" w:type="dxa"/>
              <w:right w:w="20" w:type="dxa"/>
            </w:tcMar>
            <w:vAlign w:val="center"/>
          </w:tcPr>
          <w:p w14:paraId="442F65F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F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F7" w14:textId="77777777" w:rsidR="00CC25B5" w:rsidRDefault="00900968">
            <w:pPr>
              <w:jc w:val="right"/>
              <w:textAlignment w:val="center"/>
            </w:pPr>
            <w:r>
              <w:rPr>
                <w:rFonts w:ascii="Times New Roman" w:eastAsia="宋体" w:hAnsi="Times New Roman"/>
                <w:color w:val="000000"/>
                <w:sz w:val="16"/>
                <w:szCs w:val="16"/>
              </w:rPr>
              <w:t>(52)</w:t>
            </w:r>
          </w:p>
        </w:tc>
        <w:tc>
          <w:tcPr>
            <w:tcW w:w="0" w:type="auto"/>
            <w:shd w:val="clear" w:color="auto" w:fill="CCEEFF"/>
            <w:tcMar>
              <w:top w:w="40" w:type="dxa"/>
              <w:left w:w="0" w:type="dxa"/>
              <w:bottom w:w="40" w:type="dxa"/>
              <w:right w:w="20" w:type="dxa"/>
            </w:tcMar>
            <w:vAlign w:val="center"/>
          </w:tcPr>
          <w:p w14:paraId="442F65F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F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FA" w14:textId="77777777" w:rsidR="00CC25B5" w:rsidRDefault="00900968">
            <w:pPr>
              <w:jc w:val="right"/>
              <w:textAlignment w:val="center"/>
            </w:pPr>
            <w:r>
              <w:rPr>
                <w:rFonts w:ascii="Times New Roman" w:eastAsia="宋体" w:hAnsi="Times New Roman"/>
                <w:color w:val="000000"/>
                <w:sz w:val="16"/>
                <w:szCs w:val="16"/>
              </w:rPr>
              <w:t>(4)</w:t>
            </w:r>
          </w:p>
        </w:tc>
        <w:tc>
          <w:tcPr>
            <w:tcW w:w="0" w:type="auto"/>
            <w:shd w:val="clear" w:color="auto" w:fill="CCEEFF"/>
            <w:tcMar>
              <w:top w:w="40" w:type="dxa"/>
              <w:left w:w="0" w:type="dxa"/>
              <w:bottom w:w="40" w:type="dxa"/>
              <w:right w:w="20" w:type="dxa"/>
            </w:tcMar>
            <w:vAlign w:val="center"/>
          </w:tcPr>
          <w:p w14:paraId="442F65F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5F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5FD" w14:textId="77777777" w:rsidR="00CC25B5" w:rsidRDefault="00900968">
            <w:pPr>
              <w:jc w:val="right"/>
              <w:textAlignment w:val="center"/>
            </w:pPr>
            <w:r>
              <w:rPr>
                <w:rFonts w:ascii="Times New Roman" w:eastAsia="宋体" w:hAnsi="Times New Roman"/>
                <w:color w:val="000000"/>
                <w:sz w:val="16"/>
                <w:szCs w:val="16"/>
              </w:rPr>
              <w:t>660 </w:t>
            </w:r>
          </w:p>
        </w:tc>
        <w:tc>
          <w:tcPr>
            <w:tcW w:w="0" w:type="auto"/>
            <w:shd w:val="clear" w:color="auto" w:fill="CCEEFF"/>
            <w:tcMar>
              <w:top w:w="40" w:type="dxa"/>
              <w:left w:w="0" w:type="dxa"/>
              <w:bottom w:w="40" w:type="dxa"/>
              <w:right w:w="20" w:type="dxa"/>
            </w:tcMar>
            <w:vAlign w:val="center"/>
          </w:tcPr>
          <w:p w14:paraId="442F65FE" w14:textId="77777777" w:rsidR="00CC25B5" w:rsidRDefault="00CC25B5">
            <w:pPr>
              <w:jc w:val="right"/>
              <w:rPr>
                <w:rFonts w:ascii="宋体"/>
              </w:rPr>
            </w:pPr>
          </w:p>
        </w:tc>
      </w:tr>
      <w:tr w:rsidR="00CC25B5" w14:paraId="442F6608" w14:textId="77777777">
        <w:trPr>
          <w:jc w:val="center"/>
          <w:hidden/>
        </w:trPr>
        <w:tc>
          <w:tcPr>
            <w:tcW w:w="0" w:type="auto"/>
            <w:gridSpan w:val="3"/>
            <w:shd w:val="clear" w:color="auto" w:fill="auto"/>
            <w:vAlign w:val="bottom"/>
          </w:tcPr>
          <w:p w14:paraId="442F6600" w14:textId="77777777" w:rsidR="00CC25B5" w:rsidRDefault="00CC25B5">
            <w:pPr>
              <w:rPr>
                <w:rFonts w:ascii="宋体"/>
                <w:vanish/>
              </w:rPr>
            </w:pPr>
          </w:p>
        </w:tc>
        <w:tc>
          <w:tcPr>
            <w:tcW w:w="0" w:type="auto"/>
            <w:gridSpan w:val="3"/>
            <w:shd w:val="clear" w:color="auto" w:fill="auto"/>
            <w:vAlign w:val="bottom"/>
          </w:tcPr>
          <w:p w14:paraId="442F6601" w14:textId="77777777" w:rsidR="00CC25B5" w:rsidRDefault="00CC25B5">
            <w:pPr>
              <w:rPr>
                <w:rFonts w:ascii="宋体"/>
                <w:vanish/>
              </w:rPr>
            </w:pPr>
          </w:p>
        </w:tc>
        <w:tc>
          <w:tcPr>
            <w:tcW w:w="0" w:type="auto"/>
            <w:gridSpan w:val="3"/>
            <w:shd w:val="clear" w:color="auto" w:fill="auto"/>
            <w:vAlign w:val="bottom"/>
          </w:tcPr>
          <w:p w14:paraId="442F6602" w14:textId="77777777" w:rsidR="00CC25B5" w:rsidRDefault="00CC25B5">
            <w:pPr>
              <w:rPr>
                <w:rFonts w:ascii="宋体"/>
                <w:vanish/>
              </w:rPr>
            </w:pPr>
          </w:p>
        </w:tc>
        <w:tc>
          <w:tcPr>
            <w:tcW w:w="0" w:type="auto"/>
            <w:gridSpan w:val="3"/>
            <w:shd w:val="clear" w:color="auto" w:fill="auto"/>
            <w:vAlign w:val="bottom"/>
          </w:tcPr>
          <w:p w14:paraId="442F6603" w14:textId="77777777" w:rsidR="00CC25B5" w:rsidRDefault="00CC25B5">
            <w:pPr>
              <w:rPr>
                <w:rFonts w:ascii="宋体"/>
                <w:vanish/>
              </w:rPr>
            </w:pPr>
          </w:p>
        </w:tc>
        <w:tc>
          <w:tcPr>
            <w:tcW w:w="0" w:type="auto"/>
            <w:gridSpan w:val="3"/>
            <w:shd w:val="clear" w:color="auto" w:fill="auto"/>
            <w:vAlign w:val="bottom"/>
          </w:tcPr>
          <w:p w14:paraId="442F6604" w14:textId="77777777" w:rsidR="00CC25B5" w:rsidRDefault="00CC25B5">
            <w:pPr>
              <w:rPr>
                <w:rFonts w:ascii="宋体"/>
                <w:vanish/>
              </w:rPr>
            </w:pPr>
          </w:p>
        </w:tc>
        <w:tc>
          <w:tcPr>
            <w:tcW w:w="0" w:type="auto"/>
            <w:gridSpan w:val="3"/>
            <w:shd w:val="clear" w:color="auto" w:fill="auto"/>
            <w:vAlign w:val="bottom"/>
          </w:tcPr>
          <w:p w14:paraId="442F6605" w14:textId="77777777" w:rsidR="00CC25B5" w:rsidRDefault="00CC25B5">
            <w:pPr>
              <w:rPr>
                <w:rFonts w:ascii="宋体"/>
                <w:vanish/>
              </w:rPr>
            </w:pPr>
          </w:p>
        </w:tc>
        <w:tc>
          <w:tcPr>
            <w:tcW w:w="0" w:type="auto"/>
            <w:gridSpan w:val="3"/>
            <w:shd w:val="clear" w:color="auto" w:fill="auto"/>
            <w:vAlign w:val="bottom"/>
          </w:tcPr>
          <w:p w14:paraId="442F6606" w14:textId="77777777" w:rsidR="00CC25B5" w:rsidRDefault="00CC25B5">
            <w:pPr>
              <w:rPr>
                <w:rFonts w:ascii="宋体"/>
                <w:vanish/>
              </w:rPr>
            </w:pPr>
          </w:p>
        </w:tc>
        <w:tc>
          <w:tcPr>
            <w:tcW w:w="0" w:type="auto"/>
            <w:gridSpan w:val="3"/>
            <w:shd w:val="clear" w:color="auto" w:fill="auto"/>
            <w:vAlign w:val="bottom"/>
          </w:tcPr>
          <w:p w14:paraId="442F6607" w14:textId="77777777" w:rsidR="00CC25B5" w:rsidRDefault="00CC25B5">
            <w:pPr>
              <w:rPr>
                <w:rFonts w:ascii="宋体"/>
                <w:vanish/>
              </w:rPr>
            </w:pPr>
          </w:p>
        </w:tc>
      </w:tr>
      <w:tr w:rsidR="00CC25B5" w14:paraId="442F6615" w14:textId="77777777">
        <w:trPr>
          <w:jc w:val="center"/>
        </w:trPr>
        <w:tc>
          <w:tcPr>
            <w:tcW w:w="0" w:type="auto"/>
            <w:gridSpan w:val="3"/>
            <w:shd w:val="clear" w:color="auto" w:fill="FFFFFF"/>
            <w:tcMar>
              <w:top w:w="40" w:type="dxa"/>
              <w:left w:w="20" w:type="dxa"/>
              <w:bottom w:w="40" w:type="dxa"/>
              <w:right w:w="20" w:type="dxa"/>
            </w:tcMar>
            <w:vAlign w:val="center"/>
          </w:tcPr>
          <w:p w14:paraId="442F6609" w14:textId="77777777" w:rsidR="00CC25B5" w:rsidRDefault="00900968">
            <w:pPr>
              <w:textAlignment w:val="center"/>
            </w:pPr>
            <w:r>
              <w:rPr>
                <w:rFonts w:ascii="Times New Roman" w:eastAsia="宋体" w:hAnsi="Times New Roman"/>
                <w:b/>
                <w:bCs/>
                <w:color w:val="000000"/>
                <w:sz w:val="16"/>
                <w:szCs w:val="16"/>
              </w:rPr>
              <w:t>Other comprehensive income (loss) attributable to Walmart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60A" w14:textId="77777777" w:rsidR="00CC25B5" w:rsidRDefault="00900968">
            <w:pPr>
              <w:jc w:val="right"/>
              <w:textAlignment w:val="center"/>
            </w:pPr>
            <w:r>
              <w:rPr>
                <w:rFonts w:ascii="Times New Roman" w:eastAsia="宋体" w:hAnsi="Times New Roman"/>
                <w:color w:val="000000"/>
                <w:sz w:val="16"/>
                <w:szCs w:val="16"/>
              </w:rPr>
              <w:t>(30)</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60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0C"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60D" w14:textId="77777777" w:rsidR="00CC25B5" w:rsidRDefault="00900968">
            <w:pPr>
              <w:jc w:val="right"/>
              <w:textAlignment w:val="center"/>
            </w:pPr>
            <w:r>
              <w:rPr>
                <w:rFonts w:ascii="Times New Roman" w:eastAsia="宋体" w:hAnsi="Times New Roman"/>
                <w:color w:val="000000"/>
                <w:sz w:val="16"/>
                <w:szCs w:val="16"/>
              </w:rPr>
              <w:t>384 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60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0F"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610" w14:textId="77777777" w:rsidR="00CC25B5" w:rsidRDefault="00900968">
            <w:pPr>
              <w:jc w:val="right"/>
              <w:textAlignment w:val="center"/>
            </w:pPr>
            <w:r>
              <w:rPr>
                <w:rFonts w:ascii="Times New Roman" w:eastAsia="宋体" w:hAnsi="Times New Roman"/>
                <w:color w:val="000000"/>
                <w:sz w:val="16"/>
                <w:szCs w:val="16"/>
              </w:rPr>
              <w:t>3,790 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61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12"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613" w14:textId="77777777" w:rsidR="00CC25B5" w:rsidRDefault="00900968">
            <w:pPr>
              <w:jc w:val="right"/>
              <w:textAlignment w:val="center"/>
            </w:pPr>
            <w:r>
              <w:rPr>
                <w:rFonts w:ascii="Times New Roman" w:eastAsia="宋体" w:hAnsi="Times New Roman"/>
                <w:color w:val="000000"/>
                <w:sz w:val="16"/>
                <w:szCs w:val="16"/>
              </w:rPr>
              <w:t>(2,979)</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614" w14:textId="77777777" w:rsidR="00CC25B5" w:rsidRDefault="00CC25B5">
            <w:pPr>
              <w:jc w:val="right"/>
              <w:rPr>
                <w:rFonts w:ascii="宋体"/>
              </w:rPr>
            </w:pPr>
          </w:p>
        </w:tc>
      </w:tr>
      <w:tr w:rsidR="00CC25B5" w14:paraId="442F661E" w14:textId="77777777">
        <w:trPr>
          <w:trHeight w:val="220"/>
          <w:jc w:val="center"/>
        </w:trPr>
        <w:tc>
          <w:tcPr>
            <w:tcW w:w="0" w:type="auto"/>
            <w:gridSpan w:val="3"/>
            <w:shd w:val="clear" w:color="auto" w:fill="CCEEFF"/>
            <w:tcMar>
              <w:top w:w="0" w:type="dxa"/>
              <w:left w:w="20" w:type="dxa"/>
              <w:bottom w:w="0" w:type="dxa"/>
              <w:right w:w="20" w:type="dxa"/>
            </w:tcMar>
            <w:vAlign w:val="bottom"/>
          </w:tcPr>
          <w:p w14:paraId="442F6616" w14:textId="77777777" w:rsidR="00CC25B5" w:rsidRDefault="00CC25B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6617"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618" w14:textId="77777777" w:rsidR="00CC25B5" w:rsidRDefault="00CC25B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661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61A" w14:textId="77777777" w:rsidR="00CC25B5" w:rsidRDefault="00CC25B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661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61C" w14:textId="77777777" w:rsidR="00CC25B5" w:rsidRDefault="00CC25B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661D" w14:textId="77777777" w:rsidR="00CC25B5" w:rsidRDefault="00CC25B5">
            <w:pPr>
              <w:rPr>
                <w:rFonts w:ascii="宋体"/>
              </w:rPr>
            </w:pPr>
          </w:p>
        </w:tc>
      </w:tr>
      <w:tr w:rsidR="00CC25B5" w14:paraId="442F662B" w14:textId="77777777">
        <w:trPr>
          <w:jc w:val="center"/>
        </w:trPr>
        <w:tc>
          <w:tcPr>
            <w:tcW w:w="0" w:type="auto"/>
            <w:gridSpan w:val="3"/>
            <w:shd w:val="clear" w:color="auto" w:fill="FFFFFF"/>
            <w:tcMar>
              <w:top w:w="40" w:type="dxa"/>
              <w:left w:w="20" w:type="dxa"/>
              <w:bottom w:w="40" w:type="dxa"/>
              <w:right w:w="20" w:type="dxa"/>
            </w:tcMar>
            <w:vAlign w:val="center"/>
          </w:tcPr>
          <w:p w14:paraId="442F661F" w14:textId="77777777" w:rsidR="00CC25B5" w:rsidRDefault="00900968">
            <w:pPr>
              <w:textAlignment w:val="center"/>
            </w:pPr>
            <w:r>
              <w:rPr>
                <w:rFonts w:ascii="Times New Roman" w:eastAsia="宋体" w:hAnsi="Times New Roman"/>
                <w:color w:val="000000"/>
                <w:sz w:val="16"/>
                <w:szCs w:val="16"/>
              </w:rPr>
              <w:t>Comprehensive income, net of income taxes</w:t>
            </w:r>
          </w:p>
        </w:tc>
        <w:tc>
          <w:tcPr>
            <w:tcW w:w="0" w:type="auto"/>
            <w:gridSpan w:val="2"/>
            <w:shd w:val="clear" w:color="auto" w:fill="FFFFFF"/>
            <w:tcMar>
              <w:top w:w="40" w:type="dxa"/>
              <w:left w:w="20" w:type="dxa"/>
              <w:bottom w:w="40" w:type="dxa"/>
              <w:right w:w="0" w:type="dxa"/>
            </w:tcMar>
            <w:vAlign w:val="center"/>
          </w:tcPr>
          <w:p w14:paraId="442F6620" w14:textId="77777777" w:rsidR="00CC25B5" w:rsidRDefault="00900968">
            <w:pPr>
              <w:jc w:val="right"/>
              <w:textAlignment w:val="center"/>
            </w:pPr>
            <w:r>
              <w:rPr>
                <w:rFonts w:ascii="Times New Roman" w:eastAsia="宋体" w:hAnsi="Times New Roman"/>
                <w:color w:val="000000"/>
                <w:sz w:val="16"/>
                <w:szCs w:val="16"/>
              </w:rPr>
              <w:t>4,412 </w:t>
            </w:r>
          </w:p>
        </w:tc>
        <w:tc>
          <w:tcPr>
            <w:tcW w:w="0" w:type="auto"/>
            <w:shd w:val="clear" w:color="auto" w:fill="FFFFFF"/>
            <w:tcMar>
              <w:top w:w="40" w:type="dxa"/>
              <w:left w:w="0" w:type="dxa"/>
              <w:bottom w:w="40" w:type="dxa"/>
              <w:right w:w="20" w:type="dxa"/>
            </w:tcMar>
            <w:vAlign w:val="center"/>
          </w:tcPr>
          <w:p w14:paraId="442F662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2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23" w14:textId="77777777" w:rsidR="00CC25B5" w:rsidRDefault="00900968">
            <w:pPr>
              <w:jc w:val="right"/>
              <w:textAlignment w:val="center"/>
            </w:pPr>
            <w:r>
              <w:rPr>
                <w:rFonts w:ascii="Times New Roman" w:eastAsia="宋体" w:hAnsi="Times New Roman"/>
                <w:color w:val="000000"/>
                <w:sz w:val="16"/>
                <w:szCs w:val="16"/>
              </w:rPr>
              <w:t>6,875 </w:t>
            </w:r>
          </w:p>
        </w:tc>
        <w:tc>
          <w:tcPr>
            <w:tcW w:w="0" w:type="auto"/>
            <w:shd w:val="clear" w:color="auto" w:fill="FFFFFF"/>
            <w:tcMar>
              <w:top w:w="40" w:type="dxa"/>
              <w:left w:w="0" w:type="dxa"/>
              <w:bottom w:w="40" w:type="dxa"/>
              <w:right w:w="20" w:type="dxa"/>
            </w:tcMar>
            <w:vAlign w:val="center"/>
          </w:tcPr>
          <w:p w14:paraId="442F662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2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26" w14:textId="77777777" w:rsidR="00CC25B5" w:rsidRDefault="00900968">
            <w:pPr>
              <w:jc w:val="right"/>
              <w:textAlignment w:val="center"/>
            </w:pPr>
            <w:r>
              <w:rPr>
                <w:rFonts w:ascii="Times New Roman" w:eastAsia="宋体" w:hAnsi="Times New Roman"/>
                <w:color w:val="000000"/>
                <w:sz w:val="16"/>
                <w:szCs w:val="16"/>
              </w:rPr>
              <w:t>10,969 </w:t>
            </w:r>
          </w:p>
        </w:tc>
        <w:tc>
          <w:tcPr>
            <w:tcW w:w="0" w:type="auto"/>
            <w:shd w:val="clear" w:color="auto" w:fill="FFFFFF"/>
            <w:tcMar>
              <w:top w:w="40" w:type="dxa"/>
              <w:left w:w="0" w:type="dxa"/>
              <w:bottom w:w="40" w:type="dxa"/>
              <w:right w:w="20" w:type="dxa"/>
            </w:tcMar>
            <w:vAlign w:val="center"/>
          </w:tcPr>
          <w:p w14:paraId="442F662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2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29" w14:textId="77777777" w:rsidR="00CC25B5" w:rsidRDefault="00900968">
            <w:pPr>
              <w:jc w:val="right"/>
              <w:textAlignment w:val="center"/>
            </w:pPr>
            <w:r>
              <w:rPr>
                <w:rFonts w:ascii="Times New Roman" w:eastAsia="宋体" w:hAnsi="Times New Roman"/>
                <w:color w:val="000000"/>
                <w:sz w:val="16"/>
                <w:szCs w:val="16"/>
              </w:rPr>
              <w:t>6,874 </w:t>
            </w:r>
          </w:p>
        </w:tc>
        <w:tc>
          <w:tcPr>
            <w:tcW w:w="0" w:type="auto"/>
            <w:shd w:val="clear" w:color="auto" w:fill="FFFFFF"/>
            <w:tcMar>
              <w:top w:w="40" w:type="dxa"/>
              <w:left w:w="0" w:type="dxa"/>
              <w:bottom w:w="40" w:type="dxa"/>
              <w:right w:w="20" w:type="dxa"/>
            </w:tcMar>
            <w:vAlign w:val="center"/>
          </w:tcPr>
          <w:p w14:paraId="442F662A" w14:textId="77777777" w:rsidR="00CC25B5" w:rsidRDefault="00CC25B5">
            <w:pPr>
              <w:jc w:val="right"/>
              <w:rPr>
                <w:rFonts w:ascii="宋体"/>
              </w:rPr>
            </w:pPr>
          </w:p>
        </w:tc>
      </w:tr>
      <w:tr w:rsidR="00CC25B5" w14:paraId="442F6638" w14:textId="77777777">
        <w:trPr>
          <w:jc w:val="center"/>
        </w:trPr>
        <w:tc>
          <w:tcPr>
            <w:tcW w:w="0" w:type="auto"/>
            <w:gridSpan w:val="3"/>
            <w:shd w:val="clear" w:color="auto" w:fill="CCEEFF"/>
            <w:tcMar>
              <w:top w:w="40" w:type="dxa"/>
              <w:left w:w="380" w:type="dxa"/>
              <w:bottom w:w="40" w:type="dxa"/>
              <w:right w:w="20" w:type="dxa"/>
            </w:tcMar>
            <w:vAlign w:val="center"/>
          </w:tcPr>
          <w:p w14:paraId="442F662C" w14:textId="77777777" w:rsidR="00CC25B5" w:rsidRDefault="00900968">
            <w:pPr>
              <w:textAlignment w:val="center"/>
            </w:pPr>
            <w:r>
              <w:rPr>
                <w:rFonts w:ascii="Times New Roman" w:eastAsia="宋体" w:hAnsi="Times New Roman"/>
                <w:color w:val="000000"/>
                <w:sz w:val="16"/>
                <w:szCs w:val="16"/>
              </w:rPr>
              <w:t>Comprehensive (income) loss attributable to noncontrolling interest</w:t>
            </w:r>
          </w:p>
        </w:tc>
        <w:tc>
          <w:tcPr>
            <w:tcW w:w="0" w:type="auto"/>
            <w:gridSpan w:val="2"/>
            <w:shd w:val="clear" w:color="auto" w:fill="CCEEFF"/>
            <w:tcMar>
              <w:top w:w="40" w:type="dxa"/>
              <w:left w:w="20" w:type="dxa"/>
              <w:bottom w:w="40" w:type="dxa"/>
              <w:right w:w="0" w:type="dxa"/>
            </w:tcMar>
            <w:vAlign w:val="center"/>
          </w:tcPr>
          <w:p w14:paraId="442F662D" w14:textId="77777777" w:rsidR="00CC25B5" w:rsidRDefault="00900968">
            <w:pPr>
              <w:jc w:val="right"/>
              <w:textAlignment w:val="center"/>
            </w:pPr>
            <w:r>
              <w:rPr>
                <w:rFonts w:ascii="Times New Roman" w:eastAsia="宋体" w:hAnsi="Times New Roman"/>
                <w:color w:val="000000"/>
                <w:sz w:val="16"/>
                <w:szCs w:val="16"/>
              </w:rPr>
              <w:t>(166)</w:t>
            </w:r>
          </w:p>
        </w:tc>
        <w:tc>
          <w:tcPr>
            <w:tcW w:w="0" w:type="auto"/>
            <w:shd w:val="clear" w:color="auto" w:fill="CCEEFF"/>
            <w:tcMar>
              <w:top w:w="40" w:type="dxa"/>
              <w:left w:w="0" w:type="dxa"/>
              <w:bottom w:w="40" w:type="dxa"/>
              <w:right w:w="20" w:type="dxa"/>
            </w:tcMar>
            <w:vAlign w:val="center"/>
          </w:tcPr>
          <w:p w14:paraId="442F662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2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30" w14:textId="77777777" w:rsidR="00CC25B5" w:rsidRDefault="00900968">
            <w:pPr>
              <w:jc w:val="right"/>
              <w:textAlignment w:val="center"/>
            </w:pPr>
            <w:r>
              <w:rPr>
                <w:rFonts w:ascii="Times New Roman" w:eastAsia="宋体" w:hAnsi="Times New Roman"/>
                <w:color w:val="000000"/>
                <w:sz w:val="16"/>
                <w:szCs w:val="16"/>
              </w:rPr>
              <w:t>(15)</w:t>
            </w:r>
          </w:p>
        </w:tc>
        <w:tc>
          <w:tcPr>
            <w:tcW w:w="0" w:type="auto"/>
            <w:shd w:val="clear" w:color="auto" w:fill="CCEEFF"/>
            <w:tcMar>
              <w:top w:w="40" w:type="dxa"/>
              <w:left w:w="0" w:type="dxa"/>
              <w:bottom w:w="40" w:type="dxa"/>
              <w:right w:w="20" w:type="dxa"/>
            </w:tcMar>
            <w:vAlign w:val="center"/>
          </w:tcPr>
          <w:p w14:paraId="442F663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3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33" w14:textId="77777777" w:rsidR="00CC25B5" w:rsidRDefault="00900968">
            <w:pPr>
              <w:jc w:val="right"/>
              <w:textAlignment w:val="center"/>
            </w:pPr>
            <w:r>
              <w:rPr>
                <w:rFonts w:ascii="Times New Roman" w:eastAsia="宋体" w:hAnsi="Times New Roman"/>
                <w:color w:val="000000"/>
                <w:sz w:val="16"/>
                <w:szCs w:val="16"/>
              </w:rPr>
              <w:t>(173)</w:t>
            </w:r>
          </w:p>
        </w:tc>
        <w:tc>
          <w:tcPr>
            <w:tcW w:w="0" w:type="auto"/>
            <w:shd w:val="clear" w:color="auto" w:fill="CCEEFF"/>
            <w:tcMar>
              <w:top w:w="40" w:type="dxa"/>
              <w:left w:w="0" w:type="dxa"/>
              <w:bottom w:w="40" w:type="dxa"/>
              <w:right w:w="20" w:type="dxa"/>
            </w:tcMar>
            <w:vAlign w:val="center"/>
          </w:tcPr>
          <w:p w14:paraId="442F663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3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36" w14:textId="77777777" w:rsidR="00CC25B5" w:rsidRDefault="00900968">
            <w:pPr>
              <w:jc w:val="right"/>
              <w:textAlignment w:val="center"/>
            </w:pPr>
            <w:r>
              <w:rPr>
                <w:rFonts w:ascii="Times New Roman" w:eastAsia="宋体" w:hAnsi="Times New Roman"/>
                <w:color w:val="000000"/>
                <w:sz w:val="16"/>
                <w:szCs w:val="16"/>
              </w:rPr>
              <w:t>613 </w:t>
            </w:r>
          </w:p>
        </w:tc>
        <w:tc>
          <w:tcPr>
            <w:tcW w:w="0" w:type="auto"/>
            <w:shd w:val="clear" w:color="auto" w:fill="CCEEFF"/>
            <w:tcMar>
              <w:top w:w="40" w:type="dxa"/>
              <w:left w:w="0" w:type="dxa"/>
              <w:bottom w:w="40" w:type="dxa"/>
              <w:right w:w="20" w:type="dxa"/>
            </w:tcMar>
            <w:vAlign w:val="center"/>
          </w:tcPr>
          <w:p w14:paraId="442F6637" w14:textId="77777777" w:rsidR="00CC25B5" w:rsidRDefault="00CC25B5">
            <w:pPr>
              <w:jc w:val="right"/>
              <w:rPr>
                <w:rFonts w:ascii="宋体"/>
              </w:rPr>
            </w:pPr>
          </w:p>
        </w:tc>
      </w:tr>
      <w:tr w:rsidR="00CC25B5" w14:paraId="442F6641" w14:textId="77777777">
        <w:trPr>
          <w:jc w:val="center"/>
          <w:hidden/>
        </w:trPr>
        <w:tc>
          <w:tcPr>
            <w:tcW w:w="0" w:type="auto"/>
            <w:gridSpan w:val="3"/>
            <w:shd w:val="clear" w:color="auto" w:fill="auto"/>
            <w:vAlign w:val="bottom"/>
          </w:tcPr>
          <w:p w14:paraId="442F6639" w14:textId="77777777" w:rsidR="00CC25B5" w:rsidRDefault="00CC25B5">
            <w:pPr>
              <w:rPr>
                <w:rFonts w:ascii="宋体"/>
                <w:vanish/>
              </w:rPr>
            </w:pPr>
          </w:p>
        </w:tc>
        <w:tc>
          <w:tcPr>
            <w:tcW w:w="0" w:type="auto"/>
            <w:gridSpan w:val="3"/>
            <w:shd w:val="clear" w:color="auto" w:fill="auto"/>
            <w:vAlign w:val="bottom"/>
          </w:tcPr>
          <w:p w14:paraId="442F663A" w14:textId="77777777" w:rsidR="00CC25B5" w:rsidRDefault="00CC25B5">
            <w:pPr>
              <w:rPr>
                <w:rFonts w:ascii="宋体"/>
                <w:vanish/>
              </w:rPr>
            </w:pPr>
          </w:p>
        </w:tc>
        <w:tc>
          <w:tcPr>
            <w:tcW w:w="0" w:type="auto"/>
            <w:gridSpan w:val="3"/>
            <w:shd w:val="clear" w:color="auto" w:fill="auto"/>
            <w:vAlign w:val="bottom"/>
          </w:tcPr>
          <w:p w14:paraId="442F663B" w14:textId="77777777" w:rsidR="00CC25B5" w:rsidRDefault="00CC25B5">
            <w:pPr>
              <w:rPr>
                <w:rFonts w:ascii="宋体"/>
                <w:vanish/>
              </w:rPr>
            </w:pPr>
          </w:p>
        </w:tc>
        <w:tc>
          <w:tcPr>
            <w:tcW w:w="0" w:type="auto"/>
            <w:gridSpan w:val="3"/>
            <w:shd w:val="clear" w:color="auto" w:fill="auto"/>
            <w:vAlign w:val="bottom"/>
          </w:tcPr>
          <w:p w14:paraId="442F663C" w14:textId="77777777" w:rsidR="00CC25B5" w:rsidRDefault="00CC25B5">
            <w:pPr>
              <w:rPr>
                <w:rFonts w:ascii="宋体"/>
                <w:vanish/>
              </w:rPr>
            </w:pPr>
          </w:p>
        </w:tc>
        <w:tc>
          <w:tcPr>
            <w:tcW w:w="0" w:type="auto"/>
            <w:gridSpan w:val="3"/>
            <w:shd w:val="clear" w:color="auto" w:fill="auto"/>
            <w:vAlign w:val="bottom"/>
          </w:tcPr>
          <w:p w14:paraId="442F663D" w14:textId="77777777" w:rsidR="00CC25B5" w:rsidRDefault="00CC25B5">
            <w:pPr>
              <w:rPr>
                <w:rFonts w:ascii="宋体"/>
                <w:vanish/>
              </w:rPr>
            </w:pPr>
          </w:p>
        </w:tc>
        <w:tc>
          <w:tcPr>
            <w:tcW w:w="0" w:type="auto"/>
            <w:gridSpan w:val="3"/>
            <w:shd w:val="clear" w:color="auto" w:fill="auto"/>
            <w:vAlign w:val="bottom"/>
          </w:tcPr>
          <w:p w14:paraId="442F663E" w14:textId="77777777" w:rsidR="00CC25B5" w:rsidRDefault="00CC25B5">
            <w:pPr>
              <w:rPr>
                <w:rFonts w:ascii="宋体"/>
                <w:vanish/>
              </w:rPr>
            </w:pPr>
          </w:p>
        </w:tc>
        <w:tc>
          <w:tcPr>
            <w:tcW w:w="0" w:type="auto"/>
            <w:gridSpan w:val="3"/>
            <w:shd w:val="clear" w:color="auto" w:fill="auto"/>
            <w:vAlign w:val="bottom"/>
          </w:tcPr>
          <w:p w14:paraId="442F663F" w14:textId="77777777" w:rsidR="00CC25B5" w:rsidRDefault="00CC25B5">
            <w:pPr>
              <w:rPr>
                <w:rFonts w:ascii="宋体"/>
                <w:vanish/>
              </w:rPr>
            </w:pPr>
          </w:p>
        </w:tc>
        <w:tc>
          <w:tcPr>
            <w:tcW w:w="0" w:type="auto"/>
            <w:gridSpan w:val="3"/>
            <w:shd w:val="clear" w:color="auto" w:fill="auto"/>
            <w:vAlign w:val="bottom"/>
          </w:tcPr>
          <w:p w14:paraId="442F6640" w14:textId="77777777" w:rsidR="00CC25B5" w:rsidRDefault="00CC25B5">
            <w:pPr>
              <w:rPr>
                <w:rFonts w:ascii="宋体"/>
                <w:vanish/>
              </w:rPr>
            </w:pPr>
          </w:p>
        </w:tc>
      </w:tr>
      <w:tr w:rsidR="00CC25B5" w14:paraId="442F6652" w14:textId="77777777">
        <w:trPr>
          <w:jc w:val="center"/>
        </w:trPr>
        <w:tc>
          <w:tcPr>
            <w:tcW w:w="0" w:type="auto"/>
            <w:gridSpan w:val="3"/>
            <w:shd w:val="clear" w:color="auto" w:fill="FFFFFF"/>
            <w:tcMar>
              <w:top w:w="40" w:type="dxa"/>
              <w:left w:w="20" w:type="dxa"/>
              <w:bottom w:w="40" w:type="dxa"/>
              <w:right w:w="20" w:type="dxa"/>
            </w:tcMar>
            <w:vAlign w:val="center"/>
          </w:tcPr>
          <w:p w14:paraId="442F6642" w14:textId="77777777" w:rsidR="00CC25B5" w:rsidRDefault="00900968">
            <w:pPr>
              <w:textAlignment w:val="center"/>
            </w:pPr>
            <w:r>
              <w:rPr>
                <w:rFonts w:ascii="Times New Roman" w:eastAsia="宋体" w:hAnsi="Times New Roman"/>
                <w:b/>
                <w:bCs/>
                <w:color w:val="000000"/>
                <w:sz w:val="16"/>
                <w:szCs w:val="16"/>
              </w:rPr>
              <w:t>Comprehensive income attributable to Walmart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64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644" w14:textId="77777777" w:rsidR="00CC25B5" w:rsidRDefault="00900968">
            <w:pPr>
              <w:jc w:val="right"/>
              <w:textAlignment w:val="center"/>
            </w:pPr>
            <w:r>
              <w:rPr>
                <w:rFonts w:ascii="Times New Roman" w:eastAsia="宋体" w:hAnsi="Times New Roman"/>
                <w:color w:val="000000"/>
                <w:sz w:val="16"/>
                <w:szCs w:val="16"/>
              </w:rPr>
              <w:t>4,246 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64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46"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64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648" w14:textId="77777777" w:rsidR="00CC25B5" w:rsidRDefault="00900968">
            <w:pPr>
              <w:jc w:val="right"/>
              <w:textAlignment w:val="center"/>
            </w:pPr>
            <w:r>
              <w:rPr>
                <w:rFonts w:ascii="Times New Roman" w:eastAsia="宋体" w:hAnsi="Times New Roman"/>
                <w:color w:val="000000"/>
                <w:sz w:val="16"/>
                <w:szCs w:val="16"/>
              </w:rPr>
              <w:t>6,860 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64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4A"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64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64C" w14:textId="77777777" w:rsidR="00CC25B5" w:rsidRDefault="00900968">
            <w:pPr>
              <w:jc w:val="right"/>
              <w:textAlignment w:val="center"/>
            </w:pPr>
            <w:r>
              <w:rPr>
                <w:rFonts w:ascii="Times New Roman" w:eastAsia="宋体" w:hAnsi="Times New Roman"/>
                <w:color w:val="000000"/>
                <w:sz w:val="16"/>
                <w:szCs w:val="16"/>
              </w:rPr>
              <w:t>10,796 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64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4E"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64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650" w14:textId="77777777" w:rsidR="00CC25B5" w:rsidRDefault="00900968">
            <w:pPr>
              <w:jc w:val="right"/>
              <w:textAlignment w:val="center"/>
            </w:pPr>
            <w:r>
              <w:rPr>
                <w:rFonts w:ascii="Times New Roman" w:eastAsia="宋体" w:hAnsi="Times New Roman"/>
                <w:color w:val="000000"/>
                <w:sz w:val="16"/>
                <w:szCs w:val="16"/>
              </w:rPr>
              <w:t>7,487 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651" w14:textId="77777777" w:rsidR="00CC25B5" w:rsidRDefault="00CC25B5">
            <w:pPr>
              <w:jc w:val="right"/>
              <w:rPr>
                <w:rFonts w:ascii="宋体"/>
              </w:rPr>
            </w:pPr>
          </w:p>
        </w:tc>
      </w:tr>
    </w:tbl>
    <w:p w14:paraId="442F6653" w14:textId="77777777" w:rsidR="00CC25B5" w:rsidRDefault="00900968">
      <w:pPr>
        <w:spacing w:before="80"/>
      </w:pPr>
      <w:r>
        <w:rPr>
          <w:rFonts w:ascii="Times New Roman" w:eastAsia="宋体" w:hAnsi="Times New Roman"/>
          <w:i/>
          <w:iCs/>
          <w:color w:val="000000"/>
          <w:sz w:val="16"/>
          <w:szCs w:val="16"/>
        </w:rPr>
        <w:t xml:space="preserve">See accompanying notes. </w:t>
      </w:r>
    </w:p>
    <w:p w14:paraId="442F6654" w14:textId="77777777" w:rsidR="00CC25B5" w:rsidRDefault="00900968">
      <w:pPr>
        <w:jc w:val="center"/>
      </w:pPr>
      <w:r>
        <w:rPr>
          <w:rFonts w:ascii="Times New Roman" w:eastAsia="宋体" w:hAnsi="Times New Roman"/>
          <w:color w:val="000000"/>
          <w:sz w:val="20"/>
          <w:szCs w:val="20"/>
        </w:rPr>
        <w:t>4</w:t>
      </w:r>
    </w:p>
    <w:p w14:paraId="442F6655" w14:textId="77777777" w:rsidR="00CC25B5" w:rsidRDefault="00900968">
      <w:r>
        <w:pict w14:anchorId="442F85CD">
          <v:rect id="_x0000_i1028" style="width:415.3pt;height:1.5pt" o:hralign="center" o:hrstd="t" o:hr="t" fillcolor="#a0a0a0" stroked="f"/>
        </w:pict>
      </w:r>
    </w:p>
    <w:p w14:paraId="442F6656" w14:textId="77777777" w:rsidR="00CC25B5" w:rsidRDefault="00900968">
      <w:hyperlink r:id="rId43" w:anchor="ie1710166881948a18c44f48eaa2dcf00_7" w:history="1">
        <w:r>
          <w:rPr>
            <w:rStyle w:val="a5"/>
            <w:rFonts w:ascii="Times New Roman" w:eastAsia="宋体" w:hAnsi="Times New Roman"/>
            <w:sz w:val="20"/>
            <w:szCs w:val="20"/>
          </w:rPr>
          <w:t>Table of Contents</w:t>
        </w:r>
      </w:hyperlink>
    </w:p>
    <w:p w14:paraId="442F6657" w14:textId="77777777" w:rsidR="00CC25B5" w:rsidRDefault="00900968">
      <w:pPr>
        <w:jc w:val="center"/>
      </w:pPr>
      <w:r>
        <w:rPr>
          <w:rFonts w:ascii="Times New Roman" w:eastAsia="宋体" w:hAnsi="Times New Roman"/>
          <w:b/>
          <w:bCs/>
          <w:color w:val="000000"/>
          <w:sz w:val="20"/>
          <w:szCs w:val="20"/>
        </w:rPr>
        <w:t>Walmart Inc.</w:t>
      </w:r>
    </w:p>
    <w:p w14:paraId="442F6658" w14:textId="77777777" w:rsidR="00CC25B5" w:rsidRDefault="00900968">
      <w:pPr>
        <w:spacing w:before="60"/>
        <w:jc w:val="center"/>
      </w:pPr>
      <w:r>
        <w:rPr>
          <w:rFonts w:ascii="Times New Roman" w:eastAsia="宋体" w:hAnsi="Times New Roman"/>
          <w:b/>
          <w:bCs/>
          <w:color w:val="000000"/>
          <w:sz w:val="20"/>
          <w:szCs w:val="20"/>
        </w:rPr>
        <w:t>Condensed Consolidated Balance Sheets</w:t>
      </w:r>
    </w:p>
    <w:p w14:paraId="442F6659" w14:textId="77777777" w:rsidR="00CC25B5" w:rsidRDefault="00900968">
      <w:pPr>
        <w:spacing w:before="60"/>
        <w:jc w:val="center"/>
      </w:pPr>
      <w:r>
        <w:rPr>
          <w:rFonts w:ascii="Times New Roman" w:eastAsia="宋体" w:hAnsi="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40"/>
        <w:gridCol w:w="36"/>
        <w:gridCol w:w="36"/>
        <w:gridCol w:w="36"/>
        <w:gridCol w:w="100"/>
        <w:gridCol w:w="795"/>
        <w:gridCol w:w="36"/>
        <w:gridCol w:w="36"/>
        <w:gridCol w:w="36"/>
        <w:gridCol w:w="36"/>
        <w:gridCol w:w="100"/>
        <w:gridCol w:w="796"/>
        <w:gridCol w:w="36"/>
        <w:gridCol w:w="36"/>
        <w:gridCol w:w="36"/>
        <w:gridCol w:w="36"/>
        <w:gridCol w:w="100"/>
        <w:gridCol w:w="797"/>
        <w:gridCol w:w="36"/>
      </w:tblGrid>
      <w:tr w:rsidR="00CC25B5" w14:paraId="442F666F" w14:textId="77777777">
        <w:trPr>
          <w:jc w:val="center"/>
        </w:trPr>
        <w:tc>
          <w:tcPr>
            <w:tcW w:w="50" w:type="pct"/>
            <w:shd w:val="clear" w:color="auto" w:fill="auto"/>
            <w:vAlign w:val="bottom"/>
          </w:tcPr>
          <w:p w14:paraId="442F665A" w14:textId="77777777" w:rsidR="00CC25B5" w:rsidRDefault="00CC25B5">
            <w:pPr>
              <w:rPr>
                <w:rFonts w:ascii="宋体"/>
              </w:rPr>
            </w:pPr>
          </w:p>
        </w:tc>
        <w:tc>
          <w:tcPr>
            <w:tcW w:w="3102" w:type="pct"/>
            <w:shd w:val="clear" w:color="auto" w:fill="auto"/>
            <w:vAlign w:val="bottom"/>
          </w:tcPr>
          <w:p w14:paraId="442F665B" w14:textId="77777777" w:rsidR="00CC25B5" w:rsidRDefault="00CC25B5">
            <w:pPr>
              <w:rPr>
                <w:rFonts w:ascii="宋体"/>
              </w:rPr>
            </w:pPr>
          </w:p>
        </w:tc>
        <w:tc>
          <w:tcPr>
            <w:tcW w:w="5" w:type="pct"/>
            <w:shd w:val="clear" w:color="auto" w:fill="auto"/>
            <w:vAlign w:val="bottom"/>
          </w:tcPr>
          <w:p w14:paraId="442F665C" w14:textId="77777777" w:rsidR="00CC25B5" w:rsidRDefault="00CC25B5">
            <w:pPr>
              <w:rPr>
                <w:rFonts w:ascii="宋体"/>
              </w:rPr>
            </w:pPr>
          </w:p>
        </w:tc>
        <w:tc>
          <w:tcPr>
            <w:tcW w:w="5" w:type="pct"/>
            <w:shd w:val="clear" w:color="auto" w:fill="auto"/>
            <w:vAlign w:val="bottom"/>
          </w:tcPr>
          <w:p w14:paraId="442F665D" w14:textId="77777777" w:rsidR="00CC25B5" w:rsidRDefault="00CC25B5">
            <w:pPr>
              <w:rPr>
                <w:rFonts w:ascii="宋体"/>
              </w:rPr>
            </w:pPr>
          </w:p>
        </w:tc>
        <w:tc>
          <w:tcPr>
            <w:tcW w:w="26" w:type="pct"/>
            <w:shd w:val="clear" w:color="auto" w:fill="auto"/>
            <w:vAlign w:val="bottom"/>
          </w:tcPr>
          <w:p w14:paraId="442F665E" w14:textId="77777777" w:rsidR="00CC25B5" w:rsidRDefault="00CC25B5">
            <w:pPr>
              <w:rPr>
                <w:rFonts w:ascii="宋体"/>
              </w:rPr>
            </w:pPr>
          </w:p>
        </w:tc>
        <w:tc>
          <w:tcPr>
            <w:tcW w:w="5" w:type="pct"/>
            <w:shd w:val="clear" w:color="auto" w:fill="auto"/>
            <w:vAlign w:val="bottom"/>
          </w:tcPr>
          <w:p w14:paraId="442F665F" w14:textId="77777777" w:rsidR="00CC25B5" w:rsidRDefault="00CC25B5">
            <w:pPr>
              <w:rPr>
                <w:rFonts w:ascii="宋体"/>
              </w:rPr>
            </w:pPr>
          </w:p>
        </w:tc>
        <w:tc>
          <w:tcPr>
            <w:tcW w:w="50" w:type="pct"/>
            <w:shd w:val="clear" w:color="auto" w:fill="auto"/>
            <w:vAlign w:val="bottom"/>
          </w:tcPr>
          <w:p w14:paraId="442F6660" w14:textId="77777777" w:rsidR="00CC25B5" w:rsidRDefault="00CC25B5">
            <w:pPr>
              <w:rPr>
                <w:rFonts w:ascii="宋体"/>
              </w:rPr>
            </w:pPr>
          </w:p>
        </w:tc>
        <w:tc>
          <w:tcPr>
            <w:tcW w:w="522" w:type="pct"/>
            <w:shd w:val="clear" w:color="auto" w:fill="auto"/>
            <w:vAlign w:val="bottom"/>
          </w:tcPr>
          <w:p w14:paraId="442F6661" w14:textId="77777777" w:rsidR="00CC25B5" w:rsidRDefault="00CC25B5">
            <w:pPr>
              <w:rPr>
                <w:rFonts w:ascii="宋体"/>
              </w:rPr>
            </w:pPr>
          </w:p>
        </w:tc>
        <w:tc>
          <w:tcPr>
            <w:tcW w:w="5" w:type="pct"/>
            <w:shd w:val="clear" w:color="auto" w:fill="auto"/>
            <w:vAlign w:val="bottom"/>
          </w:tcPr>
          <w:p w14:paraId="442F6662" w14:textId="77777777" w:rsidR="00CC25B5" w:rsidRDefault="00CC25B5">
            <w:pPr>
              <w:rPr>
                <w:rFonts w:ascii="宋体"/>
              </w:rPr>
            </w:pPr>
          </w:p>
        </w:tc>
        <w:tc>
          <w:tcPr>
            <w:tcW w:w="5" w:type="pct"/>
            <w:shd w:val="clear" w:color="auto" w:fill="auto"/>
            <w:vAlign w:val="bottom"/>
          </w:tcPr>
          <w:p w14:paraId="442F6663" w14:textId="77777777" w:rsidR="00CC25B5" w:rsidRDefault="00CC25B5">
            <w:pPr>
              <w:rPr>
                <w:rFonts w:ascii="宋体"/>
              </w:rPr>
            </w:pPr>
          </w:p>
        </w:tc>
        <w:tc>
          <w:tcPr>
            <w:tcW w:w="26" w:type="pct"/>
            <w:shd w:val="clear" w:color="auto" w:fill="auto"/>
            <w:vAlign w:val="bottom"/>
          </w:tcPr>
          <w:p w14:paraId="442F6664" w14:textId="77777777" w:rsidR="00CC25B5" w:rsidRDefault="00CC25B5">
            <w:pPr>
              <w:rPr>
                <w:rFonts w:ascii="宋体"/>
              </w:rPr>
            </w:pPr>
          </w:p>
        </w:tc>
        <w:tc>
          <w:tcPr>
            <w:tcW w:w="5" w:type="pct"/>
            <w:shd w:val="clear" w:color="auto" w:fill="auto"/>
            <w:vAlign w:val="bottom"/>
          </w:tcPr>
          <w:p w14:paraId="442F6665" w14:textId="77777777" w:rsidR="00CC25B5" w:rsidRDefault="00CC25B5">
            <w:pPr>
              <w:rPr>
                <w:rFonts w:ascii="宋体"/>
              </w:rPr>
            </w:pPr>
          </w:p>
        </w:tc>
        <w:tc>
          <w:tcPr>
            <w:tcW w:w="50" w:type="pct"/>
            <w:shd w:val="clear" w:color="auto" w:fill="auto"/>
            <w:vAlign w:val="bottom"/>
          </w:tcPr>
          <w:p w14:paraId="442F6666" w14:textId="77777777" w:rsidR="00CC25B5" w:rsidRDefault="00CC25B5">
            <w:pPr>
              <w:rPr>
                <w:rFonts w:ascii="宋体"/>
              </w:rPr>
            </w:pPr>
          </w:p>
        </w:tc>
        <w:tc>
          <w:tcPr>
            <w:tcW w:w="522" w:type="pct"/>
            <w:shd w:val="clear" w:color="auto" w:fill="auto"/>
            <w:vAlign w:val="bottom"/>
          </w:tcPr>
          <w:p w14:paraId="442F6667" w14:textId="77777777" w:rsidR="00CC25B5" w:rsidRDefault="00CC25B5">
            <w:pPr>
              <w:rPr>
                <w:rFonts w:ascii="宋体"/>
              </w:rPr>
            </w:pPr>
          </w:p>
        </w:tc>
        <w:tc>
          <w:tcPr>
            <w:tcW w:w="5" w:type="pct"/>
            <w:shd w:val="clear" w:color="auto" w:fill="auto"/>
            <w:vAlign w:val="bottom"/>
          </w:tcPr>
          <w:p w14:paraId="442F6668" w14:textId="77777777" w:rsidR="00CC25B5" w:rsidRDefault="00CC25B5">
            <w:pPr>
              <w:rPr>
                <w:rFonts w:ascii="宋体"/>
              </w:rPr>
            </w:pPr>
          </w:p>
        </w:tc>
        <w:tc>
          <w:tcPr>
            <w:tcW w:w="5" w:type="pct"/>
            <w:shd w:val="clear" w:color="auto" w:fill="auto"/>
            <w:vAlign w:val="bottom"/>
          </w:tcPr>
          <w:p w14:paraId="442F6669" w14:textId="77777777" w:rsidR="00CC25B5" w:rsidRDefault="00CC25B5">
            <w:pPr>
              <w:rPr>
                <w:rFonts w:ascii="宋体"/>
              </w:rPr>
            </w:pPr>
          </w:p>
        </w:tc>
        <w:tc>
          <w:tcPr>
            <w:tcW w:w="26" w:type="pct"/>
            <w:shd w:val="clear" w:color="auto" w:fill="auto"/>
            <w:vAlign w:val="bottom"/>
          </w:tcPr>
          <w:p w14:paraId="442F666A" w14:textId="77777777" w:rsidR="00CC25B5" w:rsidRDefault="00CC25B5">
            <w:pPr>
              <w:rPr>
                <w:rFonts w:ascii="宋体"/>
              </w:rPr>
            </w:pPr>
          </w:p>
        </w:tc>
        <w:tc>
          <w:tcPr>
            <w:tcW w:w="5" w:type="pct"/>
            <w:shd w:val="clear" w:color="auto" w:fill="auto"/>
            <w:vAlign w:val="bottom"/>
          </w:tcPr>
          <w:p w14:paraId="442F666B" w14:textId="77777777" w:rsidR="00CC25B5" w:rsidRDefault="00CC25B5">
            <w:pPr>
              <w:rPr>
                <w:rFonts w:ascii="宋体"/>
              </w:rPr>
            </w:pPr>
          </w:p>
        </w:tc>
        <w:tc>
          <w:tcPr>
            <w:tcW w:w="50" w:type="pct"/>
            <w:shd w:val="clear" w:color="auto" w:fill="auto"/>
            <w:vAlign w:val="bottom"/>
          </w:tcPr>
          <w:p w14:paraId="442F666C" w14:textId="77777777" w:rsidR="00CC25B5" w:rsidRDefault="00CC25B5">
            <w:pPr>
              <w:rPr>
                <w:rFonts w:ascii="宋体"/>
              </w:rPr>
            </w:pPr>
          </w:p>
        </w:tc>
        <w:tc>
          <w:tcPr>
            <w:tcW w:w="522" w:type="pct"/>
            <w:shd w:val="clear" w:color="auto" w:fill="auto"/>
            <w:vAlign w:val="bottom"/>
          </w:tcPr>
          <w:p w14:paraId="442F666D" w14:textId="77777777" w:rsidR="00CC25B5" w:rsidRDefault="00CC25B5">
            <w:pPr>
              <w:rPr>
                <w:rFonts w:ascii="宋体"/>
              </w:rPr>
            </w:pPr>
          </w:p>
        </w:tc>
        <w:tc>
          <w:tcPr>
            <w:tcW w:w="5" w:type="pct"/>
            <w:shd w:val="clear" w:color="auto" w:fill="auto"/>
            <w:vAlign w:val="bottom"/>
          </w:tcPr>
          <w:p w14:paraId="442F666E" w14:textId="77777777" w:rsidR="00CC25B5" w:rsidRDefault="00CC25B5">
            <w:pPr>
              <w:rPr>
                <w:rFonts w:ascii="宋体"/>
              </w:rPr>
            </w:pPr>
          </w:p>
        </w:tc>
      </w:tr>
      <w:tr w:rsidR="00CC25B5" w14:paraId="442F6677" w14:textId="77777777">
        <w:trPr>
          <w:jc w:val="center"/>
        </w:trPr>
        <w:tc>
          <w:tcPr>
            <w:tcW w:w="0" w:type="auto"/>
            <w:gridSpan w:val="3"/>
            <w:shd w:val="clear" w:color="auto" w:fill="auto"/>
            <w:tcMar>
              <w:top w:w="0" w:type="dxa"/>
              <w:left w:w="20" w:type="dxa"/>
              <w:bottom w:w="0" w:type="dxa"/>
              <w:right w:w="20" w:type="dxa"/>
            </w:tcMar>
            <w:vAlign w:val="bottom"/>
          </w:tcPr>
          <w:p w14:paraId="442F667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7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672" w14:textId="77777777" w:rsidR="00CC25B5" w:rsidRDefault="00900968">
            <w:pPr>
              <w:jc w:val="center"/>
              <w:textAlignment w:val="bottom"/>
            </w:pPr>
            <w:r>
              <w:rPr>
                <w:rFonts w:ascii="Times New Roman" w:eastAsia="宋体" w:hAnsi="Times New Roman"/>
                <w:b/>
                <w:bCs/>
                <w:color w:val="000000"/>
                <w:sz w:val="16"/>
                <w:szCs w:val="16"/>
              </w:rPr>
              <w:t>July 31,</w:t>
            </w:r>
          </w:p>
        </w:tc>
        <w:tc>
          <w:tcPr>
            <w:tcW w:w="0" w:type="auto"/>
            <w:gridSpan w:val="3"/>
            <w:shd w:val="clear" w:color="auto" w:fill="auto"/>
            <w:tcMar>
              <w:top w:w="0" w:type="dxa"/>
              <w:left w:w="20" w:type="dxa"/>
              <w:bottom w:w="0" w:type="dxa"/>
              <w:right w:w="20" w:type="dxa"/>
            </w:tcMar>
            <w:vAlign w:val="bottom"/>
          </w:tcPr>
          <w:p w14:paraId="442F667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674" w14:textId="77777777" w:rsidR="00CC25B5" w:rsidRDefault="00900968">
            <w:pPr>
              <w:jc w:val="center"/>
              <w:textAlignment w:val="bottom"/>
            </w:pPr>
            <w:r>
              <w:rPr>
                <w:rFonts w:ascii="Times New Roman" w:eastAsia="宋体" w:hAnsi="Times New Roman"/>
                <w:b/>
                <w:bCs/>
                <w:color w:val="000000"/>
                <w:sz w:val="16"/>
                <w:szCs w:val="16"/>
              </w:rPr>
              <w:t>January 31,</w:t>
            </w:r>
          </w:p>
        </w:tc>
        <w:tc>
          <w:tcPr>
            <w:tcW w:w="0" w:type="auto"/>
            <w:gridSpan w:val="3"/>
            <w:shd w:val="clear" w:color="auto" w:fill="auto"/>
            <w:tcMar>
              <w:top w:w="0" w:type="dxa"/>
              <w:left w:w="20" w:type="dxa"/>
              <w:bottom w:w="0" w:type="dxa"/>
              <w:right w:w="20" w:type="dxa"/>
            </w:tcMar>
            <w:vAlign w:val="bottom"/>
          </w:tcPr>
          <w:p w14:paraId="442F667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676" w14:textId="77777777" w:rsidR="00CC25B5" w:rsidRDefault="00900968">
            <w:pPr>
              <w:jc w:val="center"/>
              <w:textAlignment w:val="bottom"/>
            </w:pPr>
            <w:r>
              <w:rPr>
                <w:rFonts w:ascii="Times New Roman" w:eastAsia="宋体" w:hAnsi="Times New Roman"/>
                <w:b/>
                <w:bCs/>
                <w:color w:val="000000"/>
                <w:sz w:val="16"/>
                <w:szCs w:val="16"/>
              </w:rPr>
              <w:t>July 31,</w:t>
            </w:r>
          </w:p>
        </w:tc>
      </w:tr>
      <w:tr w:rsidR="00CC25B5" w14:paraId="442F667F" w14:textId="77777777">
        <w:trPr>
          <w:jc w:val="center"/>
        </w:trPr>
        <w:tc>
          <w:tcPr>
            <w:tcW w:w="0" w:type="auto"/>
            <w:gridSpan w:val="3"/>
            <w:shd w:val="clear" w:color="auto" w:fill="auto"/>
            <w:tcMar>
              <w:top w:w="40" w:type="dxa"/>
              <w:left w:w="20" w:type="dxa"/>
              <w:bottom w:w="40" w:type="dxa"/>
              <w:right w:w="20" w:type="dxa"/>
            </w:tcMar>
            <w:vAlign w:val="bottom"/>
          </w:tcPr>
          <w:p w14:paraId="442F6678"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667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67A"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667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67C"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667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67E"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6687" w14:textId="77777777">
        <w:trPr>
          <w:jc w:val="center"/>
        </w:trPr>
        <w:tc>
          <w:tcPr>
            <w:tcW w:w="0" w:type="auto"/>
            <w:gridSpan w:val="3"/>
            <w:shd w:val="clear" w:color="auto" w:fill="auto"/>
            <w:tcMar>
              <w:top w:w="40" w:type="dxa"/>
              <w:left w:w="20" w:type="dxa"/>
              <w:bottom w:w="40" w:type="dxa"/>
              <w:right w:w="20" w:type="dxa"/>
            </w:tcMar>
            <w:vAlign w:val="center"/>
          </w:tcPr>
          <w:p w14:paraId="442F6680" w14:textId="77777777" w:rsidR="00CC25B5" w:rsidRDefault="00900968">
            <w:pPr>
              <w:textAlignment w:val="center"/>
            </w:pPr>
            <w:r>
              <w:rPr>
                <w:rFonts w:ascii="Times New Roman" w:eastAsia="宋体" w:hAnsi="Times New Roman"/>
                <w:b/>
                <w:bCs/>
                <w:color w:val="000000"/>
                <w:sz w:val="16"/>
                <w:szCs w:val="16"/>
              </w:rPr>
              <w:t>ASSETS</w:t>
            </w:r>
          </w:p>
        </w:tc>
        <w:tc>
          <w:tcPr>
            <w:tcW w:w="0" w:type="auto"/>
            <w:gridSpan w:val="3"/>
            <w:shd w:val="clear" w:color="auto" w:fill="auto"/>
            <w:tcMar>
              <w:top w:w="0" w:type="dxa"/>
              <w:left w:w="20" w:type="dxa"/>
              <w:bottom w:w="0" w:type="dxa"/>
              <w:right w:w="20" w:type="dxa"/>
            </w:tcMar>
            <w:vAlign w:val="bottom"/>
          </w:tcPr>
          <w:p w14:paraId="442F6681"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682"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3"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68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5"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686" w14:textId="77777777" w:rsidR="00CC25B5" w:rsidRDefault="00CC25B5">
            <w:pPr>
              <w:rPr>
                <w:rFonts w:ascii="宋体"/>
              </w:rPr>
            </w:pPr>
          </w:p>
        </w:tc>
      </w:tr>
      <w:tr w:rsidR="00CC25B5" w14:paraId="442F668F" w14:textId="77777777">
        <w:trPr>
          <w:jc w:val="center"/>
        </w:trPr>
        <w:tc>
          <w:tcPr>
            <w:tcW w:w="0" w:type="auto"/>
            <w:gridSpan w:val="3"/>
            <w:shd w:val="clear" w:color="auto" w:fill="auto"/>
            <w:tcMar>
              <w:top w:w="40" w:type="dxa"/>
              <w:left w:w="20" w:type="dxa"/>
              <w:bottom w:w="40" w:type="dxa"/>
              <w:right w:w="20" w:type="dxa"/>
            </w:tcMar>
            <w:vAlign w:val="center"/>
          </w:tcPr>
          <w:p w14:paraId="442F6688" w14:textId="77777777" w:rsidR="00CC25B5" w:rsidRDefault="00900968">
            <w:pPr>
              <w:textAlignment w:val="center"/>
            </w:pPr>
            <w:r>
              <w:rPr>
                <w:rFonts w:ascii="Times New Roman" w:eastAsia="宋体" w:hAnsi="Times New Roman"/>
                <w:b/>
                <w:bCs/>
                <w:color w:val="000000"/>
                <w:sz w:val="16"/>
                <w:szCs w:val="16"/>
              </w:rPr>
              <w:t>Current assets:</w:t>
            </w:r>
          </w:p>
        </w:tc>
        <w:tc>
          <w:tcPr>
            <w:tcW w:w="0" w:type="auto"/>
            <w:gridSpan w:val="3"/>
            <w:shd w:val="clear" w:color="auto" w:fill="auto"/>
            <w:tcMar>
              <w:top w:w="0" w:type="dxa"/>
              <w:left w:w="20" w:type="dxa"/>
              <w:bottom w:w="0" w:type="dxa"/>
              <w:right w:w="20" w:type="dxa"/>
            </w:tcMar>
            <w:vAlign w:val="bottom"/>
          </w:tcPr>
          <w:p w14:paraId="442F6689"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A"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B"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D"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68E" w14:textId="77777777" w:rsidR="00CC25B5" w:rsidRDefault="00CC25B5">
            <w:pPr>
              <w:rPr>
                <w:rFonts w:ascii="宋体"/>
              </w:rPr>
            </w:pPr>
          </w:p>
        </w:tc>
      </w:tr>
      <w:tr w:rsidR="00CC25B5" w14:paraId="442F669D" w14:textId="77777777">
        <w:trPr>
          <w:jc w:val="center"/>
        </w:trPr>
        <w:tc>
          <w:tcPr>
            <w:tcW w:w="0" w:type="auto"/>
            <w:gridSpan w:val="3"/>
            <w:shd w:val="clear" w:color="auto" w:fill="CCEEFF"/>
            <w:tcMar>
              <w:top w:w="40" w:type="dxa"/>
              <w:left w:w="380" w:type="dxa"/>
              <w:bottom w:w="40" w:type="dxa"/>
              <w:right w:w="20" w:type="dxa"/>
            </w:tcMar>
            <w:vAlign w:val="center"/>
          </w:tcPr>
          <w:p w14:paraId="442F6690" w14:textId="77777777" w:rsidR="00CC25B5" w:rsidRDefault="00900968">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442F6691"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692"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693" w14:textId="77777777" w:rsidR="00CC25B5" w:rsidRDefault="00900968">
            <w:pPr>
              <w:jc w:val="right"/>
              <w:textAlignment w:val="center"/>
            </w:pPr>
            <w:r>
              <w:rPr>
                <w:rFonts w:ascii="Times New Roman" w:eastAsia="宋体" w:hAnsi="Times New Roman"/>
                <w:color w:val="000000"/>
                <w:sz w:val="16"/>
                <w:szCs w:val="16"/>
              </w:rPr>
              <w:t>22,831 </w:t>
            </w:r>
          </w:p>
        </w:tc>
        <w:tc>
          <w:tcPr>
            <w:tcW w:w="0" w:type="auto"/>
            <w:shd w:val="clear" w:color="auto" w:fill="CCEEFF"/>
            <w:tcMar>
              <w:top w:w="40" w:type="dxa"/>
              <w:left w:w="0" w:type="dxa"/>
              <w:bottom w:w="40" w:type="dxa"/>
              <w:right w:w="20" w:type="dxa"/>
            </w:tcMar>
            <w:vAlign w:val="center"/>
          </w:tcPr>
          <w:p w14:paraId="442F669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95"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696"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697" w14:textId="77777777" w:rsidR="00CC25B5" w:rsidRDefault="00900968">
            <w:pPr>
              <w:jc w:val="right"/>
              <w:textAlignment w:val="center"/>
            </w:pPr>
            <w:r>
              <w:rPr>
                <w:rFonts w:ascii="Times New Roman" w:eastAsia="宋体" w:hAnsi="Times New Roman"/>
                <w:color w:val="000000"/>
                <w:sz w:val="16"/>
                <w:szCs w:val="16"/>
              </w:rPr>
              <w:t>17,741 </w:t>
            </w:r>
          </w:p>
        </w:tc>
        <w:tc>
          <w:tcPr>
            <w:tcW w:w="0" w:type="auto"/>
            <w:shd w:val="clear" w:color="auto" w:fill="CCEEFF"/>
            <w:tcMar>
              <w:top w:w="40" w:type="dxa"/>
              <w:left w:w="0" w:type="dxa"/>
              <w:bottom w:w="40" w:type="dxa"/>
              <w:right w:w="20" w:type="dxa"/>
            </w:tcMar>
            <w:vAlign w:val="center"/>
          </w:tcPr>
          <w:p w14:paraId="442F669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99"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669A"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669B" w14:textId="77777777" w:rsidR="00CC25B5" w:rsidRDefault="00900968">
            <w:pPr>
              <w:jc w:val="right"/>
              <w:textAlignment w:val="center"/>
            </w:pPr>
            <w:r>
              <w:rPr>
                <w:rFonts w:ascii="Times New Roman" w:eastAsia="宋体" w:hAnsi="Times New Roman"/>
                <w:color w:val="000000"/>
                <w:sz w:val="16"/>
                <w:szCs w:val="16"/>
              </w:rPr>
              <w:t>16,906 </w:t>
            </w:r>
          </w:p>
        </w:tc>
        <w:tc>
          <w:tcPr>
            <w:tcW w:w="0" w:type="auto"/>
            <w:shd w:val="clear" w:color="auto" w:fill="CCEEFF"/>
            <w:tcMar>
              <w:top w:w="40" w:type="dxa"/>
              <w:left w:w="0" w:type="dxa"/>
              <w:bottom w:w="40" w:type="dxa"/>
              <w:right w:w="20" w:type="dxa"/>
            </w:tcMar>
            <w:vAlign w:val="center"/>
          </w:tcPr>
          <w:p w14:paraId="442F669C" w14:textId="77777777" w:rsidR="00CC25B5" w:rsidRDefault="00CC25B5">
            <w:pPr>
              <w:jc w:val="right"/>
              <w:rPr>
                <w:rFonts w:ascii="宋体"/>
              </w:rPr>
            </w:pPr>
          </w:p>
        </w:tc>
      </w:tr>
      <w:tr w:rsidR="00CC25B5" w14:paraId="442F66A8" w14:textId="77777777">
        <w:trPr>
          <w:jc w:val="center"/>
        </w:trPr>
        <w:tc>
          <w:tcPr>
            <w:tcW w:w="0" w:type="auto"/>
            <w:gridSpan w:val="3"/>
            <w:shd w:val="clear" w:color="auto" w:fill="FFFFFF"/>
            <w:tcMar>
              <w:top w:w="40" w:type="dxa"/>
              <w:left w:w="380" w:type="dxa"/>
              <w:bottom w:w="40" w:type="dxa"/>
              <w:right w:w="20" w:type="dxa"/>
            </w:tcMar>
            <w:vAlign w:val="center"/>
          </w:tcPr>
          <w:p w14:paraId="442F669E" w14:textId="77777777" w:rsidR="00CC25B5" w:rsidRDefault="00900968">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442F669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A0" w14:textId="77777777" w:rsidR="00CC25B5" w:rsidRDefault="00900968">
            <w:pPr>
              <w:jc w:val="right"/>
              <w:textAlignment w:val="center"/>
            </w:pPr>
            <w:r>
              <w:rPr>
                <w:rFonts w:ascii="Times New Roman" w:eastAsia="宋体" w:hAnsi="Times New Roman"/>
                <w:color w:val="000000"/>
                <w:sz w:val="16"/>
                <w:szCs w:val="16"/>
              </w:rPr>
              <w:t>6,103 </w:t>
            </w:r>
          </w:p>
        </w:tc>
        <w:tc>
          <w:tcPr>
            <w:tcW w:w="0" w:type="auto"/>
            <w:shd w:val="clear" w:color="auto" w:fill="FFFFFF"/>
            <w:tcMar>
              <w:top w:w="40" w:type="dxa"/>
              <w:left w:w="0" w:type="dxa"/>
              <w:bottom w:w="40" w:type="dxa"/>
              <w:right w:w="20" w:type="dxa"/>
            </w:tcMar>
            <w:vAlign w:val="center"/>
          </w:tcPr>
          <w:p w14:paraId="442F66A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A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A3" w14:textId="77777777" w:rsidR="00CC25B5" w:rsidRDefault="00900968">
            <w:pPr>
              <w:jc w:val="right"/>
              <w:textAlignment w:val="center"/>
            </w:pPr>
            <w:r>
              <w:rPr>
                <w:rFonts w:ascii="Times New Roman" w:eastAsia="宋体" w:hAnsi="Times New Roman"/>
                <w:color w:val="000000"/>
                <w:sz w:val="16"/>
                <w:szCs w:val="16"/>
              </w:rPr>
              <w:t>6,516 </w:t>
            </w:r>
          </w:p>
        </w:tc>
        <w:tc>
          <w:tcPr>
            <w:tcW w:w="0" w:type="auto"/>
            <w:shd w:val="clear" w:color="auto" w:fill="FFFFFF"/>
            <w:tcMar>
              <w:top w:w="40" w:type="dxa"/>
              <w:left w:w="0" w:type="dxa"/>
              <w:bottom w:w="40" w:type="dxa"/>
              <w:right w:w="20" w:type="dxa"/>
            </w:tcMar>
            <w:vAlign w:val="center"/>
          </w:tcPr>
          <w:p w14:paraId="442F66A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A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A6" w14:textId="77777777" w:rsidR="00CC25B5" w:rsidRDefault="00900968">
            <w:pPr>
              <w:jc w:val="right"/>
              <w:textAlignment w:val="center"/>
            </w:pPr>
            <w:r>
              <w:rPr>
                <w:rFonts w:ascii="Times New Roman" w:eastAsia="宋体" w:hAnsi="Times New Roman"/>
                <w:color w:val="000000"/>
                <w:sz w:val="16"/>
                <w:szCs w:val="16"/>
              </w:rPr>
              <w:t>5,111 </w:t>
            </w:r>
          </w:p>
        </w:tc>
        <w:tc>
          <w:tcPr>
            <w:tcW w:w="0" w:type="auto"/>
            <w:shd w:val="clear" w:color="auto" w:fill="FFFFFF"/>
            <w:tcMar>
              <w:top w:w="40" w:type="dxa"/>
              <w:left w:w="0" w:type="dxa"/>
              <w:bottom w:w="40" w:type="dxa"/>
              <w:right w:w="20" w:type="dxa"/>
            </w:tcMar>
            <w:vAlign w:val="center"/>
          </w:tcPr>
          <w:p w14:paraId="442F66A7" w14:textId="77777777" w:rsidR="00CC25B5" w:rsidRDefault="00CC25B5">
            <w:pPr>
              <w:jc w:val="right"/>
              <w:rPr>
                <w:rFonts w:ascii="宋体"/>
              </w:rPr>
            </w:pPr>
          </w:p>
        </w:tc>
      </w:tr>
      <w:tr w:rsidR="00CC25B5" w14:paraId="442F66B3" w14:textId="77777777">
        <w:trPr>
          <w:jc w:val="center"/>
        </w:trPr>
        <w:tc>
          <w:tcPr>
            <w:tcW w:w="0" w:type="auto"/>
            <w:gridSpan w:val="3"/>
            <w:shd w:val="clear" w:color="auto" w:fill="CCEEFF"/>
            <w:tcMar>
              <w:top w:w="40" w:type="dxa"/>
              <w:left w:w="380" w:type="dxa"/>
              <w:bottom w:w="40" w:type="dxa"/>
              <w:right w:w="20" w:type="dxa"/>
            </w:tcMar>
            <w:vAlign w:val="center"/>
          </w:tcPr>
          <w:p w14:paraId="442F66A9" w14:textId="77777777" w:rsidR="00CC25B5" w:rsidRDefault="00900968">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442F66A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AB" w14:textId="77777777" w:rsidR="00CC25B5" w:rsidRDefault="00900968">
            <w:pPr>
              <w:jc w:val="right"/>
              <w:textAlignment w:val="center"/>
            </w:pPr>
            <w:r>
              <w:rPr>
                <w:rFonts w:ascii="Times New Roman" w:eastAsia="宋体" w:hAnsi="Times New Roman"/>
                <w:color w:val="000000"/>
                <w:sz w:val="16"/>
                <w:szCs w:val="16"/>
              </w:rPr>
              <w:t>47,754 </w:t>
            </w:r>
          </w:p>
        </w:tc>
        <w:tc>
          <w:tcPr>
            <w:tcW w:w="0" w:type="auto"/>
            <w:shd w:val="clear" w:color="auto" w:fill="CCEEFF"/>
            <w:tcMar>
              <w:top w:w="40" w:type="dxa"/>
              <w:left w:w="0" w:type="dxa"/>
              <w:bottom w:w="40" w:type="dxa"/>
              <w:right w:w="20" w:type="dxa"/>
            </w:tcMar>
            <w:vAlign w:val="center"/>
          </w:tcPr>
          <w:p w14:paraId="442F66A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A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AE" w14:textId="77777777" w:rsidR="00CC25B5" w:rsidRDefault="00900968">
            <w:pPr>
              <w:jc w:val="right"/>
              <w:textAlignment w:val="center"/>
            </w:pPr>
            <w:r>
              <w:rPr>
                <w:rFonts w:ascii="Times New Roman" w:eastAsia="宋体" w:hAnsi="Times New Roman"/>
                <w:color w:val="000000"/>
                <w:sz w:val="16"/>
                <w:szCs w:val="16"/>
              </w:rPr>
              <w:t>44,949 </w:t>
            </w:r>
          </w:p>
        </w:tc>
        <w:tc>
          <w:tcPr>
            <w:tcW w:w="0" w:type="auto"/>
            <w:shd w:val="clear" w:color="auto" w:fill="CCEEFF"/>
            <w:tcMar>
              <w:top w:w="40" w:type="dxa"/>
              <w:left w:w="0" w:type="dxa"/>
              <w:bottom w:w="40" w:type="dxa"/>
              <w:right w:w="20" w:type="dxa"/>
            </w:tcMar>
            <w:vAlign w:val="center"/>
          </w:tcPr>
          <w:p w14:paraId="442F66A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B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B1" w14:textId="77777777" w:rsidR="00CC25B5" w:rsidRDefault="00900968">
            <w:pPr>
              <w:jc w:val="right"/>
              <w:textAlignment w:val="center"/>
            </w:pPr>
            <w:r>
              <w:rPr>
                <w:rFonts w:ascii="Times New Roman" w:eastAsia="宋体" w:hAnsi="Times New Roman"/>
                <w:color w:val="000000"/>
                <w:sz w:val="16"/>
                <w:szCs w:val="16"/>
              </w:rPr>
              <w:t>41,084 </w:t>
            </w:r>
          </w:p>
        </w:tc>
        <w:tc>
          <w:tcPr>
            <w:tcW w:w="0" w:type="auto"/>
            <w:shd w:val="clear" w:color="auto" w:fill="CCEEFF"/>
            <w:tcMar>
              <w:top w:w="40" w:type="dxa"/>
              <w:left w:w="0" w:type="dxa"/>
              <w:bottom w:w="40" w:type="dxa"/>
              <w:right w:w="20" w:type="dxa"/>
            </w:tcMar>
            <w:vAlign w:val="center"/>
          </w:tcPr>
          <w:p w14:paraId="442F66B2" w14:textId="77777777" w:rsidR="00CC25B5" w:rsidRDefault="00CC25B5">
            <w:pPr>
              <w:jc w:val="right"/>
              <w:rPr>
                <w:rFonts w:ascii="宋体"/>
              </w:rPr>
            </w:pPr>
          </w:p>
        </w:tc>
      </w:tr>
      <w:tr w:rsidR="00CC25B5" w14:paraId="442F66BE" w14:textId="77777777">
        <w:trPr>
          <w:jc w:val="center"/>
        </w:trPr>
        <w:tc>
          <w:tcPr>
            <w:tcW w:w="0" w:type="auto"/>
            <w:gridSpan w:val="3"/>
            <w:shd w:val="clear" w:color="auto" w:fill="FFFFFF"/>
            <w:tcMar>
              <w:top w:w="40" w:type="dxa"/>
              <w:left w:w="380" w:type="dxa"/>
              <w:bottom w:w="40" w:type="dxa"/>
              <w:right w:w="20" w:type="dxa"/>
            </w:tcMar>
            <w:vAlign w:val="center"/>
          </w:tcPr>
          <w:p w14:paraId="442F66B4" w14:textId="77777777" w:rsidR="00CC25B5" w:rsidRDefault="00900968">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vAlign w:val="bottom"/>
          </w:tcPr>
          <w:p w14:paraId="442F66B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B6" w14:textId="77777777" w:rsidR="00CC25B5" w:rsidRDefault="00900968">
            <w:pPr>
              <w:jc w:val="right"/>
              <w:textAlignment w:val="center"/>
            </w:pPr>
            <w:r>
              <w:rPr>
                <w:rFonts w:ascii="Times New Roman" w:eastAsia="宋体" w:hAnsi="Times New Roman"/>
                <w:color w:val="000000"/>
                <w:sz w:val="16"/>
                <w:szCs w:val="16"/>
              </w:rPr>
              <w:t>1,555 </w:t>
            </w:r>
          </w:p>
        </w:tc>
        <w:tc>
          <w:tcPr>
            <w:tcW w:w="0" w:type="auto"/>
            <w:shd w:val="clear" w:color="auto" w:fill="FFFFFF"/>
            <w:tcMar>
              <w:top w:w="40" w:type="dxa"/>
              <w:left w:w="0" w:type="dxa"/>
              <w:bottom w:w="40" w:type="dxa"/>
              <w:right w:w="20" w:type="dxa"/>
            </w:tcMar>
            <w:vAlign w:val="center"/>
          </w:tcPr>
          <w:p w14:paraId="442F66B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B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B9" w14:textId="77777777" w:rsidR="00CC25B5" w:rsidRDefault="00900968">
            <w:pPr>
              <w:jc w:val="right"/>
              <w:textAlignment w:val="center"/>
            </w:pPr>
            <w:r>
              <w:rPr>
                <w:rFonts w:ascii="Times New Roman" w:eastAsia="宋体" w:hAnsi="Times New Roman"/>
                <w:color w:val="000000"/>
                <w:sz w:val="16"/>
                <w:szCs w:val="16"/>
              </w:rPr>
              <w:t>20,861 </w:t>
            </w:r>
          </w:p>
        </w:tc>
        <w:tc>
          <w:tcPr>
            <w:tcW w:w="0" w:type="auto"/>
            <w:shd w:val="clear" w:color="auto" w:fill="FFFFFF"/>
            <w:tcMar>
              <w:top w:w="40" w:type="dxa"/>
              <w:left w:w="0" w:type="dxa"/>
              <w:bottom w:w="40" w:type="dxa"/>
              <w:right w:w="20" w:type="dxa"/>
            </w:tcMar>
            <w:vAlign w:val="center"/>
          </w:tcPr>
          <w:p w14:paraId="442F66B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B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BC" w14:textId="77777777" w:rsidR="00CC25B5" w:rsidRDefault="00900968">
            <w:pPr>
              <w:jc w:val="right"/>
              <w:textAlignment w:val="center"/>
            </w:pPr>
            <w:r>
              <w:rPr>
                <w:rFonts w:ascii="Times New Roman" w:eastAsia="宋体" w:hAnsi="Times New Roman"/>
                <w:color w:val="000000"/>
                <w:sz w:val="16"/>
                <w:szCs w:val="16"/>
              </w:rPr>
              <w:t>1,895 </w:t>
            </w:r>
          </w:p>
        </w:tc>
        <w:tc>
          <w:tcPr>
            <w:tcW w:w="0" w:type="auto"/>
            <w:shd w:val="clear" w:color="auto" w:fill="FFFFFF"/>
            <w:tcMar>
              <w:top w:w="40" w:type="dxa"/>
              <w:left w:w="0" w:type="dxa"/>
              <w:bottom w:w="40" w:type="dxa"/>
              <w:right w:w="20" w:type="dxa"/>
            </w:tcMar>
            <w:vAlign w:val="center"/>
          </w:tcPr>
          <w:p w14:paraId="442F66BD" w14:textId="77777777" w:rsidR="00CC25B5" w:rsidRDefault="00CC25B5">
            <w:pPr>
              <w:jc w:val="right"/>
              <w:rPr>
                <w:rFonts w:ascii="宋体"/>
              </w:rPr>
            </w:pPr>
          </w:p>
        </w:tc>
      </w:tr>
      <w:tr w:rsidR="00CC25B5" w14:paraId="442F66C6" w14:textId="77777777">
        <w:trPr>
          <w:jc w:val="center"/>
          <w:hidden/>
        </w:trPr>
        <w:tc>
          <w:tcPr>
            <w:tcW w:w="0" w:type="auto"/>
            <w:gridSpan w:val="3"/>
            <w:shd w:val="clear" w:color="auto" w:fill="auto"/>
            <w:vAlign w:val="bottom"/>
          </w:tcPr>
          <w:p w14:paraId="442F66BF" w14:textId="77777777" w:rsidR="00CC25B5" w:rsidRDefault="00CC25B5">
            <w:pPr>
              <w:rPr>
                <w:rFonts w:ascii="宋体"/>
                <w:vanish/>
              </w:rPr>
            </w:pPr>
          </w:p>
        </w:tc>
        <w:tc>
          <w:tcPr>
            <w:tcW w:w="0" w:type="auto"/>
            <w:gridSpan w:val="3"/>
            <w:shd w:val="clear" w:color="auto" w:fill="auto"/>
            <w:vAlign w:val="bottom"/>
          </w:tcPr>
          <w:p w14:paraId="442F66C0" w14:textId="77777777" w:rsidR="00CC25B5" w:rsidRDefault="00CC25B5">
            <w:pPr>
              <w:rPr>
                <w:rFonts w:ascii="宋体"/>
                <w:vanish/>
              </w:rPr>
            </w:pPr>
          </w:p>
        </w:tc>
        <w:tc>
          <w:tcPr>
            <w:tcW w:w="0" w:type="auto"/>
            <w:gridSpan w:val="3"/>
            <w:shd w:val="clear" w:color="auto" w:fill="auto"/>
            <w:vAlign w:val="bottom"/>
          </w:tcPr>
          <w:p w14:paraId="442F66C1" w14:textId="77777777" w:rsidR="00CC25B5" w:rsidRDefault="00CC25B5">
            <w:pPr>
              <w:rPr>
                <w:rFonts w:ascii="宋体"/>
                <w:vanish/>
              </w:rPr>
            </w:pPr>
          </w:p>
        </w:tc>
        <w:tc>
          <w:tcPr>
            <w:tcW w:w="0" w:type="auto"/>
            <w:gridSpan w:val="3"/>
            <w:shd w:val="clear" w:color="auto" w:fill="auto"/>
            <w:vAlign w:val="bottom"/>
          </w:tcPr>
          <w:p w14:paraId="442F66C2" w14:textId="77777777" w:rsidR="00CC25B5" w:rsidRDefault="00CC25B5">
            <w:pPr>
              <w:rPr>
                <w:rFonts w:ascii="宋体"/>
                <w:vanish/>
              </w:rPr>
            </w:pPr>
          </w:p>
        </w:tc>
        <w:tc>
          <w:tcPr>
            <w:tcW w:w="0" w:type="auto"/>
            <w:gridSpan w:val="3"/>
            <w:shd w:val="clear" w:color="auto" w:fill="auto"/>
            <w:vAlign w:val="bottom"/>
          </w:tcPr>
          <w:p w14:paraId="442F66C3" w14:textId="77777777" w:rsidR="00CC25B5" w:rsidRDefault="00CC25B5">
            <w:pPr>
              <w:rPr>
                <w:rFonts w:ascii="宋体"/>
                <w:vanish/>
              </w:rPr>
            </w:pPr>
          </w:p>
        </w:tc>
        <w:tc>
          <w:tcPr>
            <w:tcW w:w="0" w:type="auto"/>
            <w:gridSpan w:val="3"/>
            <w:shd w:val="clear" w:color="auto" w:fill="auto"/>
            <w:vAlign w:val="bottom"/>
          </w:tcPr>
          <w:p w14:paraId="442F66C4" w14:textId="77777777" w:rsidR="00CC25B5" w:rsidRDefault="00CC25B5">
            <w:pPr>
              <w:rPr>
                <w:rFonts w:ascii="宋体"/>
                <w:vanish/>
              </w:rPr>
            </w:pPr>
          </w:p>
        </w:tc>
        <w:tc>
          <w:tcPr>
            <w:tcW w:w="0" w:type="auto"/>
            <w:gridSpan w:val="3"/>
            <w:shd w:val="clear" w:color="auto" w:fill="auto"/>
            <w:vAlign w:val="bottom"/>
          </w:tcPr>
          <w:p w14:paraId="442F66C5" w14:textId="77777777" w:rsidR="00CC25B5" w:rsidRDefault="00CC25B5">
            <w:pPr>
              <w:rPr>
                <w:rFonts w:ascii="宋体"/>
                <w:vanish/>
              </w:rPr>
            </w:pPr>
          </w:p>
        </w:tc>
      </w:tr>
      <w:tr w:rsidR="00CC25B5" w14:paraId="442F66D1" w14:textId="77777777">
        <w:trPr>
          <w:jc w:val="center"/>
        </w:trPr>
        <w:tc>
          <w:tcPr>
            <w:tcW w:w="0" w:type="auto"/>
            <w:gridSpan w:val="3"/>
            <w:shd w:val="clear" w:color="auto" w:fill="CCEEFF"/>
            <w:tcMar>
              <w:top w:w="40" w:type="dxa"/>
              <w:left w:w="740" w:type="dxa"/>
              <w:bottom w:w="40" w:type="dxa"/>
              <w:right w:w="20" w:type="dxa"/>
            </w:tcMar>
            <w:vAlign w:val="center"/>
          </w:tcPr>
          <w:p w14:paraId="442F66C7" w14:textId="77777777" w:rsidR="00CC25B5" w:rsidRDefault="00900968">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vAlign w:val="bottom"/>
          </w:tcPr>
          <w:p w14:paraId="442F66C8"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6C9" w14:textId="77777777" w:rsidR="00CC25B5" w:rsidRDefault="00900968">
            <w:pPr>
              <w:jc w:val="right"/>
              <w:textAlignment w:val="center"/>
            </w:pPr>
            <w:r>
              <w:rPr>
                <w:rFonts w:ascii="Times New Roman" w:eastAsia="宋体" w:hAnsi="Times New Roman"/>
                <w:color w:val="000000"/>
                <w:sz w:val="16"/>
                <w:szCs w:val="16"/>
              </w:rPr>
              <w:t>78,243 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6C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CB"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6CC" w14:textId="77777777" w:rsidR="00CC25B5" w:rsidRDefault="00900968">
            <w:pPr>
              <w:jc w:val="right"/>
              <w:textAlignment w:val="center"/>
            </w:pPr>
            <w:r>
              <w:rPr>
                <w:rFonts w:ascii="Times New Roman" w:eastAsia="宋体" w:hAnsi="Times New Roman"/>
                <w:color w:val="000000"/>
                <w:sz w:val="16"/>
                <w:szCs w:val="16"/>
              </w:rPr>
              <w:t>90,067 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6C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CE"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6CF" w14:textId="77777777" w:rsidR="00CC25B5" w:rsidRDefault="00900968">
            <w:pPr>
              <w:jc w:val="right"/>
              <w:textAlignment w:val="center"/>
            </w:pPr>
            <w:r>
              <w:rPr>
                <w:rFonts w:ascii="Times New Roman" w:eastAsia="宋体" w:hAnsi="Times New Roman"/>
                <w:color w:val="000000"/>
                <w:sz w:val="16"/>
                <w:szCs w:val="16"/>
              </w:rPr>
              <w:t>64,996 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6D0" w14:textId="77777777" w:rsidR="00CC25B5" w:rsidRDefault="00CC25B5">
            <w:pPr>
              <w:jc w:val="right"/>
              <w:rPr>
                <w:rFonts w:ascii="宋体"/>
              </w:rPr>
            </w:pPr>
          </w:p>
        </w:tc>
      </w:tr>
      <w:tr w:rsidR="00CC25B5" w14:paraId="442F66D9" w14:textId="77777777">
        <w:trPr>
          <w:trHeight w:val="240"/>
          <w:jc w:val="center"/>
        </w:trPr>
        <w:tc>
          <w:tcPr>
            <w:tcW w:w="0" w:type="auto"/>
            <w:gridSpan w:val="3"/>
            <w:shd w:val="clear" w:color="auto" w:fill="FFFFFF"/>
            <w:tcMar>
              <w:top w:w="0" w:type="dxa"/>
              <w:left w:w="20" w:type="dxa"/>
              <w:bottom w:w="0" w:type="dxa"/>
              <w:right w:w="20" w:type="dxa"/>
            </w:tcMar>
            <w:vAlign w:val="bottom"/>
          </w:tcPr>
          <w:p w14:paraId="442F66D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6D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6D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6D5"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6D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6D7"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6D8" w14:textId="77777777" w:rsidR="00CC25B5" w:rsidRDefault="00CC25B5">
            <w:pPr>
              <w:rPr>
                <w:rFonts w:ascii="宋体"/>
              </w:rPr>
            </w:pPr>
          </w:p>
        </w:tc>
      </w:tr>
      <w:tr w:rsidR="00CC25B5" w14:paraId="442F66E1" w14:textId="77777777">
        <w:trPr>
          <w:jc w:val="center"/>
          <w:hidden/>
        </w:trPr>
        <w:tc>
          <w:tcPr>
            <w:tcW w:w="0" w:type="auto"/>
            <w:gridSpan w:val="3"/>
            <w:shd w:val="clear" w:color="auto" w:fill="auto"/>
            <w:vAlign w:val="bottom"/>
          </w:tcPr>
          <w:p w14:paraId="442F66DA" w14:textId="77777777" w:rsidR="00CC25B5" w:rsidRDefault="00CC25B5">
            <w:pPr>
              <w:rPr>
                <w:rFonts w:ascii="宋体"/>
                <w:vanish/>
              </w:rPr>
            </w:pPr>
          </w:p>
        </w:tc>
        <w:tc>
          <w:tcPr>
            <w:tcW w:w="0" w:type="auto"/>
            <w:gridSpan w:val="3"/>
            <w:shd w:val="clear" w:color="auto" w:fill="auto"/>
            <w:vAlign w:val="bottom"/>
          </w:tcPr>
          <w:p w14:paraId="442F66DB" w14:textId="77777777" w:rsidR="00CC25B5" w:rsidRDefault="00CC25B5">
            <w:pPr>
              <w:rPr>
                <w:rFonts w:ascii="宋体"/>
                <w:vanish/>
              </w:rPr>
            </w:pPr>
          </w:p>
        </w:tc>
        <w:tc>
          <w:tcPr>
            <w:tcW w:w="0" w:type="auto"/>
            <w:gridSpan w:val="3"/>
            <w:shd w:val="clear" w:color="auto" w:fill="auto"/>
            <w:vAlign w:val="bottom"/>
          </w:tcPr>
          <w:p w14:paraId="442F66DC" w14:textId="77777777" w:rsidR="00CC25B5" w:rsidRDefault="00CC25B5">
            <w:pPr>
              <w:rPr>
                <w:rFonts w:ascii="宋体"/>
                <w:vanish/>
              </w:rPr>
            </w:pPr>
          </w:p>
        </w:tc>
        <w:tc>
          <w:tcPr>
            <w:tcW w:w="0" w:type="auto"/>
            <w:gridSpan w:val="3"/>
            <w:shd w:val="clear" w:color="auto" w:fill="auto"/>
            <w:vAlign w:val="bottom"/>
          </w:tcPr>
          <w:p w14:paraId="442F66DD" w14:textId="77777777" w:rsidR="00CC25B5" w:rsidRDefault="00CC25B5">
            <w:pPr>
              <w:rPr>
                <w:rFonts w:ascii="宋体"/>
                <w:vanish/>
              </w:rPr>
            </w:pPr>
          </w:p>
        </w:tc>
        <w:tc>
          <w:tcPr>
            <w:tcW w:w="0" w:type="auto"/>
            <w:gridSpan w:val="3"/>
            <w:shd w:val="clear" w:color="auto" w:fill="auto"/>
            <w:vAlign w:val="bottom"/>
          </w:tcPr>
          <w:p w14:paraId="442F66DE" w14:textId="77777777" w:rsidR="00CC25B5" w:rsidRDefault="00CC25B5">
            <w:pPr>
              <w:rPr>
                <w:rFonts w:ascii="宋体"/>
                <w:vanish/>
              </w:rPr>
            </w:pPr>
          </w:p>
        </w:tc>
        <w:tc>
          <w:tcPr>
            <w:tcW w:w="0" w:type="auto"/>
            <w:gridSpan w:val="3"/>
            <w:shd w:val="clear" w:color="auto" w:fill="auto"/>
            <w:vAlign w:val="bottom"/>
          </w:tcPr>
          <w:p w14:paraId="442F66DF" w14:textId="77777777" w:rsidR="00CC25B5" w:rsidRDefault="00CC25B5">
            <w:pPr>
              <w:rPr>
                <w:rFonts w:ascii="宋体"/>
                <w:vanish/>
              </w:rPr>
            </w:pPr>
          </w:p>
        </w:tc>
        <w:tc>
          <w:tcPr>
            <w:tcW w:w="0" w:type="auto"/>
            <w:gridSpan w:val="3"/>
            <w:shd w:val="clear" w:color="auto" w:fill="auto"/>
            <w:vAlign w:val="bottom"/>
          </w:tcPr>
          <w:p w14:paraId="442F66E0" w14:textId="77777777" w:rsidR="00CC25B5" w:rsidRDefault="00CC25B5">
            <w:pPr>
              <w:rPr>
                <w:rFonts w:ascii="宋体"/>
                <w:vanish/>
              </w:rPr>
            </w:pPr>
          </w:p>
        </w:tc>
      </w:tr>
      <w:tr w:rsidR="00CC25B5" w14:paraId="442F66E9" w14:textId="77777777">
        <w:trPr>
          <w:jc w:val="center"/>
          <w:hidden/>
        </w:trPr>
        <w:tc>
          <w:tcPr>
            <w:tcW w:w="0" w:type="auto"/>
            <w:gridSpan w:val="3"/>
            <w:shd w:val="clear" w:color="auto" w:fill="auto"/>
            <w:vAlign w:val="bottom"/>
          </w:tcPr>
          <w:p w14:paraId="442F66E2" w14:textId="77777777" w:rsidR="00CC25B5" w:rsidRDefault="00CC25B5">
            <w:pPr>
              <w:rPr>
                <w:rFonts w:ascii="宋体"/>
                <w:vanish/>
              </w:rPr>
            </w:pPr>
          </w:p>
        </w:tc>
        <w:tc>
          <w:tcPr>
            <w:tcW w:w="0" w:type="auto"/>
            <w:gridSpan w:val="3"/>
            <w:shd w:val="clear" w:color="auto" w:fill="auto"/>
            <w:vAlign w:val="bottom"/>
          </w:tcPr>
          <w:p w14:paraId="442F66E3" w14:textId="77777777" w:rsidR="00CC25B5" w:rsidRDefault="00CC25B5">
            <w:pPr>
              <w:rPr>
                <w:rFonts w:ascii="宋体"/>
                <w:vanish/>
              </w:rPr>
            </w:pPr>
          </w:p>
        </w:tc>
        <w:tc>
          <w:tcPr>
            <w:tcW w:w="0" w:type="auto"/>
            <w:gridSpan w:val="3"/>
            <w:shd w:val="clear" w:color="auto" w:fill="auto"/>
            <w:vAlign w:val="bottom"/>
          </w:tcPr>
          <w:p w14:paraId="442F66E4" w14:textId="77777777" w:rsidR="00CC25B5" w:rsidRDefault="00CC25B5">
            <w:pPr>
              <w:rPr>
                <w:rFonts w:ascii="宋体"/>
                <w:vanish/>
              </w:rPr>
            </w:pPr>
          </w:p>
        </w:tc>
        <w:tc>
          <w:tcPr>
            <w:tcW w:w="0" w:type="auto"/>
            <w:gridSpan w:val="3"/>
            <w:shd w:val="clear" w:color="auto" w:fill="auto"/>
            <w:vAlign w:val="bottom"/>
          </w:tcPr>
          <w:p w14:paraId="442F66E5" w14:textId="77777777" w:rsidR="00CC25B5" w:rsidRDefault="00CC25B5">
            <w:pPr>
              <w:rPr>
                <w:rFonts w:ascii="宋体"/>
                <w:vanish/>
              </w:rPr>
            </w:pPr>
          </w:p>
        </w:tc>
        <w:tc>
          <w:tcPr>
            <w:tcW w:w="0" w:type="auto"/>
            <w:gridSpan w:val="3"/>
            <w:shd w:val="clear" w:color="auto" w:fill="auto"/>
            <w:vAlign w:val="bottom"/>
          </w:tcPr>
          <w:p w14:paraId="442F66E6" w14:textId="77777777" w:rsidR="00CC25B5" w:rsidRDefault="00CC25B5">
            <w:pPr>
              <w:rPr>
                <w:rFonts w:ascii="宋体"/>
                <w:vanish/>
              </w:rPr>
            </w:pPr>
          </w:p>
        </w:tc>
        <w:tc>
          <w:tcPr>
            <w:tcW w:w="0" w:type="auto"/>
            <w:gridSpan w:val="3"/>
            <w:shd w:val="clear" w:color="auto" w:fill="auto"/>
            <w:vAlign w:val="bottom"/>
          </w:tcPr>
          <w:p w14:paraId="442F66E7" w14:textId="77777777" w:rsidR="00CC25B5" w:rsidRDefault="00CC25B5">
            <w:pPr>
              <w:rPr>
                <w:rFonts w:ascii="宋体"/>
                <w:vanish/>
              </w:rPr>
            </w:pPr>
          </w:p>
        </w:tc>
        <w:tc>
          <w:tcPr>
            <w:tcW w:w="0" w:type="auto"/>
            <w:gridSpan w:val="3"/>
            <w:shd w:val="clear" w:color="auto" w:fill="auto"/>
            <w:vAlign w:val="bottom"/>
          </w:tcPr>
          <w:p w14:paraId="442F66E8" w14:textId="77777777" w:rsidR="00CC25B5" w:rsidRDefault="00CC25B5">
            <w:pPr>
              <w:rPr>
                <w:rFonts w:ascii="宋体"/>
                <w:vanish/>
              </w:rPr>
            </w:pPr>
          </w:p>
        </w:tc>
      </w:tr>
      <w:tr w:rsidR="00CC25B5" w14:paraId="442F66F4" w14:textId="77777777">
        <w:trPr>
          <w:jc w:val="center"/>
        </w:trPr>
        <w:tc>
          <w:tcPr>
            <w:tcW w:w="0" w:type="auto"/>
            <w:gridSpan w:val="3"/>
            <w:shd w:val="clear" w:color="auto" w:fill="CCEEFF"/>
            <w:tcMar>
              <w:top w:w="40" w:type="dxa"/>
              <w:left w:w="20" w:type="dxa"/>
              <w:bottom w:w="40" w:type="dxa"/>
              <w:right w:w="20" w:type="dxa"/>
            </w:tcMar>
            <w:vAlign w:val="center"/>
          </w:tcPr>
          <w:p w14:paraId="442F66EA" w14:textId="77777777" w:rsidR="00CC25B5" w:rsidRDefault="00900968">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442F66E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EC" w14:textId="77777777" w:rsidR="00CC25B5" w:rsidRDefault="00900968">
            <w:pPr>
              <w:jc w:val="right"/>
              <w:textAlignment w:val="center"/>
            </w:pPr>
            <w:r>
              <w:rPr>
                <w:rFonts w:ascii="Times New Roman" w:eastAsia="宋体" w:hAnsi="Times New Roman"/>
                <w:color w:val="000000"/>
                <w:sz w:val="16"/>
                <w:szCs w:val="16"/>
              </w:rPr>
              <w:t>91,621 </w:t>
            </w:r>
          </w:p>
        </w:tc>
        <w:tc>
          <w:tcPr>
            <w:tcW w:w="0" w:type="auto"/>
            <w:shd w:val="clear" w:color="auto" w:fill="CCEEFF"/>
            <w:tcMar>
              <w:top w:w="40" w:type="dxa"/>
              <w:left w:w="0" w:type="dxa"/>
              <w:bottom w:w="40" w:type="dxa"/>
              <w:right w:w="20" w:type="dxa"/>
            </w:tcMar>
            <w:vAlign w:val="center"/>
          </w:tcPr>
          <w:p w14:paraId="442F66E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E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EF" w14:textId="77777777" w:rsidR="00CC25B5" w:rsidRDefault="00900968">
            <w:pPr>
              <w:jc w:val="right"/>
              <w:textAlignment w:val="center"/>
            </w:pPr>
            <w:r>
              <w:rPr>
                <w:rFonts w:ascii="Times New Roman" w:eastAsia="宋体" w:hAnsi="Times New Roman"/>
                <w:color w:val="000000"/>
                <w:sz w:val="16"/>
                <w:szCs w:val="16"/>
              </w:rPr>
              <w:t>92,201 </w:t>
            </w:r>
          </w:p>
        </w:tc>
        <w:tc>
          <w:tcPr>
            <w:tcW w:w="0" w:type="auto"/>
            <w:shd w:val="clear" w:color="auto" w:fill="CCEEFF"/>
            <w:tcMar>
              <w:top w:w="40" w:type="dxa"/>
              <w:left w:w="0" w:type="dxa"/>
              <w:bottom w:w="40" w:type="dxa"/>
              <w:right w:w="20" w:type="dxa"/>
            </w:tcMar>
            <w:vAlign w:val="center"/>
          </w:tcPr>
          <w:p w14:paraId="442F66F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6F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6F2" w14:textId="77777777" w:rsidR="00CC25B5" w:rsidRDefault="00900968">
            <w:pPr>
              <w:jc w:val="right"/>
              <w:textAlignment w:val="center"/>
            </w:pPr>
            <w:r>
              <w:rPr>
                <w:rFonts w:ascii="Times New Roman" w:eastAsia="宋体" w:hAnsi="Times New Roman"/>
                <w:color w:val="000000"/>
                <w:sz w:val="16"/>
                <w:szCs w:val="16"/>
              </w:rPr>
              <w:t>101,182 </w:t>
            </w:r>
          </w:p>
        </w:tc>
        <w:tc>
          <w:tcPr>
            <w:tcW w:w="0" w:type="auto"/>
            <w:shd w:val="clear" w:color="auto" w:fill="CCEEFF"/>
            <w:tcMar>
              <w:top w:w="40" w:type="dxa"/>
              <w:left w:w="0" w:type="dxa"/>
              <w:bottom w:w="40" w:type="dxa"/>
              <w:right w:w="20" w:type="dxa"/>
            </w:tcMar>
            <w:vAlign w:val="center"/>
          </w:tcPr>
          <w:p w14:paraId="442F66F3" w14:textId="77777777" w:rsidR="00CC25B5" w:rsidRDefault="00CC25B5">
            <w:pPr>
              <w:jc w:val="right"/>
              <w:rPr>
                <w:rFonts w:ascii="宋体"/>
              </w:rPr>
            </w:pPr>
          </w:p>
        </w:tc>
      </w:tr>
      <w:tr w:rsidR="00CC25B5" w14:paraId="442F66FF" w14:textId="77777777">
        <w:trPr>
          <w:jc w:val="center"/>
        </w:trPr>
        <w:tc>
          <w:tcPr>
            <w:tcW w:w="0" w:type="auto"/>
            <w:gridSpan w:val="3"/>
            <w:shd w:val="clear" w:color="auto" w:fill="FFFFFF"/>
            <w:tcMar>
              <w:top w:w="40" w:type="dxa"/>
              <w:left w:w="20" w:type="dxa"/>
              <w:bottom w:w="40" w:type="dxa"/>
              <w:right w:w="20" w:type="dxa"/>
            </w:tcMar>
            <w:vAlign w:val="center"/>
          </w:tcPr>
          <w:p w14:paraId="442F66F5" w14:textId="77777777" w:rsidR="00CC25B5" w:rsidRDefault="00900968">
            <w:pPr>
              <w:textAlignment w:val="center"/>
            </w:pPr>
            <w:r>
              <w:rPr>
                <w:rFonts w:ascii="Times New Roman" w:eastAsia="宋体" w:hAnsi="Times New Roman"/>
                <w:color w:val="000000"/>
                <w:sz w:val="16"/>
                <w:szCs w:val="16"/>
              </w:rPr>
              <w:t>Op</w:t>
            </w:r>
            <w:r>
              <w:rPr>
                <w:rFonts w:ascii="Times New Roman" w:eastAsia="宋体" w:hAnsi="Times New Roman"/>
                <w:color w:val="000000"/>
                <w:sz w:val="16"/>
                <w:szCs w:val="16"/>
              </w:rPr>
              <w:t>erating lease right-of-use assets</w:t>
            </w:r>
          </w:p>
        </w:tc>
        <w:tc>
          <w:tcPr>
            <w:tcW w:w="0" w:type="auto"/>
            <w:gridSpan w:val="3"/>
            <w:shd w:val="clear" w:color="auto" w:fill="FFFFFF"/>
            <w:tcMar>
              <w:top w:w="0" w:type="dxa"/>
              <w:left w:w="20" w:type="dxa"/>
              <w:bottom w:w="0" w:type="dxa"/>
              <w:right w:w="20" w:type="dxa"/>
            </w:tcMar>
            <w:vAlign w:val="bottom"/>
          </w:tcPr>
          <w:p w14:paraId="442F66F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F7" w14:textId="77777777" w:rsidR="00CC25B5" w:rsidRDefault="00900968">
            <w:pPr>
              <w:jc w:val="right"/>
              <w:textAlignment w:val="center"/>
            </w:pPr>
            <w:r>
              <w:rPr>
                <w:rFonts w:ascii="Times New Roman" w:eastAsia="宋体" w:hAnsi="Times New Roman"/>
                <w:color w:val="000000"/>
                <w:sz w:val="16"/>
                <w:szCs w:val="16"/>
              </w:rPr>
              <w:t>13,868 </w:t>
            </w:r>
          </w:p>
        </w:tc>
        <w:tc>
          <w:tcPr>
            <w:tcW w:w="0" w:type="auto"/>
            <w:shd w:val="clear" w:color="auto" w:fill="FFFFFF"/>
            <w:tcMar>
              <w:top w:w="40" w:type="dxa"/>
              <w:left w:w="0" w:type="dxa"/>
              <w:bottom w:w="40" w:type="dxa"/>
              <w:right w:w="20" w:type="dxa"/>
            </w:tcMar>
            <w:vAlign w:val="center"/>
          </w:tcPr>
          <w:p w14:paraId="442F66F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F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FA" w14:textId="77777777" w:rsidR="00CC25B5" w:rsidRDefault="00900968">
            <w:pPr>
              <w:jc w:val="right"/>
              <w:textAlignment w:val="center"/>
            </w:pPr>
            <w:r>
              <w:rPr>
                <w:rFonts w:ascii="Times New Roman" w:eastAsia="宋体" w:hAnsi="Times New Roman"/>
                <w:color w:val="000000"/>
                <w:sz w:val="16"/>
                <w:szCs w:val="16"/>
              </w:rPr>
              <w:t>13,642 </w:t>
            </w:r>
          </w:p>
        </w:tc>
        <w:tc>
          <w:tcPr>
            <w:tcW w:w="0" w:type="auto"/>
            <w:shd w:val="clear" w:color="auto" w:fill="FFFFFF"/>
            <w:tcMar>
              <w:top w:w="40" w:type="dxa"/>
              <w:left w:w="0" w:type="dxa"/>
              <w:bottom w:w="40" w:type="dxa"/>
              <w:right w:w="20" w:type="dxa"/>
            </w:tcMar>
            <w:vAlign w:val="center"/>
          </w:tcPr>
          <w:p w14:paraId="442F66F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6F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6FD" w14:textId="77777777" w:rsidR="00CC25B5" w:rsidRDefault="00900968">
            <w:pPr>
              <w:jc w:val="right"/>
              <w:textAlignment w:val="center"/>
            </w:pPr>
            <w:r>
              <w:rPr>
                <w:rFonts w:ascii="Times New Roman" w:eastAsia="宋体" w:hAnsi="Times New Roman"/>
                <w:color w:val="000000"/>
                <w:sz w:val="16"/>
                <w:szCs w:val="16"/>
              </w:rPr>
              <w:t>16,869 </w:t>
            </w:r>
          </w:p>
        </w:tc>
        <w:tc>
          <w:tcPr>
            <w:tcW w:w="0" w:type="auto"/>
            <w:shd w:val="clear" w:color="auto" w:fill="FFFFFF"/>
            <w:tcMar>
              <w:top w:w="40" w:type="dxa"/>
              <w:left w:w="0" w:type="dxa"/>
              <w:bottom w:w="40" w:type="dxa"/>
              <w:right w:w="20" w:type="dxa"/>
            </w:tcMar>
            <w:vAlign w:val="center"/>
          </w:tcPr>
          <w:p w14:paraId="442F66FE" w14:textId="77777777" w:rsidR="00CC25B5" w:rsidRDefault="00CC25B5">
            <w:pPr>
              <w:jc w:val="right"/>
              <w:rPr>
                <w:rFonts w:ascii="宋体"/>
              </w:rPr>
            </w:pPr>
          </w:p>
        </w:tc>
      </w:tr>
      <w:tr w:rsidR="00CC25B5" w14:paraId="442F670A" w14:textId="77777777">
        <w:trPr>
          <w:jc w:val="center"/>
        </w:trPr>
        <w:tc>
          <w:tcPr>
            <w:tcW w:w="0" w:type="auto"/>
            <w:gridSpan w:val="3"/>
            <w:shd w:val="clear" w:color="auto" w:fill="CCEEFF"/>
            <w:tcMar>
              <w:top w:w="40" w:type="dxa"/>
              <w:left w:w="20" w:type="dxa"/>
              <w:bottom w:w="40" w:type="dxa"/>
              <w:right w:w="20" w:type="dxa"/>
            </w:tcMar>
            <w:vAlign w:val="center"/>
          </w:tcPr>
          <w:p w14:paraId="442F6700" w14:textId="77777777" w:rsidR="00CC25B5" w:rsidRDefault="00900968">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vAlign w:val="bottom"/>
          </w:tcPr>
          <w:p w14:paraId="442F670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02" w14:textId="77777777" w:rsidR="00CC25B5" w:rsidRDefault="00900968">
            <w:pPr>
              <w:jc w:val="right"/>
              <w:textAlignment w:val="center"/>
            </w:pPr>
            <w:r>
              <w:rPr>
                <w:rFonts w:ascii="Times New Roman" w:eastAsia="宋体" w:hAnsi="Times New Roman"/>
                <w:color w:val="000000"/>
                <w:sz w:val="16"/>
                <w:szCs w:val="16"/>
              </w:rPr>
              <w:t>4,109 </w:t>
            </w:r>
          </w:p>
        </w:tc>
        <w:tc>
          <w:tcPr>
            <w:tcW w:w="0" w:type="auto"/>
            <w:shd w:val="clear" w:color="auto" w:fill="CCEEFF"/>
            <w:tcMar>
              <w:top w:w="40" w:type="dxa"/>
              <w:left w:w="0" w:type="dxa"/>
              <w:bottom w:w="40" w:type="dxa"/>
              <w:right w:w="20" w:type="dxa"/>
            </w:tcMar>
            <w:vAlign w:val="center"/>
          </w:tcPr>
          <w:p w14:paraId="442F670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0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05" w14:textId="77777777" w:rsidR="00CC25B5" w:rsidRDefault="00900968">
            <w:pPr>
              <w:jc w:val="right"/>
              <w:textAlignment w:val="center"/>
            </w:pPr>
            <w:r>
              <w:rPr>
                <w:rFonts w:ascii="Times New Roman" w:eastAsia="宋体" w:hAnsi="Times New Roman"/>
                <w:color w:val="000000"/>
                <w:sz w:val="16"/>
                <w:szCs w:val="16"/>
              </w:rPr>
              <w:t>4,005 </w:t>
            </w:r>
          </w:p>
        </w:tc>
        <w:tc>
          <w:tcPr>
            <w:tcW w:w="0" w:type="auto"/>
            <w:shd w:val="clear" w:color="auto" w:fill="CCEEFF"/>
            <w:tcMar>
              <w:top w:w="40" w:type="dxa"/>
              <w:left w:w="0" w:type="dxa"/>
              <w:bottom w:w="40" w:type="dxa"/>
              <w:right w:w="20" w:type="dxa"/>
            </w:tcMar>
            <w:vAlign w:val="center"/>
          </w:tcPr>
          <w:p w14:paraId="442F670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0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08" w14:textId="77777777" w:rsidR="00CC25B5" w:rsidRDefault="00900968">
            <w:pPr>
              <w:jc w:val="right"/>
              <w:textAlignment w:val="center"/>
            </w:pPr>
            <w:r>
              <w:rPr>
                <w:rFonts w:ascii="Times New Roman" w:eastAsia="宋体" w:hAnsi="Times New Roman"/>
                <w:color w:val="000000"/>
                <w:sz w:val="16"/>
                <w:szCs w:val="16"/>
              </w:rPr>
              <w:t>4,843 </w:t>
            </w:r>
          </w:p>
        </w:tc>
        <w:tc>
          <w:tcPr>
            <w:tcW w:w="0" w:type="auto"/>
            <w:shd w:val="clear" w:color="auto" w:fill="CCEEFF"/>
            <w:tcMar>
              <w:top w:w="40" w:type="dxa"/>
              <w:left w:w="0" w:type="dxa"/>
              <w:bottom w:w="40" w:type="dxa"/>
              <w:right w:w="20" w:type="dxa"/>
            </w:tcMar>
            <w:vAlign w:val="center"/>
          </w:tcPr>
          <w:p w14:paraId="442F6709" w14:textId="77777777" w:rsidR="00CC25B5" w:rsidRDefault="00CC25B5">
            <w:pPr>
              <w:jc w:val="right"/>
              <w:rPr>
                <w:rFonts w:ascii="宋体"/>
              </w:rPr>
            </w:pPr>
          </w:p>
        </w:tc>
      </w:tr>
      <w:tr w:rsidR="00CC25B5" w14:paraId="442F6712" w14:textId="77777777">
        <w:trPr>
          <w:jc w:val="center"/>
          <w:hidden/>
        </w:trPr>
        <w:tc>
          <w:tcPr>
            <w:tcW w:w="0" w:type="auto"/>
            <w:gridSpan w:val="3"/>
            <w:shd w:val="clear" w:color="auto" w:fill="auto"/>
            <w:vAlign w:val="bottom"/>
          </w:tcPr>
          <w:p w14:paraId="442F670B" w14:textId="77777777" w:rsidR="00CC25B5" w:rsidRDefault="00CC25B5">
            <w:pPr>
              <w:rPr>
                <w:rFonts w:ascii="宋体"/>
                <w:vanish/>
              </w:rPr>
            </w:pPr>
          </w:p>
        </w:tc>
        <w:tc>
          <w:tcPr>
            <w:tcW w:w="0" w:type="auto"/>
            <w:gridSpan w:val="3"/>
            <w:shd w:val="clear" w:color="auto" w:fill="auto"/>
            <w:vAlign w:val="bottom"/>
          </w:tcPr>
          <w:p w14:paraId="442F670C" w14:textId="77777777" w:rsidR="00CC25B5" w:rsidRDefault="00CC25B5">
            <w:pPr>
              <w:rPr>
                <w:rFonts w:ascii="宋体"/>
                <w:vanish/>
              </w:rPr>
            </w:pPr>
          </w:p>
        </w:tc>
        <w:tc>
          <w:tcPr>
            <w:tcW w:w="0" w:type="auto"/>
            <w:gridSpan w:val="3"/>
            <w:shd w:val="clear" w:color="auto" w:fill="auto"/>
            <w:vAlign w:val="bottom"/>
          </w:tcPr>
          <w:p w14:paraId="442F670D" w14:textId="77777777" w:rsidR="00CC25B5" w:rsidRDefault="00CC25B5">
            <w:pPr>
              <w:rPr>
                <w:rFonts w:ascii="宋体"/>
                <w:vanish/>
              </w:rPr>
            </w:pPr>
          </w:p>
        </w:tc>
        <w:tc>
          <w:tcPr>
            <w:tcW w:w="0" w:type="auto"/>
            <w:gridSpan w:val="3"/>
            <w:shd w:val="clear" w:color="auto" w:fill="auto"/>
            <w:vAlign w:val="bottom"/>
          </w:tcPr>
          <w:p w14:paraId="442F670E" w14:textId="77777777" w:rsidR="00CC25B5" w:rsidRDefault="00CC25B5">
            <w:pPr>
              <w:rPr>
                <w:rFonts w:ascii="宋体"/>
                <w:vanish/>
              </w:rPr>
            </w:pPr>
          </w:p>
        </w:tc>
        <w:tc>
          <w:tcPr>
            <w:tcW w:w="0" w:type="auto"/>
            <w:gridSpan w:val="3"/>
            <w:shd w:val="clear" w:color="auto" w:fill="auto"/>
            <w:vAlign w:val="bottom"/>
          </w:tcPr>
          <w:p w14:paraId="442F670F" w14:textId="77777777" w:rsidR="00CC25B5" w:rsidRDefault="00CC25B5">
            <w:pPr>
              <w:rPr>
                <w:rFonts w:ascii="宋体"/>
                <w:vanish/>
              </w:rPr>
            </w:pPr>
          </w:p>
        </w:tc>
        <w:tc>
          <w:tcPr>
            <w:tcW w:w="0" w:type="auto"/>
            <w:gridSpan w:val="3"/>
            <w:shd w:val="clear" w:color="auto" w:fill="auto"/>
            <w:vAlign w:val="bottom"/>
          </w:tcPr>
          <w:p w14:paraId="442F6710" w14:textId="77777777" w:rsidR="00CC25B5" w:rsidRDefault="00CC25B5">
            <w:pPr>
              <w:rPr>
                <w:rFonts w:ascii="宋体"/>
                <w:vanish/>
              </w:rPr>
            </w:pPr>
          </w:p>
        </w:tc>
        <w:tc>
          <w:tcPr>
            <w:tcW w:w="0" w:type="auto"/>
            <w:gridSpan w:val="3"/>
            <w:shd w:val="clear" w:color="auto" w:fill="auto"/>
            <w:vAlign w:val="bottom"/>
          </w:tcPr>
          <w:p w14:paraId="442F6711" w14:textId="77777777" w:rsidR="00CC25B5" w:rsidRDefault="00CC25B5">
            <w:pPr>
              <w:rPr>
                <w:rFonts w:ascii="宋体"/>
                <w:vanish/>
              </w:rPr>
            </w:pPr>
          </w:p>
        </w:tc>
      </w:tr>
      <w:tr w:rsidR="00CC25B5" w14:paraId="442F671D" w14:textId="77777777">
        <w:trPr>
          <w:jc w:val="center"/>
        </w:trPr>
        <w:tc>
          <w:tcPr>
            <w:tcW w:w="0" w:type="auto"/>
            <w:gridSpan w:val="3"/>
            <w:shd w:val="clear" w:color="auto" w:fill="FFFFFF"/>
            <w:tcMar>
              <w:top w:w="40" w:type="dxa"/>
              <w:left w:w="20" w:type="dxa"/>
              <w:bottom w:w="40" w:type="dxa"/>
              <w:right w:w="20" w:type="dxa"/>
            </w:tcMar>
            <w:vAlign w:val="center"/>
          </w:tcPr>
          <w:p w14:paraId="442F6713" w14:textId="77777777" w:rsidR="00CC25B5" w:rsidRDefault="00900968">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442F671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15" w14:textId="77777777" w:rsidR="00CC25B5" w:rsidRDefault="00900968">
            <w:pPr>
              <w:jc w:val="right"/>
              <w:textAlignment w:val="center"/>
            </w:pPr>
            <w:r>
              <w:rPr>
                <w:rFonts w:ascii="Times New Roman" w:eastAsia="宋体" w:hAnsi="Times New Roman"/>
                <w:color w:val="000000"/>
                <w:sz w:val="16"/>
                <w:szCs w:val="16"/>
              </w:rPr>
              <w:t>29,159 </w:t>
            </w:r>
          </w:p>
        </w:tc>
        <w:tc>
          <w:tcPr>
            <w:tcW w:w="0" w:type="auto"/>
            <w:shd w:val="clear" w:color="auto" w:fill="FFFFFF"/>
            <w:tcMar>
              <w:top w:w="40" w:type="dxa"/>
              <w:left w:w="0" w:type="dxa"/>
              <w:bottom w:w="40" w:type="dxa"/>
              <w:right w:w="20" w:type="dxa"/>
            </w:tcMar>
            <w:vAlign w:val="center"/>
          </w:tcPr>
          <w:p w14:paraId="442F671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1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18" w14:textId="77777777" w:rsidR="00CC25B5" w:rsidRDefault="00900968">
            <w:pPr>
              <w:jc w:val="right"/>
              <w:textAlignment w:val="center"/>
            </w:pPr>
            <w:r>
              <w:rPr>
                <w:rFonts w:ascii="Times New Roman" w:eastAsia="宋体" w:hAnsi="Times New Roman"/>
                <w:color w:val="000000"/>
                <w:sz w:val="16"/>
                <w:szCs w:val="16"/>
              </w:rPr>
              <w:t>28,983 </w:t>
            </w:r>
          </w:p>
        </w:tc>
        <w:tc>
          <w:tcPr>
            <w:tcW w:w="0" w:type="auto"/>
            <w:shd w:val="clear" w:color="auto" w:fill="FFFFFF"/>
            <w:tcMar>
              <w:top w:w="40" w:type="dxa"/>
              <w:left w:w="0" w:type="dxa"/>
              <w:bottom w:w="40" w:type="dxa"/>
              <w:right w:w="20" w:type="dxa"/>
            </w:tcMar>
            <w:vAlign w:val="center"/>
          </w:tcPr>
          <w:p w14:paraId="442F671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1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1B" w14:textId="77777777" w:rsidR="00CC25B5" w:rsidRDefault="00900968">
            <w:pPr>
              <w:jc w:val="right"/>
              <w:textAlignment w:val="center"/>
            </w:pPr>
            <w:r>
              <w:rPr>
                <w:rFonts w:ascii="Times New Roman" w:eastAsia="宋体" w:hAnsi="Times New Roman"/>
                <w:color w:val="000000"/>
                <w:sz w:val="16"/>
                <w:szCs w:val="16"/>
              </w:rPr>
              <w:t>29,542 </w:t>
            </w:r>
          </w:p>
        </w:tc>
        <w:tc>
          <w:tcPr>
            <w:tcW w:w="0" w:type="auto"/>
            <w:shd w:val="clear" w:color="auto" w:fill="FFFFFF"/>
            <w:tcMar>
              <w:top w:w="40" w:type="dxa"/>
              <w:left w:w="0" w:type="dxa"/>
              <w:bottom w:w="40" w:type="dxa"/>
              <w:right w:w="20" w:type="dxa"/>
            </w:tcMar>
            <w:vAlign w:val="center"/>
          </w:tcPr>
          <w:p w14:paraId="442F671C" w14:textId="77777777" w:rsidR="00CC25B5" w:rsidRDefault="00CC25B5">
            <w:pPr>
              <w:jc w:val="right"/>
              <w:rPr>
                <w:rFonts w:ascii="宋体"/>
              </w:rPr>
            </w:pPr>
          </w:p>
        </w:tc>
      </w:tr>
      <w:tr w:rsidR="00CC25B5" w14:paraId="442F6728" w14:textId="77777777">
        <w:trPr>
          <w:jc w:val="center"/>
        </w:trPr>
        <w:tc>
          <w:tcPr>
            <w:tcW w:w="0" w:type="auto"/>
            <w:gridSpan w:val="3"/>
            <w:shd w:val="clear" w:color="auto" w:fill="CCEEFF"/>
            <w:tcMar>
              <w:top w:w="40" w:type="dxa"/>
              <w:left w:w="20" w:type="dxa"/>
              <w:bottom w:w="40" w:type="dxa"/>
              <w:right w:w="20" w:type="dxa"/>
            </w:tcMar>
            <w:vAlign w:val="center"/>
          </w:tcPr>
          <w:p w14:paraId="442F671E" w14:textId="77777777" w:rsidR="00CC25B5" w:rsidRDefault="00900968">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442F671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20" w14:textId="77777777" w:rsidR="00CC25B5" w:rsidRDefault="00900968">
            <w:pPr>
              <w:jc w:val="right"/>
              <w:textAlignment w:val="center"/>
            </w:pPr>
            <w:r>
              <w:rPr>
                <w:rFonts w:ascii="Times New Roman" w:eastAsia="宋体" w:hAnsi="Times New Roman"/>
                <w:color w:val="000000"/>
                <w:sz w:val="16"/>
                <w:szCs w:val="16"/>
              </w:rPr>
              <w:t>21,552 </w:t>
            </w:r>
          </w:p>
        </w:tc>
        <w:tc>
          <w:tcPr>
            <w:tcW w:w="0" w:type="auto"/>
            <w:shd w:val="clear" w:color="auto" w:fill="CCEEFF"/>
            <w:tcMar>
              <w:top w:w="40" w:type="dxa"/>
              <w:left w:w="0" w:type="dxa"/>
              <w:bottom w:w="40" w:type="dxa"/>
              <w:right w:w="20" w:type="dxa"/>
            </w:tcMar>
            <w:vAlign w:val="center"/>
          </w:tcPr>
          <w:p w14:paraId="442F672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2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23" w14:textId="77777777" w:rsidR="00CC25B5" w:rsidRDefault="00900968">
            <w:pPr>
              <w:jc w:val="right"/>
              <w:textAlignment w:val="center"/>
            </w:pPr>
            <w:r>
              <w:rPr>
                <w:rFonts w:ascii="Times New Roman" w:eastAsia="宋体" w:hAnsi="Times New Roman"/>
                <w:color w:val="000000"/>
                <w:sz w:val="16"/>
                <w:szCs w:val="16"/>
              </w:rPr>
              <w:t>23,598 </w:t>
            </w:r>
          </w:p>
        </w:tc>
        <w:tc>
          <w:tcPr>
            <w:tcW w:w="0" w:type="auto"/>
            <w:shd w:val="clear" w:color="auto" w:fill="CCEEFF"/>
            <w:tcMar>
              <w:top w:w="40" w:type="dxa"/>
              <w:left w:w="0" w:type="dxa"/>
              <w:bottom w:w="40" w:type="dxa"/>
              <w:right w:w="20" w:type="dxa"/>
            </w:tcMar>
            <w:vAlign w:val="center"/>
          </w:tcPr>
          <w:p w14:paraId="442F672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2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26" w14:textId="77777777" w:rsidR="00CC25B5" w:rsidRDefault="00900968">
            <w:pPr>
              <w:jc w:val="right"/>
              <w:textAlignment w:val="center"/>
            </w:pPr>
            <w:r>
              <w:rPr>
                <w:rFonts w:ascii="Times New Roman" w:eastAsia="宋体" w:hAnsi="Times New Roman"/>
                <w:color w:val="000000"/>
                <w:sz w:val="16"/>
                <w:szCs w:val="16"/>
              </w:rPr>
              <w:t>19,950 </w:t>
            </w:r>
          </w:p>
        </w:tc>
        <w:tc>
          <w:tcPr>
            <w:tcW w:w="0" w:type="auto"/>
            <w:shd w:val="clear" w:color="auto" w:fill="CCEEFF"/>
            <w:tcMar>
              <w:top w:w="40" w:type="dxa"/>
              <w:left w:w="0" w:type="dxa"/>
              <w:bottom w:w="40" w:type="dxa"/>
              <w:right w:w="20" w:type="dxa"/>
            </w:tcMar>
            <w:vAlign w:val="center"/>
          </w:tcPr>
          <w:p w14:paraId="442F6727" w14:textId="77777777" w:rsidR="00CC25B5" w:rsidRDefault="00CC25B5">
            <w:pPr>
              <w:jc w:val="right"/>
              <w:rPr>
                <w:rFonts w:ascii="宋体"/>
              </w:rPr>
            </w:pPr>
          </w:p>
        </w:tc>
      </w:tr>
      <w:tr w:rsidR="00CC25B5" w14:paraId="442F6736" w14:textId="77777777">
        <w:trPr>
          <w:jc w:val="center"/>
        </w:trPr>
        <w:tc>
          <w:tcPr>
            <w:tcW w:w="0" w:type="auto"/>
            <w:gridSpan w:val="3"/>
            <w:shd w:val="clear" w:color="auto" w:fill="FFFFFF"/>
            <w:tcMar>
              <w:top w:w="40" w:type="dxa"/>
              <w:left w:w="20" w:type="dxa"/>
              <w:bottom w:w="40" w:type="dxa"/>
              <w:right w:w="20" w:type="dxa"/>
            </w:tcMar>
            <w:vAlign w:val="center"/>
          </w:tcPr>
          <w:p w14:paraId="442F6729" w14:textId="77777777" w:rsidR="00CC25B5" w:rsidRDefault="00900968">
            <w:pPr>
              <w:textAlignment w:val="center"/>
            </w:pPr>
            <w:r>
              <w:rPr>
                <w:rFonts w:ascii="Times New Roman" w:eastAsia="宋体" w:hAnsi="Times New Roman"/>
                <w:b/>
                <w:bCs/>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442F672A"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72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72C" w14:textId="77777777" w:rsidR="00CC25B5" w:rsidRDefault="00900968">
            <w:pPr>
              <w:jc w:val="right"/>
              <w:textAlignment w:val="center"/>
            </w:pPr>
            <w:r>
              <w:rPr>
                <w:rFonts w:ascii="Times New Roman" w:eastAsia="宋体" w:hAnsi="Times New Roman"/>
                <w:color w:val="000000"/>
                <w:sz w:val="16"/>
                <w:szCs w:val="16"/>
              </w:rPr>
              <w:t>238,552 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72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2E"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72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730" w14:textId="77777777" w:rsidR="00CC25B5" w:rsidRDefault="00900968">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73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32"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73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734" w14:textId="77777777" w:rsidR="00CC25B5" w:rsidRDefault="00900968">
            <w:pPr>
              <w:jc w:val="right"/>
              <w:textAlignment w:val="center"/>
            </w:pPr>
            <w:r>
              <w:rPr>
                <w:rFonts w:ascii="Times New Roman" w:eastAsia="宋体" w:hAnsi="Times New Roman"/>
                <w:color w:val="000000"/>
                <w:sz w:val="16"/>
                <w:szCs w:val="16"/>
              </w:rPr>
              <w:t>237,382 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735" w14:textId="77777777" w:rsidR="00CC25B5" w:rsidRDefault="00CC25B5">
            <w:pPr>
              <w:jc w:val="right"/>
              <w:rPr>
                <w:rFonts w:ascii="宋体"/>
              </w:rPr>
            </w:pPr>
          </w:p>
        </w:tc>
      </w:tr>
      <w:tr w:rsidR="00CC25B5" w14:paraId="442F673E" w14:textId="77777777">
        <w:trPr>
          <w:trHeight w:val="240"/>
          <w:jc w:val="center"/>
        </w:trPr>
        <w:tc>
          <w:tcPr>
            <w:tcW w:w="0" w:type="auto"/>
            <w:gridSpan w:val="3"/>
            <w:shd w:val="clear" w:color="auto" w:fill="CCEEFF"/>
            <w:tcMar>
              <w:top w:w="0" w:type="dxa"/>
              <w:left w:w="20" w:type="dxa"/>
              <w:bottom w:w="0" w:type="dxa"/>
              <w:right w:w="20" w:type="dxa"/>
            </w:tcMar>
            <w:vAlign w:val="bottom"/>
          </w:tcPr>
          <w:p w14:paraId="442F6737"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38"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73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3A"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73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3C"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673D" w14:textId="77777777" w:rsidR="00CC25B5" w:rsidRDefault="00CC25B5">
            <w:pPr>
              <w:rPr>
                <w:rFonts w:ascii="宋体"/>
              </w:rPr>
            </w:pPr>
          </w:p>
        </w:tc>
      </w:tr>
      <w:tr w:rsidR="00CC25B5" w14:paraId="442F6746" w14:textId="77777777">
        <w:trPr>
          <w:jc w:val="center"/>
        </w:trPr>
        <w:tc>
          <w:tcPr>
            <w:tcW w:w="0" w:type="auto"/>
            <w:gridSpan w:val="3"/>
            <w:shd w:val="clear" w:color="auto" w:fill="FFFFFF"/>
            <w:tcMar>
              <w:top w:w="40" w:type="dxa"/>
              <w:left w:w="20" w:type="dxa"/>
              <w:bottom w:w="40" w:type="dxa"/>
              <w:right w:w="20" w:type="dxa"/>
            </w:tcMar>
            <w:vAlign w:val="center"/>
          </w:tcPr>
          <w:p w14:paraId="442F673F" w14:textId="77777777" w:rsidR="00CC25B5" w:rsidRDefault="00900968">
            <w:pPr>
              <w:textAlignment w:val="center"/>
            </w:pPr>
            <w:r>
              <w:rPr>
                <w:rFonts w:ascii="Times New Roman" w:eastAsia="宋体" w:hAnsi="Times New Roman"/>
                <w:b/>
                <w:bCs/>
                <w:color w:val="000000"/>
                <w:sz w:val="16"/>
                <w:szCs w:val="16"/>
              </w:rPr>
              <w:t>LIABILITIES AND EQUITY</w:t>
            </w:r>
          </w:p>
        </w:tc>
        <w:tc>
          <w:tcPr>
            <w:tcW w:w="0" w:type="auto"/>
            <w:gridSpan w:val="3"/>
            <w:shd w:val="clear" w:color="auto" w:fill="FFFFFF"/>
            <w:tcMar>
              <w:top w:w="0" w:type="dxa"/>
              <w:left w:w="20" w:type="dxa"/>
              <w:bottom w:w="0" w:type="dxa"/>
              <w:right w:w="20" w:type="dxa"/>
            </w:tcMar>
            <w:vAlign w:val="bottom"/>
          </w:tcPr>
          <w:p w14:paraId="442F674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74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74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74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74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745" w14:textId="77777777" w:rsidR="00CC25B5" w:rsidRDefault="00CC25B5">
            <w:pPr>
              <w:rPr>
                <w:rFonts w:ascii="宋体"/>
              </w:rPr>
            </w:pPr>
          </w:p>
        </w:tc>
      </w:tr>
      <w:tr w:rsidR="00CC25B5" w14:paraId="442F674E" w14:textId="77777777">
        <w:trPr>
          <w:jc w:val="center"/>
        </w:trPr>
        <w:tc>
          <w:tcPr>
            <w:tcW w:w="0" w:type="auto"/>
            <w:gridSpan w:val="3"/>
            <w:shd w:val="clear" w:color="auto" w:fill="CCEEFF"/>
            <w:tcMar>
              <w:top w:w="40" w:type="dxa"/>
              <w:left w:w="20" w:type="dxa"/>
              <w:bottom w:w="40" w:type="dxa"/>
              <w:right w:w="20" w:type="dxa"/>
            </w:tcMar>
            <w:vAlign w:val="center"/>
          </w:tcPr>
          <w:p w14:paraId="442F6747" w14:textId="77777777" w:rsidR="00CC25B5" w:rsidRDefault="00900968">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vAlign w:val="bottom"/>
          </w:tcPr>
          <w:p w14:paraId="442F6748"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4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4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4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4C"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4D" w14:textId="77777777" w:rsidR="00CC25B5" w:rsidRDefault="00CC25B5">
            <w:pPr>
              <w:rPr>
                <w:rFonts w:ascii="宋体"/>
              </w:rPr>
            </w:pPr>
          </w:p>
        </w:tc>
      </w:tr>
      <w:tr w:rsidR="00CC25B5" w14:paraId="442F675C" w14:textId="77777777">
        <w:trPr>
          <w:jc w:val="center"/>
        </w:trPr>
        <w:tc>
          <w:tcPr>
            <w:tcW w:w="0" w:type="auto"/>
            <w:gridSpan w:val="3"/>
            <w:shd w:val="clear" w:color="auto" w:fill="FFFFFF"/>
            <w:tcMar>
              <w:top w:w="40" w:type="dxa"/>
              <w:left w:w="380" w:type="dxa"/>
              <w:bottom w:w="40" w:type="dxa"/>
              <w:right w:w="20" w:type="dxa"/>
            </w:tcMar>
            <w:vAlign w:val="center"/>
          </w:tcPr>
          <w:p w14:paraId="442F674F" w14:textId="77777777" w:rsidR="00CC25B5" w:rsidRDefault="00900968">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442F6750"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75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752" w14:textId="77777777" w:rsidR="00CC25B5" w:rsidRDefault="00900968">
            <w:pPr>
              <w:jc w:val="right"/>
              <w:textAlignment w:val="center"/>
            </w:pPr>
            <w:r>
              <w:rPr>
                <w:rFonts w:ascii="Times New Roman" w:eastAsia="宋体" w:hAnsi="Times New Roman"/>
                <w:color w:val="000000"/>
                <w:sz w:val="16"/>
                <w:szCs w:val="16"/>
              </w:rPr>
              <w:t>671 </w:t>
            </w:r>
          </w:p>
        </w:tc>
        <w:tc>
          <w:tcPr>
            <w:tcW w:w="0" w:type="auto"/>
            <w:shd w:val="clear" w:color="auto" w:fill="FFFFFF"/>
            <w:tcMar>
              <w:top w:w="40" w:type="dxa"/>
              <w:left w:w="0" w:type="dxa"/>
              <w:bottom w:w="40" w:type="dxa"/>
              <w:right w:w="20" w:type="dxa"/>
            </w:tcMar>
            <w:vAlign w:val="center"/>
          </w:tcPr>
          <w:p w14:paraId="442F675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54"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75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756" w14:textId="77777777" w:rsidR="00CC25B5" w:rsidRDefault="00900968">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442F675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58"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675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675A" w14:textId="77777777" w:rsidR="00CC25B5" w:rsidRDefault="00900968">
            <w:pPr>
              <w:jc w:val="right"/>
              <w:textAlignment w:val="center"/>
            </w:pPr>
            <w:r>
              <w:rPr>
                <w:rFonts w:ascii="Times New Roman" w:eastAsia="宋体" w:hAnsi="Times New Roman"/>
                <w:color w:val="000000"/>
                <w:sz w:val="16"/>
                <w:szCs w:val="16"/>
              </w:rPr>
              <w:t>357 </w:t>
            </w:r>
          </w:p>
        </w:tc>
        <w:tc>
          <w:tcPr>
            <w:tcW w:w="0" w:type="auto"/>
            <w:shd w:val="clear" w:color="auto" w:fill="FFFFFF"/>
            <w:tcMar>
              <w:top w:w="40" w:type="dxa"/>
              <w:left w:w="0" w:type="dxa"/>
              <w:bottom w:w="40" w:type="dxa"/>
              <w:right w:w="20" w:type="dxa"/>
            </w:tcMar>
            <w:vAlign w:val="center"/>
          </w:tcPr>
          <w:p w14:paraId="442F675B" w14:textId="77777777" w:rsidR="00CC25B5" w:rsidRDefault="00CC25B5">
            <w:pPr>
              <w:jc w:val="right"/>
              <w:rPr>
                <w:rFonts w:ascii="宋体"/>
              </w:rPr>
            </w:pPr>
          </w:p>
        </w:tc>
      </w:tr>
      <w:tr w:rsidR="00CC25B5" w14:paraId="442F6767" w14:textId="77777777">
        <w:trPr>
          <w:jc w:val="center"/>
        </w:trPr>
        <w:tc>
          <w:tcPr>
            <w:tcW w:w="0" w:type="auto"/>
            <w:gridSpan w:val="3"/>
            <w:shd w:val="clear" w:color="auto" w:fill="CCEEFF"/>
            <w:tcMar>
              <w:top w:w="40" w:type="dxa"/>
              <w:left w:w="380" w:type="dxa"/>
              <w:bottom w:w="40" w:type="dxa"/>
              <w:right w:w="20" w:type="dxa"/>
            </w:tcMar>
            <w:vAlign w:val="center"/>
          </w:tcPr>
          <w:p w14:paraId="442F675D" w14:textId="77777777" w:rsidR="00CC25B5" w:rsidRDefault="00900968">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442F675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5F" w14:textId="77777777" w:rsidR="00CC25B5" w:rsidRDefault="00900968">
            <w:pPr>
              <w:jc w:val="right"/>
              <w:textAlignment w:val="center"/>
            </w:pPr>
            <w:r>
              <w:rPr>
                <w:rFonts w:ascii="Times New Roman" w:eastAsia="宋体" w:hAnsi="Times New Roman"/>
                <w:color w:val="000000"/>
                <w:sz w:val="16"/>
                <w:szCs w:val="16"/>
              </w:rPr>
              <w:t>49,601 </w:t>
            </w:r>
          </w:p>
        </w:tc>
        <w:tc>
          <w:tcPr>
            <w:tcW w:w="0" w:type="auto"/>
            <w:shd w:val="clear" w:color="auto" w:fill="CCEEFF"/>
            <w:tcMar>
              <w:top w:w="40" w:type="dxa"/>
              <w:left w:w="0" w:type="dxa"/>
              <w:bottom w:w="40" w:type="dxa"/>
              <w:right w:w="20" w:type="dxa"/>
            </w:tcMar>
            <w:vAlign w:val="center"/>
          </w:tcPr>
          <w:p w14:paraId="442F676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6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62" w14:textId="77777777" w:rsidR="00CC25B5" w:rsidRDefault="00900968">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442F676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6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65" w14:textId="77777777" w:rsidR="00CC25B5" w:rsidRDefault="00900968">
            <w:pPr>
              <w:jc w:val="right"/>
              <w:textAlignment w:val="center"/>
            </w:pPr>
            <w:r>
              <w:rPr>
                <w:rFonts w:ascii="Times New Roman" w:eastAsia="宋体" w:hAnsi="Times New Roman"/>
                <w:color w:val="000000"/>
                <w:sz w:val="16"/>
                <w:szCs w:val="16"/>
              </w:rPr>
              <w:t>46,326 </w:t>
            </w:r>
          </w:p>
        </w:tc>
        <w:tc>
          <w:tcPr>
            <w:tcW w:w="0" w:type="auto"/>
            <w:shd w:val="clear" w:color="auto" w:fill="CCEEFF"/>
            <w:tcMar>
              <w:top w:w="40" w:type="dxa"/>
              <w:left w:w="0" w:type="dxa"/>
              <w:bottom w:w="40" w:type="dxa"/>
              <w:right w:w="20" w:type="dxa"/>
            </w:tcMar>
            <w:vAlign w:val="center"/>
          </w:tcPr>
          <w:p w14:paraId="442F6766" w14:textId="77777777" w:rsidR="00CC25B5" w:rsidRDefault="00CC25B5">
            <w:pPr>
              <w:jc w:val="right"/>
              <w:rPr>
                <w:rFonts w:ascii="宋体"/>
              </w:rPr>
            </w:pPr>
          </w:p>
        </w:tc>
      </w:tr>
      <w:tr w:rsidR="00CC25B5" w14:paraId="442F6772" w14:textId="77777777">
        <w:trPr>
          <w:jc w:val="center"/>
        </w:trPr>
        <w:tc>
          <w:tcPr>
            <w:tcW w:w="0" w:type="auto"/>
            <w:gridSpan w:val="3"/>
            <w:shd w:val="clear" w:color="auto" w:fill="FFFFFF"/>
            <w:tcMar>
              <w:top w:w="40" w:type="dxa"/>
              <w:left w:w="380" w:type="dxa"/>
              <w:bottom w:w="40" w:type="dxa"/>
              <w:right w:w="20" w:type="dxa"/>
            </w:tcMar>
            <w:vAlign w:val="center"/>
          </w:tcPr>
          <w:p w14:paraId="442F6768" w14:textId="77777777" w:rsidR="00CC25B5" w:rsidRDefault="00900968">
            <w:pPr>
              <w:textAlignment w:val="center"/>
            </w:pPr>
            <w:r>
              <w:rPr>
                <w:rFonts w:ascii="Times New Roman" w:eastAsia="宋体" w:hAnsi="Times New Roman"/>
                <w:color w:val="000000"/>
                <w:sz w:val="16"/>
                <w:szCs w:val="16"/>
              </w:rPr>
              <w:t>Dividends payable</w:t>
            </w:r>
          </w:p>
        </w:tc>
        <w:tc>
          <w:tcPr>
            <w:tcW w:w="0" w:type="auto"/>
            <w:gridSpan w:val="3"/>
            <w:shd w:val="clear" w:color="auto" w:fill="FFFFFF"/>
            <w:tcMar>
              <w:top w:w="0" w:type="dxa"/>
              <w:left w:w="20" w:type="dxa"/>
              <w:bottom w:w="0" w:type="dxa"/>
              <w:right w:w="20" w:type="dxa"/>
            </w:tcMar>
            <w:vAlign w:val="bottom"/>
          </w:tcPr>
          <w:p w14:paraId="442F676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6A" w14:textId="77777777" w:rsidR="00CC25B5" w:rsidRDefault="00900968">
            <w:pPr>
              <w:jc w:val="right"/>
              <w:textAlignment w:val="center"/>
            </w:pPr>
            <w:r>
              <w:rPr>
                <w:rFonts w:ascii="Times New Roman" w:eastAsia="宋体" w:hAnsi="Times New Roman"/>
                <w:color w:val="000000"/>
                <w:sz w:val="16"/>
                <w:szCs w:val="16"/>
              </w:rPr>
              <w:t>3,109 </w:t>
            </w:r>
          </w:p>
        </w:tc>
        <w:tc>
          <w:tcPr>
            <w:tcW w:w="0" w:type="auto"/>
            <w:shd w:val="clear" w:color="auto" w:fill="FFFFFF"/>
            <w:tcMar>
              <w:top w:w="40" w:type="dxa"/>
              <w:left w:w="0" w:type="dxa"/>
              <w:bottom w:w="40" w:type="dxa"/>
              <w:right w:w="20" w:type="dxa"/>
            </w:tcMar>
            <w:vAlign w:val="center"/>
          </w:tcPr>
          <w:p w14:paraId="442F676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6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6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76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6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70" w14:textId="77777777" w:rsidR="00CC25B5" w:rsidRDefault="00900968">
            <w:pPr>
              <w:jc w:val="right"/>
              <w:textAlignment w:val="center"/>
            </w:pPr>
            <w:r>
              <w:rPr>
                <w:rFonts w:ascii="Times New Roman" w:eastAsia="宋体" w:hAnsi="Times New Roman"/>
                <w:color w:val="000000"/>
                <w:sz w:val="16"/>
                <w:szCs w:val="16"/>
              </w:rPr>
              <w:t>3,060 </w:t>
            </w:r>
          </w:p>
        </w:tc>
        <w:tc>
          <w:tcPr>
            <w:tcW w:w="0" w:type="auto"/>
            <w:shd w:val="clear" w:color="auto" w:fill="FFFFFF"/>
            <w:tcMar>
              <w:top w:w="40" w:type="dxa"/>
              <w:left w:w="0" w:type="dxa"/>
              <w:bottom w:w="40" w:type="dxa"/>
              <w:right w:w="20" w:type="dxa"/>
            </w:tcMar>
            <w:vAlign w:val="center"/>
          </w:tcPr>
          <w:p w14:paraId="442F6771" w14:textId="77777777" w:rsidR="00CC25B5" w:rsidRDefault="00CC25B5">
            <w:pPr>
              <w:jc w:val="right"/>
              <w:rPr>
                <w:rFonts w:ascii="宋体"/>
              </w:rPr>
            </w:pPr>
          </w:p>
        </w:tc>
      </w:tr>
      <w:tr w:rsidR="00CC25B5" w14:paraId="442F677D" w14:textId="77777777">
        <w:trPr>
          <w:jc w:val="center"/>
        </w:trPr>
        <w:tc>
          <w:tcPr>
            <w:tcW w:w="0" w:type="auto"/>
            <w:gridSpan w:val="3"/>
            <w:shd w:val="clear" w:color="auto" w:fill="CCEEFF"/>
            <w:tcMar>
              <w:top w:w="40" w:type="dxa"/>
              <w:left w:w="380" w:type="dxa"/>
              <w:bottom w:w="40" w:type="dxa"/>
              <w:right w:w="20" w:type="dxa"/>
            </w:tcMar>
            <w:vAlign w:val="center"/>
          </w:tcPr>
          <w:p w14:paraId="442F6773" w14:textId="77777777" w:rsidR="00CC25B5" w:rsidRDefault="00900968">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442F677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75" w14:textId="77777777" w:rsidR="00CC25B5" w:rsidRDefault="00900968">
            <w:pPr>
              <w:jc w:val="right"/>
              <w:textAlignment w:val="center"/>
            </w:pPr>
            <w:r>
              <w:rPr>
                <w:rFonts w:ascii="Times New Roman" w:eastAsia="宋体" w:hAnsi="Times New Roman"/>
                <w:color w:val="000000"/>
                <w:sz w:val="16"/>
                <w:szCs w:val="16"/>
              </w:rPr>
              <w:t>23,915 </w:t>
            </w:r>
          </w:p>
        </w:tc>
        <w:tc>
          <w:tcPr>
            <w:tcW w:w="0" w:type="auto"/>
            <w:shd w:val="clear" w:color="auto" w:fill="CCEEFF"/>
            <w:tcMar>
              <w:top w:w="40" w:type="dxa"/>
              <w:left w:w="0" w:type="dxa"/>
              <w:bottom w:w="40" w:type="dxa"/>
              <w:right w:w="20" w:type="dxa"/>
            </w:tcMar>
            <w:vAlign w:val="center"/>
          </w:tcPr>
          <w:p w14:paraId="442F677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7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78" w14:textId="77777777" w:rsidR="00CC25B5" w:rsidRDefault="00900968">
            <w:pPr>
              <w:jc w:val="right"/>
              <w:textAlignment w:val="center"/>
            </w:pPr>
            <w:r>
              <w:rPr>
                <w:rFonts w:ascii="Times New Roman" w:eastAsia="宋体" w:hAnsi="Times New Roman"/>
                <w:color w:val="000000"/>
                <w:sz w:val="16"/>
                <w:szCs w:val="16"/>
              </w:rPr>
              <w:t>37,966 </w:t>
            </w:r>
          </w:p>
        </w:tc>
        <w:tc>
          <w:tcPr>
            <w:tcW w:w="0" w:type="auto"/>
            <w:shd w:val="clear" w:color="auto" w:fill="CCEEFF"/>
            <w:tcMar>
              <w:top w:w="40" w:type="dxa"/>
              <w:left w:w="0" w:type="dxa"/>
              <w:bottom w:w="40" w:type="dxa"/>
              <w:right w:w="20" w:type="dxa"/>
            </w:tcMar>
            <w:vAlign w:val="center"/>
          </w:tcPr>
          <w:p w14:paraId="442F677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7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7B" w14:textId="77777777" w:rsidR="00CC25B5" w:rsidRDefault="00900968">
            <w:pPr>
              <w:jc w:val="right"/>
              <w:textAlignment w:val="center"/>
            </w:pPr>
            <w:r>
              <w:rPr>
                <w:rFonts w:ascii="Times New Roman" w:eastAsia="宋体" w:hAnsi="Times New Roman"/>
                <w:color w:val="000000"/>
                <w:sz w:val="16"/>
                <w:szCs w:val="16"/>
              </w:rPr>
              <w:t>23,768 </w:t>
            </w:r>
          </w:p>
        </w:tc>
        <w:tc>
          <w:tcPr>
            <w:tcW w:w="0" w:type="auto"/>
            <w:shd w:val="clear" w:color="auto" w:fill="CCEEFF"/>
            <w:tcMar>
              <w:top w:w="40" w:type="dxa"/>
              <w:left w:w="0" w:type="dxa"/>
              <w:bottom w:w="40" w:type="dxa"/>
              <w:right w:w="20" w:type="dxa"/>
            </w:tcMar>
            <w:vAlign w:val="center"/>
          </w:tcPr>
          <w:p w14:paraId="442F677C" w14:textId="77777777" w:rsidR="00CC25B5" w:rsidRDefault="00CC25B5">
            <w:pPr>
              <w:jc w:val="right"/>
              <w:rPr>
                <w:rFonts w:ascii="宋体"/>
              </w:rPr>
            </w:pPr>
          </w:p>
        </w:tc>
      </w:tr>
      <w:tr w:rsidR="00CC25B5" w14:paraId="442F6788" w14:textId="77777777">
        <w:trPr>
          <w:jc w:val="center"/>
        </w:trPr>
        <w:tc>
          <w:tcPr>
            <w:tcW w:w="0" w:type="auto"/>
            <w:gridSpan w:val="3"/>
            <w:shd w:val="clear" w:color="auto" w:fill="FFFFFF"/>
            <w:tcMar>
              <w:top w:w="40" w:type="dxa"/>
              <w:left w:w="380" w:type="dxa"/>
              <w:bottom w:w="40" w:type="dxa"/>
              <w:right w:w="20" w:type="dxa"/>
            </w:tcMar>
            <w:vAlign w:val="center"/>
          </w:tcPr>
          <w:p w14:paraId="442F677E" w14:textId="77777777" w:rsidR="00CC25B5" w:rsidRDefault="00900968">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bottom"/>
          </w:tcPr>
          <w:p w14:paraId="442F677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80" w14:textId="77777777" w:rsidR="00CC25B5" w:rsidRDefault="00900968">
            <w:pPr>
              <w:jc w:val="right"/>
              <w:textAlignment w:val="center"/>
            </w:pPr>
            <w:r>
              <w:rPr>
                <w:rFonts w:ascii="Times New Roman" w:eastAsia="宋体" w:hAnsi="Times New Roman"/>
                <w:color w:val="000000"/>
                <w:sz w:val="16"/>
                <w:szCs w:val="16"/>
              </w:rPr>
              <w:t>267 </w:t>
            </w:r>
          </w:p>
        </w:tc>
        <w:tc>
          <w:tcPr>
            <w:tcW w:w="0" w:type="auto"/>
            <w:shd w:val="clear" w:color="auto" w:fill="FFFFFF"/>
            <w:tcMar>
              <w:top w:w="40" w:type="dxa"/>
              <w:left w:w="0" w:type="dxa"/>
              <w:bottom w:w="40" w:type="dxa"/>
              <w:right w:w="20" w:type="dxa"/>
            </w:tcMar>
            <w:vAlign w:val="center"/>
          </w:tcPr>
          <w:p w14:paraId="442F678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8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83" w14:textId="77777777" w:rsidR="00CC25B5" w:rsidRDefault="00900968">
            <w:pPr>
              <w:jc w:val="right"/>
              <w:textAlignment w:val="center"/>
            </w:pPr>
            <w:r>
              <w:rPr>
                <w:rFonts w:ascii="Times New Roman" w:eastAsia="宋体" w:hAnsi="Times New Roman"/>
                <w:color w:val="000000"/>
                <w:sz w:val="16"/>
                <w:szCs w:val="16"/>
              </w:rPr>
              <w:t>242 </w:t>
            </w:r>
          </w:p>
        </w:tc>
        <w:tc>
          <w:tcPr>
            <w:tcW w:w="0" w:type="auto"/>
            <w:shd w:val="clear" w:color="auto" w:fill="FFFFFF"/>
            <w:tcMar>
              <w:top w:w="40" w:type="dxa"/>
              <w:left w:w="0" w:type="dxa"/>
              <w:bottom w:w="40" w:type="dxa"/>
              <w:right w:w="20" w:type="dxa"/>
            </w:tcMar>
            <w:vAlign w:val="center"/>
          </w:tcPr>
          <w:p w14:paraId="442F678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8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86" w14:textId="77777777" w:rsidR="00CC25B5" w:rsidRDefault="00900968">
            <w:pPr>
              <w:jc w:val="right"/>
              <w:textAlignment w:val="center"/>
            </w:pPr>
            <w:r>
              <w:rPr>
                <w:rFonts w:ascii="Times New Roman" w:eastAsia="宋体" w:hAnsi="Times New Roman"/>
                <w:color w:val="000000"/>
                <w:sz w:val="16"/>
                <w:szCs w:val="16"/>
              </w:rPr>
              <w:t>610 </w:t>
            </w:r>
          </w:p>
        </w:tc>
        <w:tc>
          <w:tcPr>
            <w:tcW w:w="0" w:type="auto"/>
            <w:shd w:val="clear" w:color="auto" w:fill="FFFFFF"/>
            <w:tcMar>
              <w:top w:w="40" w:type="dxa"/>
              <w:left w:w="0" w:type="dxa"/>
              <w:bottom w:w="40" w:type="dxa"/>
              <w:right w:w="20" w:type="dxa"/>
            </w:tcMar>
            <w:vAlign w:val="center"/>
          </w:tcPr>
          <w:p w14:paraId="442F6787" w14:textId="77777777" w:rsidR="00CC25B5" w:rsidRDefault="00CC25B5">
            <w:pPr>
              <w:jc w:val="right"/>
              <w:rPr>
                <w:rFonts w:ascii="宋体"/>
              </w:rPr>
            </w:pPr>
          </w:p>
        </w:tc>
      </w:tr>
      <w:tr w:rsidR="00CC25B5" w14:paraId="442F6793" w14:textId="77777777">
        <w:trPr>
          <w:jc w:val="center"/>
        </w:trPr>
        <w:tc>
          <w:tcPr>
            <w:tcW w:w="0" w:type="auto"/>
            <w:gridSpan w:val="3"/>
            <w:shd w:val="clear" w:color="auto" w:fill="CCEEFF"/>
            <w:tcMar>
              <w:top w:w="40" w:type="dxa"/>
              <w:left w:w="380" w:type="dxa"/>
              <w:bottom w:w="40" w:type="dxa"/>
              <w:right w:w="20" w:type="dxa"/>
            </w:tcMar>
            <w:vAlign w:val="center"/>
          </w:tcPr>
          <w:p w14:paraId="442F6789" w14:textId="77777777" w:rsidR="00CC25B5" w:rsidRDefault="00900968">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CCEEFF"/>
            <w:tcMar>
              <w:top w:w="0" w:type="dxa"/>
              <w:left w:w="20" w:type="dxa"/>
              <w:bottom w:w="0" w:type="dxa"/>
              <w:right w:w="20" w:type="dxa"/>
            </w:tcMar>
            <w:vAlign w:val="bottom"/>
          </w:tcPr>
          <w:p w14:paraId="442F678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8B" w14:textId="77777777" w:rsidR="00CC25B5" w:rsidRDefault="00900968">
            <w:pPr>
              <w:jc w:val="right"/>
              <w:textAlignment w:val="center"/>
            </w:pPr>
            <w:r>
              <w:rPr>
                <w:rFonts w:ascii="Times New Roman" w:eastAsia="宋体" w:hAnsi="Times New Roman"/>
                <w:color w:val="000000"/>
                <w:sz w:val="16"/>
                <w:szCs w:val="16"/>
              </w:rPr>
              <w:t>1,617 </w:t>
            </w:r>
          </w:p>
        </w:tc>
        <w:tc>
          <w:tcPr>
            <w:tcW w:w="0" w:type="auto"/>
            <w:shd w:val="clear" w:color="auto" w:fill="CCEEFF"/>
            <w:tcMar>
              <w:top w:w="40" w:type="dxa"/>
              <w:left w:w="0" w:type="dxa"/>
              <w:bottom w:w="40" w:type="dxa"/>
              <w:right w:w="20" w:type="dxa"/>
            </w:tcMar>
            <w:vAlign w:val="center"/>
          </w:tcPr>
          <w:p w14:paraId="442F678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8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8E" w14:textId="77777777" w:rsidR="00CC25B5" w:rsidRDefault="00900968">
            <w:pPr>
              <w:jc w:val="right"/>
              <w:textAlignment w:val="center"/>
            </w:pPr>
            <w:r>
              <w:rPr>
                <w:rFonts w:ascii="Times New Roman" w:eastAsia="宋体" w:hAnsi="Times New Roman"/>
                <w:color w:val="000000"/>
                <w:sz w:val="16"/>
                <w:szCs w:val="16"/>
              </w:rPr>
              <w:t>3,115 </w:t>
            </w:r>
          </w:p>
        </w:tc>
        <w:tc>
          <w:tcPr>
            <w:tcW w:w="0" w:type="auto"/>
            <w:shd w:val="clear" w:color="auto" w:fill="CCEEFF"/>
            <w:tcMar>
              <w:top w:w="40" w:type="dxa"/>
              <w:left w:w="0" w:type="dxa"/>
              <w:bottom w:w="40" w:type="dxa"/>
              <w:right w:w="20" w:type="dxa"/>
            </w:tcMar>
            <w:vAlign w:val="center"/>
          </w:tcPr>
          <w:p w14:paraId="442F678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9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91" w14:textId="77777777" w:rsidR="00CC25B5" w:rsidRDefault="00900968">
            <w:pPr>
              <w:jc w:val="right"/>
              <w:textAlignment w:val="center"/>
            </w:pPr>
            <w:r>
              <w:rPr>
                <w:rFonts w:ascii="Times New Roman" w:eastAsia="宋体" w:hAnsi="Times New Roman"/>
                <w:color w:val="000000"/>
                <w:sz w:val="16"/>
                <w:szCs w:val="16"/>
              </w:rPr>
              <w:t>5,553 </w:t>
            </w:r>
          </w:p>
        </w:tc>
        <w:tc>
          <w:tcPr>
            <w:tcW w:w="0" w:type="auto"/>
            <w:shd w:val="clear" w:color="auto" w:fill="CCEEFF"/>
            <w:tcMar>
              <w:top w:w="40" w:type="dxa"/>
              <w:left w:w="0" w:type="dxa"/>
              <w:bottom w:w="40" w:type="dxa"/>
              <w:right w:w="20" w:type="dxa"/>
            </w:tcMar>
            <w:vAlign w:val="center"/>
          </w:tcPr>
          <w:p w14:paraId="442F6792" w14:textId="77777777" w:rsidR="00CC25B5" w:rsidRDefault="00CC25B5">
            <w:pPr>
              <w:jc w:val="right"/>
              <w:rPr>
                <w:rFonts w:ascii="宋体"/>
              </w:rPr>
            </w:pPr>
          </w:p>
        </w:tc>
      </w:tr>
      <w:tr w:rsidR="00CC25B5" w14:paraId="442F679E" w14:textId="77777777">
        <w:trPr>
          <w:jc w:val="center"/>
        </w:trPr>
        <w:tc>
          <w:tcPr>
            <w:tcW w:w="0" w:type="auto"/>
            <w:gridSpan w:val="3"/>
            <w:shd w:val="clear" w:color="auto" w:fill="FFFFFF"/>
            <w:tcMar>
              <w:top w:w="40" w:type="dxa"/>
              <w:left w:w="380" w:type="dxa"/>
              <w:bottom w:w="40" w:type="dxa"/>
              <w:right w:w="20" w:type="dxa"/>
            </w:tcMar>
            <w:vAlign w:val="center"/>
          </w:tcPr>
          <w:p w14:paraId="442F6794" w14:textId="77777777" w:rsidR="00CC25B5" w:rsidRDefault="00900968">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FFFFFF"/>
            <w:tcMar>
              <w:top w:w="0" w:type="dxa"/>
              <w:left w:w="20" w:type="dxa"/>
              <w:bottom w:w="0" w:type="dxa"/>
              <w:right w:w="20" w:type="dxa"/>
            </w:tcMar>
            <w:vAlign w:val="bottom"/>
          </w:tcPr>
          <w:p w14:paraId="442F679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96" w14:textId="77777777" w:rsidR="00CC25B5" w:rsidRDefault="00900968">
            <w:pPr>
              <w:jc w:val="right"/>
              <w:textAlignment w:val="center"/>
            </w:pPr>
            <w:r>
              <w:rPr>
                <w:rFonts w:ascii="Times New Roman" w:eastAsia="宋体" w:hAnsi="Times New Roman"/>
                <w:color w:val="000000"/>
                <w:sz w:val="16"/>
                <w:szCs w:val="16"/>
              </w:rPr>
              <w:t>1,441 </w:t>
            </w:r>
          </w:p>
        </w:tc>
        <w:tc>
          <w:tcPr>
            <w:tcW w:w="0" w:type="auto"/>
            <w:shd w:val="clear" w:color="auto" w:fill="FFFFFF"/>
            <w:tcMar>
              <w:top w:w="40" w:type="dxa"/>
              <w:left w:w="0" w:type="dxa"/>
              <w:bottom w:w="40" w:type="dxa"/>
              <w:right w:w="20" w:type="dxa"/>
            </w:tcMar>
            <w:vAlign w:val="center"/>
          </w:tcPr>
          <w:p w14:paraId="442F679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9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99" w14:textId="77777777" w:rsidR="00CC25B5" w:rsidRDefault="00900968">
            <w:pPr>
              <w:jc w:val="right"/>
              <w:textAlignment w:val="center"/>
            </w:pPr>
            <w:r>
              <w:rPr>
                <w:rFonts w:ascii="Times New Roman" w:eastAsia="宋体" w:hAnsi="Times New Roman"/>
                <w:color w:val="000000"/>
                <w:sz w:val="16"/>
                <w:szCs w:val="16"/>
              </w:rPr>
              <w:t>1,466 </w:t>
            </w:r>
          </w:p>
        </w:tc>
        <w:tc>
          <w:tcPr>
            <w:tcW w:w="0" w:type="auto"/>
            <w:shd w:val="clear" w:color="auto" w:fill="FFFFFF"/>
            <w:tcMar>
              <w:top w:w="40" w:type="dxa"/>
              <w:left w:w="0" w:type="dxa"/>
              <w:bottom w:w="40" w:type="dxa"/>
              <w:right w:w="20" w:type="dxa"/>
            </w:tcMar>
            <w:vAlign w:val="center"/>
          </w:tcPr>
          <w:p w14:paraId="442F679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9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9C" w14:textId="77777777" w:rsidR="00CC25B5" w:rsidRDefault="00900968">
            <w:pPr>
              <w:jc w:val="right"/>
              <w:textAlignment w:val="center"/>
            </w:pPr>
            <w:r>
              <w:rPr>
                <w:rFonts w:ascii="Times New Roman" w:eastAsia="宋体" w:hAnsi="Times New Roman"/>
                <w:color w:val="000000"/>
                <w:sz w:val="16"/>
                <w:szCs w:val="16"/>
              </w:rPr>
              <w:t>1,734 </w:t>
            </w:r>
          </w:p>
        </w:tc>
        <w:tc>
          <w:tcPr>
            <w:tcW w:w="0" w:type="auto"/>
            <w:shd w:val="clear" w:color="auto" w:fill="FFFFFF"/>
            <w:tcMar>
              <w:top w:w="40" w:type="dxa"/>
              <w:left w:w="0" w:type="dxa"/>
              <w:bottom w:w="40" w:type="dxa"/>
              <w:right w:w="20" w:type="dxa"/>
            </w:tcMar>
            <w:vAlign w:val="center"/>
          </w:tcPr>
          <w:p w14:paraId="442F679D" w14:textId="77777777" w:rsidR="00CC25B5" w:rsidRDefault="00CC25B5">
            <w:pPr>
              <w:jc w:val="right"/>
              <w:rPr>
                <w:rFonts w:ascii="宋体"/>
              </w:rPr>
            </w:pPr>
          </w:p>
        </w:tc>
      </w:tr>
      <w:tr w:rsidR="00CC25B5" w14:paraId="442F67A9" w14:textId="77777777">
        <w:trPr>
          <w:jc w:val="center"/>
        </w:trPr>
        <w:tc>
          <w:tcPr>
            <w:tcW w:w="0" w:type="auto"/>
            <w:gridSpan w:val="3"/>
            <w:shd w:val="clear" w:color="auto" w:fill="CCEEFF"/>
            <w:tcMar>
              <w:top w:w="40" w:type="dxa"/>
              <w:left w:w="380" w:type="dxa"/>
              <w:bottom w:w="40" w:type="dxa"/>
              <w:right w:w="20" w:type="dxa"/>
            </w:tcMar>
            <w:vAlign w:val="center"/>
          </w:tcPr>
          <w:p w14:paraId="442F679F" w14:textId="77777777" w:rsidR="00CC25B5" w:rsidRDefault="00900968">
            <w:pPr>
              <w:textAlignment w:val="center"/>
            </w:pPr>
            <w:r>
              <w:rPr>
                <w:rFonts w:ascii="Times New Roman" w:eastAsia="宋体" w:hAnsi="Times New Roman"/>
                <w:color w:val="000000"/>
                <w:sz w:val="16"/>
                <w:szCs w:val="16"/>
              </w:rPr>
              <w:t>Finance lease obligations due within one year</w:t>
            </w:r>
          </w:p>
        </w:tc>
        <w:tc>
          <w:tcPr>
            <w:tcW w:w="0" w:type="auto"/>
            <w:gridSpan w:val="3"/>
            <w:shd w:val="clear" w:color="auto" w:fill="CCEEFF"/>
            <w:tcMar>
              <w:top w:w="0" w:type="dxa"/>
              <w:left w:w="20" w:type="dxa"/>
              <w:bottom w:w="0" w:type="dxa"/>
              <w:right w:w="20" w:type="dxa"/>
            </w:tcMar>
            <w:vAlign w:val="bottom"/>
          </w:tcPr>
          <w:p w14:paraId="442F67A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A1" w14:textId="77777777" w:rsidR="00CC25B5" w:rsidRDefault="00900968">
            <w:pPr>
              <w:jc w:val="right"/>
              <w:textAlignment w:val="center"/>
            </w:pPr>
            <w:r>
              <w:rPr>
                <w:rFonts w:ascii="Times New Roman" w:eastAsia="宋体" w:hAnsi="Times New Roman"/>
                <w:color w:val="000000"/>
                <w:sz w:val="16"/>
                <w:szCs w:val="16"/>
              </w:rPr>
              <w:t>501 </w:t>
            </w:r>
          </w:p>
        </w:tc>
        <w:tc>
          <w:tcPr>
            <w:tcW w:w="0" w:type="auto"/>
            <w:shd w:val="clear" w:color="auto" w:fill="CCEEFF"/>
            <w:tcMar>
              <w:top w:w="40" w:type="dxa"/>
              <w:left w:w="0" w:type="dxa"/>
              <w:bottom w:w="40" w:type="dxa"/>
              <w:right w:w="20" w:type="dxa"/>
            </w:tcMar>
            <w:vAlign w:val="center"/>
          </w:tcPr>
          <w:p w14:paraId="442F67A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A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A4" w14:textId="77777777" w:rsidR="00CC25B5" w:rsidRDefault="00900968">
            <w:pPr>
              <w:jc w:val="right"/>
              <w:textAlignment w:val="center"/>
            </w:pPr>
            <w:r>
              <w:rPr>
                <w:rFonts w:ascii="Times New Roman" w:eastAsia="宋体" w:hAnsi="Times New Roman"/>
                <w:color w:val="000000"/>
                <w:sz w:val="16"/>
                <w:szCs w:val="16"/>
              </w:rPr>
              <w:t>491 </w:t>
            </w:r>
          </w:p>
        </w:tc>
        <w:tc>
          <w:tcPr>
            <w:tcW w:w="0" w:type="auto"/>
            <w:shd w:val="clear" w:color="auto" w:fill="CCEEFF"/>
            <w:tcMar>
              <w:top w:w="40" w:type="dxa"/>
              <w:left w:w="0" w:type="dxa"/>
              <w:bottom w:w="40" w:type="dxa"/>
              <w:right w:w="20" w:type="dxa"/>
            </w:tcMar>
            <w:vAlign w:val="center"/>
          </w:tcPr>
          <w:p w14:paraId="442F67A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A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A7" w14:textId="77777777" w:rsidR="00CC25B5" w:rsidRDefault="00900968">
            <w:pPr>
              <w:jc w:val="right"/>
              <w:textAlignment w:val="center"/>
            </w:pPr>
            <w:r>
              <w:rPr>
                <w:rFonts w:ascii="Times New Roman" w:eastAsia="宋体" w:hAnsi="Times New Roman"/>
                <w:color w:val="000000"/>
                <w:sz w:val="16"/>
                <w:szCs w:val="16"/>
              </w:rPr>
              <w:t>549 </w:t>
            </w:r>
          </w:p>
        </w:tc>
        <w:tc>
          <w:tcPr>
            <w:tcW w:w="0" w:type="auto"/>
            <w:shd w:val="clear" w:color="auto" w:fill="CCEEFF"/>
            <w:tcMar>
              <w:top w:w="40" w:type="dxa"/>
              <w:left w:w="0" w:type="dxa"/>
              <w:bottom w:w="40" w:type="dxa"/>
              <w:right w:w="20" w:type="dxa"/>
            </w:tcMar>
            <w:vAlign w:val="center"/>
          </w:tcPr>
          <w:p w14:paraId="442F67A8" w14:textId="77777777" w:rsidR="00CC25B5" w:rsidRDefault="00CC25B5">
            <w:pPr>
              <w:jc w:val="right"/>
              <w:rPr>
                <w:rFonts w:ascii="宋体"/>
              </w:rPr>
            </w:pPr>
          </w:p>
        </w:tc>
      </w:tr>
      <w:tr w:rsidR="00CC25B5" w14:paraId="442F67B1" w14:textId="77777777">
        <w:trPr>
          <w:jc w:val="center"/>
          <w:hidden/>
        </w:trPr>
        <w:tc>
          <w:tcPr>
            <w:tcW w:w="0" w:type="auto"/>
            <w:gridSpan w:val="3"/>
            <w:shd w:val="clear" w:color="auto" w:fill="auto"/>
            <w:vAlign w:val="bottom"/>
          </w:tcPr>
          <w:p w14:paraId="442F67AA" w14:textId="77777777" w:rsidR="00CC25B5" w:rsidRDefault="00CC25B5">
            <w:pPr>
              <w:rPr>
                <w:rFonts w:ascii="宋体"/>
                <w:vanish/>
              </w:rPr>
            </w:pPr>
          </w:p>
        </w:tc>
        <w:tc>
          <w:tcPr>
            <w:tcW w:w="0" w:type="auto"/>
            <w:gridSpan w:val="3"/>
            <w:shd w:val="clear" w:color="auto" w:fill="auto"/>
            <w:vAlign w:val="bottom"/>
          </w:tcPr>
          <w:p w14:paraId="442F67AB" w14:textId="77777777" w:rsidR="00CC25B5" w:rsidRDefault="00CC25B5">
            <w:pPr>
              <w:rPr>
                <w:rFonts w:ascii="宋体"/>
                <w:vanish/>
              </w:rPr>
            </w:pPr>
          </w:p>
        </w:tc>
        <w:tc>
          <w:tcPr>
            <w:tcW w:w="0" w:type="auto"/>
            <w:gridSpan w:val="3"/>
            <w:shd w:val="clear" w:color="auto" w:fill="auto"/>
            <w:vAlign w:val="bottom"/>
          </w:tcPr>
          <w:p w14:paraId="442F67AC" w14:textId="77777777" w:rsidR="00CC25B5" w:rsidRDefault="00CC25B5">
            <w:pPr>
              <w:rPr>
                <w:rFonts w:ascii="宋体"/>
                <w:vanish/>
              </w:rPr>
            </w:pPr>
          </w:p>
        </w:tc>
        <w:tc>
          <w:tcPr>
            <w:tcW w:w="0" w:type="auto"/>
            <w:gridSpan w:val="3"/>
            <w:shd w:val="clear" w:color="auto" w:fill="auto"/>
            <w:vAlign w:val="bottom"/>
          </w:tcPr>
          <w:p w14:paraId="442F67AD" w14:textId="77777777" w:rsidR="00CC25B5" w:rsidRDefault="00CC25B5">
            <w:pPr>
              <w:rPr>
                <w:rFonts w:ascii="宋体"/>
                <w:vanish/>
              </w:rPr>
            </w:pPr>
          </w:p>
        </w:tc>
        <w:tc>
          <w:tcPr>
            <w:tcW w:w="0" w:type="auto"/>
            <w:gridSpan w:val="3"/>
            <w:shd w:val="clear" w:color="auto" w:fill="auto"/>
            <w:vAlign w:val="bottom"/>
          </w:tcPr>
          <w:p w14:paraId="442F67AE" w14:textId="77777777" w:rsidR="00CC25B5" w:rsidRDefault="00CC25B5">
            <w:pPr>
              <w:rPr>
                <w:rFonts w:ascii="宋体"/>
                <w:vanish/>
              </w:rPr>
            </w:pPr>
          </w:p>
        </w:tc>
        <w:tc>
          <w:tcPr>
            <w:tcW w:w="0" w:type="auto"/>
            <w:gridSpan w:val="3"/>
            <w:shd w:val="clear" w:color="auto" w:fill="auto"/>
            <w:vAlign w:val="bottom"/>
          </w:tcPr>
          <w:p w14:paraId="442F67AF" w14:textId="77777777" w:rsidR="00CC25B5" w:rsidRDefault="00CC25B5">
            <w:pPr>
              <w:rPr>
                <w:rFonts w:ascii="宋体"/>
                <w:vanish/>
              </w:rPr>
            </w:pPr>
          </w:p>
        </w:tc>
        <w:tc>
          <w:tcPr>
            <w:tcW w:w="0" w:type="auto"/>
            <w:gridSpan w:val="3"/>
            <w:shd w:val="clear" w:color="auto" w:fill="auto"/>
            <w:vAlign w:val="bottom"/>
          </w:tcPr>
          <w:p w14:paraId="442F67B0" w14:textId="77777777" w:rsidR="00CC25B5" w:rsidRDefault="00CC25B5">
            <w:pPr>
              <w:rPr>
                <w:rFonts w:ascii="宋体"/>
                <w:vanish/>
              </w:rPr>
            </w:pPr>
          </w:p>
        </w:tc>
      </w:tr>
      <w:tr w:rsidR="00CC25B5" w14:paraId="442F67B9" w14:textId="77777777">
        <w:trPr>
          <w:jc w:val="center"/>
          <w:hidden/>
        </w:trPr>
        <w:tc>
          <w:tcPr>
            <w:tcW w:w="0" w:type="auto"/>
            <w:gridSpan w:val="3"/>
            <w:shd w:val="clear" w:color="auto" w:fill="auto"/>
            <w:vAlign w:val="bottom"/>
          </w:tcPr>
          <w:p w14:paraId="442F67B2" w14:textId="77777777" w:rsidR="00CC25B5" w:rsidRDefault="00CC25B5">
            <w:pPr>
              <w:rPr>
                <w:rFonts w:ascii="宋体"/>
                <w:vanish/>
              </w:rPr>
            </w:pPr>
          </w:p>
        </w:tc>
        <w:tc>
          <w:tcPr>
            <w:tcW w:w="0" w:type="auto"/>
            <w:gridSpan w:val="3"/>
            <w:shd w:val="clear" w:color="auto" w:fill="auto"/>
            <w:vAlign w:val="bottom"/>
          </w:tcPr>
          <w:p w14:paraId="442F67B3" w14:textId="77777777" w:rsidR="00CC25B5" w:rsidRDefault="00CC25B5">
            <w:pPr>
              <w:rPr>
                <w:rFonts w:ascii="宋体"/>
                <w:vanish/>
              </w:rPr>
            </w:pPr>
          </w:p>
        </w:tc>
        <w:tc>
          <w:tcPr>
            <w:tcW w:w="0" w:type="auto"/>
            <w:gridSpan w:val="3"/>
            <w:shd w:val="clear" w:color="auto" w:fill="auto"/>
            <w:vAlign w:val="bottom"/>
          </w:tcPr>
          <w:p w14:paraId="442F67B4" w14:textId="77777777" w:rsidR="00CC25B5" w:rsidRDefault="00CC25B5">
            <w:pPr>
              <w:rPr>
                <w:rFonts w:ascii="宋体"/>
                <w:vanish/>
              </w:rPr>
            </w:pPr>
          </w:p>
        </w:tc>
        <w:tc>
          <w:tcPr>
            <w:tcW w:w="0" w:type="auto"/>
            <w:gridSpan w:val="3"/>
            <w:shd w:val="clear" w:color="auto" w:fill="auto"/>
            <w:vAlign w:val="bottom"/>
          </w:tcPr>
          <w:p w14:paraId="442F67B5" w14:textId="77777777" w:rsidR="00CC25B5" w:rsidRDefault="00CC25B5">
            <w:pPr>
              <w:rPr>
                <w:rFonts w:ascii="宋体"/>
                <w:vanish/>
              </w:rPr>
            </w:pPr>
          </w:p>
        </w:tc>
        <w:tc>
          <w:tcPr>
            <w:tcW w:w="0" w:type="auto"/>
            <w:gridSpan w:val="3"/>
            <w:shd w:val="clear" w:color="auto" w:fill="auto"/>
            <w:vAlign w:val="bottom"/>
          </w:tcPr>
          <w:p w14:paraId="442F67B6" w14:textId="77777777" w:rsidR="00CC25B5" w:rsidRDefault="00CC25B5">
            <w:pPr>
              <w:rPr>
                <w:rFonts w:ascii="宋体"/>
                <w:vanish/>
              </w:rPr>
            </w:pPr>
          </w:p>
        </w:tc>
        <w:tc>
          <w:tcPr>
            <w:tcW w:w="0" w:type="auto"/>
            <w:gridSpan w:val="3"/>
            <w:shd w:val="clear" w:color="auto" w:fill="auto"/>
            <w:vAlign w:val="bottom"/>
          </w:tcPr>
          <w:p w14:paraId="442F67B7" w14:textId="77777777" w:rsidR="00CC25B5" w:rsidRDefault="00CC25B5">
            <w:pPr>
              <w:rPr>
                <w:rFonts w:ascii="宋体"/>
                <w:vanish/>
              </w:rPr>
            </w:pPr>
          </w:p>
        </w:tc>
        <w:tc>
          <w:tcPr>
            <w:tcW w:w="0" w:type="auto"/>
            <w:gridSpan w:val="3"/>
            <w:shd w:val="clear" w:color="auto" w:fill="auto"/>
            <w:vAlign w:val="bottom"/>
          </w:tcPr>
          <w:p w14:paraId="442F67B8" w14:textId="77777777" w:rsidR="00CC25B5" w:rsidRDefault="00CC25B5">
            <w:pPr>
              <w:rPr>
                <w:rFonts w:ascii="宋体"/>
                <w:vanish/>
              </w:rPr>
            </w:pPr>
          </w:p>
        </w:tc>
      </w:tr>
      <w:tr w:rsidR="00CC25B5" w14:paraId="442F67C4" w14:textId="77777777">
        <w:trPr>
          <w:jc w:val="center"/>
        </w:trPr>
        <w:tc>
          <w:tcPr>
            <w:tcW w:w="0" w:type="auto"/>
            <w:gridSpan w:val="3"/>
            <w:shd w:val="clear" w:color="auto" w:fill="FFFFFF"/>
            <w:tcMar>
              <w:top w:w="40" w:type="dxa"/>
              <w:left w:w="740" w:type="dxa"/>
              <w:bottom w:w="40" w:type="dxa"/>
              <w:right w:w="20" w:type="dxa"/>
            </w:tcMar>
            <w:vAlign w:val="center"/>
          </w:tcPr>
          <w:p w14:paraId="442F67BA" w14:textId="77777777" w:rsidR="00CC25B5" w:rsidRDefault="00900968">
            <w:pPr>
              <w:textAlignment w:val="center"/>
            </w:pPr>
            <w:r>
              <w:rPr>
                <w:rFonts w:ascii="Times New Roman" w:eastAsia="宋体" w:hAnsi="Times New Roman"/>
                <w:color w:val="000000"/>
                <w:sz w:val="16"/>
                <w:szCs w:val="16"/>
              </w:rPr>
              <w:t>Total current liabilities</w:t>
            </w:r>
          </w:p>
        </w:tc>
        <w:tc>
          <w:tcPr>
            <w:tcW w:w="0" w:type="auto"/>
            <w:gridSpan w:val="3"/>
            <w:shd w:val="clear" w:color="auto" w:fill="FFFFFF"/>
            <w:tcMar>
              <w:top w:w="0" w:type="dxa"/>
              <w:left w:w="20" w:type="dxa"/>
              <w:bottom w:w="0" w:type="dxa"/>
              <w:right w:w="20" w:type="dxa"/>
            </w:tcMar>
            <w:vAlign w:val="bottom"/>
          </w:tcPr>
          <w:p w14:paraId="442F67BB"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7BC" w14:textId="77777777" w:rsidR="00CC25B5" w:rsidRDefault="00900968">
            <w:pPr>
              <w:jc w:val="right"/>
              <w:textAlignment w:val="center"/>
            </w:pPr>
            <w:r>
              <w:rPr>
                <w:rFonts w:ascii="Times New Roman" w:eastAsia="宋体" w:hAnsi="Times New Roman"/>
                <w:color w:val="000000"/>
                <w:sz w:val="16"/>
                <w:szCs w:val="16"/>
              </w:rPr>
              <w:t>81,122 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7B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BE"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7BF" w14:textId="77777777" w:rsidR="00CC25B5" w:rsidRDefault="00900968">
            <w:pPr>
              <w:jc w:val="right"/>
              <w:textAlignment w:val="center"/>
            </w:pPr>
            <w:r>
              <w:rPr>
                <w:rFonts w:ascii="Times New Roman" w:eastAsia="宋体" w:hAnsi="Times New Roman"/>
                <w:color w:val="000000"/>
                <w:sz w:val="16"/>
                <w:szCs w:val="16"/>
              </w:rPr>
              <w:t>92,645 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7C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C1"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7C2" w14:textId="77777777" w:rsidR="00CC25B5" w:rsidRDefault="00900968">
            <w:pPr>
              <w:jc w:val="right"/>
              <w:textAlignment w:val="center"/>
            </w:pPr>
            <w:r>
              <w:rPr>
                <w:rFonts w:ascii="Times New Roman" w:eastAsia="宋体" w:hAnsi="Times New Roman"/>
                <w:color w:val="000000"/>
                <w:sz w:val="16"/>
                <w:szCs w:val="16"/>
              </w:rPr>
              <w:t>81,957 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7C3" w14:textId="77777777" w:rsidR="00CC25B5" w:rsidRDefault="00CC25B5">
            <w:pPr>
              <w:jc w:val="right"/>
              <w:rPr>
                <w:rFonts w:ascii="宋体"/>
              </w:rPr>
            </w:pPr>
          </w:p>
        </w:tc>
      </w:tr>
      <w:tr w:rsidR="00CC25B5" w14:paraId="442F67CC" w14:textId="77777777">
        <w:trPr>
          <w:trHeight w:val="240"/>
          <w:jc w:val="center"/>
        </w:trPr>
        <w:tc>
          <w:tcPr>
            <w:tcW w:w="0" w:type="auto"/>
            <w:gridSpan w:val="3"/>
            <w:shd w:val="clear" w:color="auto" w:fill="CCEEFF"/>
            <w:tcMar>
              <w:top w:w="0" w:type="dxa"/>
              <w:left w:w="20" w:type="dxa"/>
              <w:bottom w:w="0" w:type="dxa"/>
              <w:right w:w="20" w:type="dxa"/>
            </w:tcMar>
            <w:vAlign w:val="bottom"/>
          </w:tcPr>
          <w:p w14:paraId="442F67C5"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C6"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C7"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C8"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C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C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7CB" w14:textId="77777777" w:rsidR="00CC25B5" w:rsidRDefault="00CC25B5">
            <w:pPr>
              <w:rPr>
                <w:rFonts w:ascii="宋体"/>
              </w:rPr>
            </w:pPr>
          </w:p>
        </w:tc>
      </w:tr>
      <w:tr w:rsidR="00CC25B5" w14:paraId="442F67D7" w14:textId="77777777">
        <w:trPr>
          <w:jc w:val="center"/>
        </w:trPr>
        <w:tc>
          <w:tcPr>
            <w:tcW w:w="0" w:type="auto"/>
            <w:gridSpan w:val="3"/>
            <w:shd w:val="clear" w:color="auto" w:fill="FFFFFF"/>
            <w:tcMar>
              <w:top w:w="40" w:type="dxa"/>
              <w:left w:w="20" w:type="dxa"/>
              <w:bottom w:w="40" w:type="dxa"/>
              <w:right w:w="20" w:type="dxa"/>
            </w:tcMar>
            <w:vAlign w:val="center"/>
          </w:tcPr>
          <w:p w14:paraId="442F67CD" w14:textId="77777777" w:rsidR="00CC25B5" w:rsidRDefault="00900968">
            <w:pPr>
              <w:textAlignment w:val="center"/>
            </w:pPr>
            <w:r>
              <w:rPr>
                <w:rFonts w:ascii="Times New Roman" w:eastAsia="宋体" w:hAnsi="Times New Roman"/>
                <w:color w:val="000000"/>
                <w:sz w:val="16"/>
                <w:szCs w:val="16"/>
              </w:rPr>
              <w:t>Long-term debt</w:t>
            </w:r>
          </w:p>
        </w:tc>
        <w:tc>
          <w:tcPr>
            <w:tcW w:w="0" w:type="auto"/>
            <w:gridSpan w:val="3"/>
            <w:shd w:val="clear" w:color="auto" w:fill="FFFFFF"/>
            <w:tcMar>
              <w:top w:w="0" w:type="dxa"/>
              <w:left w:w="20" w:type="dxa"/>
              <w:bottom w:w="0" w:type="dxa"/>
              <w:right w:w="20" w:type="dxa"/>
            </w:tcMar>
            <w:vAlign w:val="bottom"/>
          </w:tcPr>
          <w:p w14:paraId="442F67C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CF" w14:textId="77777777" w:rsidR="00CC25B5" w:rsidRDefault="00900968">
            <w:pPr>
              <w:jc w:val="right"/>
              <w:textAlignment w:val="center"/>
            </w:pPr>
            <w:r>
              <w:rPr>
                <w:rFonts w:ascii="Times New Roman" w:eastAsia="宋体" w:hAnsi="Times New Roman"/>
                <w:color w:val="000000"/>
                <w:sz w:val="16"/>
                <w:szCs w:val="16"/>
              </w:rPr>
              <w:t>39,581 </w:t>
            </w:r>
          </w:p>
        </w:tc>
        <w:tc>
          <w:tcPr>
            <w:tcW w:w="0" w:type="auto"/>
            <w:shd w:val="clear" w:color="auto" w:fill="FFFFFF"/>
            <w:tcMar>
              <w:top w:w="40" w:type="dxa"/>
              <w:left w:w="0" w:type="dxa"/>
              <w:bottom w:w="40" w:type="dxa"/>
              <w:right w:w="20" w:type="dxa"/>
            </w:tcMar>
            <w:vAlign w:val="center"/>
          </w:tcPr>
          <w:p w14:paraId="442F67D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D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D2" w14:textId="77777777" w:rsidR="00CC25B5" w:rsidRDefault="00900968">
            <w:pPr>
              <w:jc w:val="right"/>
              <w:textAlignment w:val="center"/>
            </w:pPr>
            <w:r>
              <w:rPr>
                <w:rFonts w:ascii="Times New Roman" w:eastAsia="宋体" w:hAnsi="Times New Roman"/>
                <w:color w:val="000000"/>
                <w:sz w:val="16"/>
                <w:szCs w:val="16"/>
              </w:rPr>
              <w:t>41,194 </w:t>
            </w:r>
          </w:p>
        </w:tc>
        <w:tc>
          <w:tcPr>
            <w:tcW w:w="0" w:type="auto"/>
            <w:shd w:val="clear" w:color="auto" w:fill="FFFFFF"/>
            <w:tcMar>
              <w:top w:w="40" w:type="dxa"/>
              <w:left w:w="0" w:type="dxa"/>
              <w:bottom w:w="40" w:type="dxa"/>
              <w:right w:w="20" w:type="dxa"/>
            </w:tcMar>
            <w:vAlign w:val="center"/>
          </w:tcPr>
          <w:p w14:paraId="442F67D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D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D5" w14:textId="77777777" w:rsidR="00CC25B5" w:rsidRDefault="00900968">
            <w:pPr>
              <w:jc w:val="right"/>
              <w:textAlignment w:val="center"/>
            </w:pPr>
            <w:r>
              <w:rPr>
                <w:rFonts w:ascii="Times New Roman" w:eastAsia="宋体" w:hAnsi="Times New Roman"/>
                <w:color w:val="000000"/>
                <w:sz w:val="16"/>
                <w:szCs w:val="16"/>
              </w:rPr>
              <w:t>40,959 </w:t>
            </w:r>
          </w:p>
        </w:tc>
        <w:tc>
          <w:tcPr>
            <w:tcW w:w="0" w:type="auto"/>
            <w:shd w:val="clear" w:color="auto" w:fill="FFFFFF"/>
            <w:tcMar>
              <w:top w:w="40" w:type="dxa"/>
              <w:left w:w="0" w:type="dxa"/>
              <w:bottom w:w="40" w:type="dxa"/>
              <w:right w:w="20" w:type="dxa"/>
            </w:tcMar>
            <w:vAlign w:val="center"/>
          </w:tcPr>
          <w:p w14:paraId="442F67D6" w14:textId="77777777" w:rsidR="00CC25B5" w:rsidRDefault="00CC25B5">
            <w:pPr>
              <w:jc w:val="right"/>
              <w:rPr>
                <w:rFonts w:ascii="宋体"/>
              </w:rPr>
            </w:pPr>
          </w:p>
        </w:tc>
      </w:tr>
      <w:tr w:rsidR="00CC25B5" w14:paraId="442F67E2" w14:textId="77777777">
        <w:trPr>
          <w:jc w:val="center"/>
        </w:trPr>
        <w:tc>
          <w:tcPr>
            <w:tcW w:w="0" w:type="auto"/>
            <w:gridSpan w:val="3"/>
            <w:shd w:val="clear" w:color="auto" w:fill="CCEEFF"/>
            <w:tcMar>
              <w:top w:w="40" w:type="dxa"/>
              <w:left w:w="20" w:type="dxa"/>
              <w:bottom w:w="40" w:type="dxa"/>
              <w:right w:w="20" w:type="dxa"/>
            </w:tcMar>
            <w:vAlign w:val="center"/>
          </w:tcPr>
          <w:p w14:paraId="442F67D8" w14:textId="77777777" w:rsidR="00CC25B5" w:rsidRDefault="00900968">
            <w:pPr>
              <w:textAlignment w:val="center"/>
            </w:pPr>
            <w:r>
              <w:rPr>
                <w:rFonts w:ascii="Times New Roman" w:eastAsia="宋体" w:hAnsi="Times New Roman"/>
                <w:color w:val="000000"/>
                <w:sz w:val="16"/>
                <w:szCs w:val="16"/>
              </w:rPr>
              <w:t>Lo</w:t>
            </w:r>
            <w:r>
              <w:rPr>
                <w:rFonts w:ascii="Times New Roman" w:eastAsia="宋体" w:hAnsi="Times New Roman"/>
                <w:color w:val="000000"/>
                <w:sz w:val="16"/>
                <w:szCs w:val="16"/>
              </w:rPr>
              <w:t>ng-term operating lease obligations</w:t>
            </w:r>
          </w:p>
        </w:tc>
        <w:tc>
          <w:tcPr>
            <w:tcW w:w="0" w:type="auto"/>
            <w:gridSpan w:val="3"/>
            <w:shd w:val="clear" w:color="auto" w:fill="CCEEFF"/>
            <w:tcMar>
              <w:top w:w="0" w:type="dxa"/>
              <w:left w:w="20" w:type="dxa"/>
              <w:bottom w:w="0" w:type="dxa"/>
              <w:right w:w="20" w:type="dxa"/>
            </w:tcMar>
            <w:vAlign w:val="bottom"/>
          </w:tcPr>
          <w:p w14:paraId="442F67D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DA" w14:textId="77777777" w:rsidR="00CC25B5" w:rsidRDefault="00900968">
            <w:pPr>
              <w:jc w:val="right"/>
              <w:textAlignment w:val="center"/>
            </w:pPr>
            <w:r>
              <w:rPr>
                <w:rFonts w:ascii="Times New Roman" w:eastAsia="宋体" w:hAnsi="Times New Roman"/>
                <w:color w:val="000000"/>
                <w:sz w:val="16"/>
                <w:szCs w:val="16"/>
              </w:rPr>
              <w:t>13,116 </w:t>
            </w:r>
          </w:p>
        </w:tc>
        <w:tc>
          <w:tcPr>
            <w:tcW w:w="0" w:type="auto"/>
            <w:shd w:val="clear" w:color="auto" w:fill="CCEEFF"/>
            <w:tcMar>
              <w:top w:w="40" w:type="dxa"/>
              <w:left w:w="0" w:type="dxa"/>
              <w:bottom w:w="40" w:type="dxa"/>
              <w:right w:w="20" w:type="dxa"/>
            </w:tcMar>
            <w:vAlign w:val="center"/>
          </w:tcPr>
          <w:p w14:paraId="442F67D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D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DD" w14:textId="77777777" w:rsidR="00CC25B5" w:rsidRDefault="00900968">
            <w:pPr>
              <w:jc w:val="right"/>
              <w:textAlignment w:val="center"/>
            </w:pPr>
            <w:r>
              <w:rPr>
                <w:rFonts w:ascii="Times New Roman" w:eastAsia="宋体" w:hAnsi="Times New Roman"/>
                <w:color w:val="000000"/>
                <w:sz w:val="16"/>
                <w:szCs w:val="16"/>
              </w:rPr>
              <w:t>12,909 </w:t>
            </w:r>
          </w:p>
        </w:tc>
        <w:tc>
          <w:tcPr>
            <w:tcW w:w="0" w:type="auto"/>
            <w:shd w:val="clear" w:color="auto" w:fill="CCEEFF"/>
            <w:tcMar>
              <w:top w:w="40" w:type="dxa"/>
              <w:left w:w="0" w:type="dxa"/>
              <w:bottom w:w="40" w:type="dxa"/>
              <w:right w:w="20" w:type="dxa"/>
            </w:tcMar>
            <w:vAlign w:val="center"/>
          </w:tcPr>
          <w:p w14:paraId="442F67D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D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E0" w14:textId="77777777" w:rsidR="00CC25B5" w:rsidRDefault="00900968">
            <w:pPr>
              <w:jc w:val="right"/>
              <w:textAlignment w:val="center"/>
            </w:pPr>
            <w:r>
              <w:rPr>
                <w:rFonts w:ascii="Times New Roman" w:eastAsia="宋体" w:hAnsi="Times New Roman"/>
                <w:color w:val="000000"/>
                <w:sz w:val="16"/>
                <w:szCs w:val="16"/>
              </w:rPr>
              <w:t>15,669 </w:t>
            </w:r>
          </w:p>
        </w:tc>
        <w:tc>
          <w:tcPr>
            <w:tcW w:w="0" w:type="auto"/>
            <w:shd w:val="clear" w:color="auto" w:fill="CCEEFF"/>
            <w:tcMar>
              <w:top w:w="40" w:type="dxa"/>
              <w:left w:w="0" w:type="dxa"/>
              <w:bottom w:w="40" w:type="dxa"/>
              <w:right w:w="20" w:type="dxa"/>
            </w:tcMar>
            <w:vAlign w:val="center"/>
          </w:tcPr>
          <w:p w14:paraId="442F67E1" w14:textId="77777777" w:rsidR="00CC25B5" w:rsidRDefault="00CC25B5">
            <w:pPr>
              <w:jc w:val="right"/>
              <w:rPr>
                <w:rFonts w:ascii="宋体"/>
              </w:rPr>
            </w:pPr>
          </w:p>
        </w:tc>
      </w:tr>
      <w:tr w:rsidR="00CC25B5" w14:paraId="442F67ED" w14:textId="77777777">
        <w:trPr>
          <w:jc w:val="center"/>
        </w:trPr>
        <w:tc>
          <w:tcPr>
            <w:tcW w:w="0" w:type="auto"/>
            <w:gridSpan w:val="3"/>
            <w:shd w:val="clear" w:color="auto" w:fill="FFFFFF"/>
            <w:tcMar>
              <w:top w:w="40" w:type="dxa"/>
              <w:left w:w="20" w:type="dxa"/>
              <w:bottom w:w="40" w:type="dxa"/>
              <w:right w:w="20" w:type="dxa"/>
            </w:tcMar>
            <w:vAlign w:val="center"/>
          </w:tcPr>
          <w:p w14:paraId="442F67E3" w14:textId="77777777" w:rsidR="00CC25B5" w:rsidRDefault="00900968">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FFFFFF"/>
            <w:tcMar>
              <w:top w:w="0" w:type="dxa"/>
              <w:left w:w="20" w:type="dxa"/>
              <w:bottom w:w="0" w:type="dxa"/>
              <w:right w:w="20" w:type="dxa"/>
            </w:tcMar>
            <w:vAlign w:val="bottom"/>
          </w:tcPr>
          <w:p w14:paraId="442F67E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E5" w14:textId="77777777" w:rsidR="00CC25B5" w:rsidRDefault="00900968">
            <w:pPr>
              <w:jc w:val="right"/>
              <w:textAlignment w:val="center"/>
            </w:pPr>
            <w:r>
              <w:rPr>
                <w:rFonts w:ascii="Times New Roman" w:eastAsia="宋体" w:hAnsi="Times New Roman"/>
                <w:color w:val="000000"/>
                <w:sz w:val="16"/>
                <w:szCs w:val="16"/>
              </w:rPr>
              <w:t>3,952 </w:t>
            </w:r>
          </w:p>
        </w:tc>
        <w:tc>
          <w:tcPr>
            <w:tcW w:w="0" w:type="auto"/>
            <w:shd w:val="clear" w:color="auto" w:fill="FFFFFF"/>
            <w:tcMar>
              <w:top w:w="40" w:type="dxa"/>
              <w:left w:w="0" w:type="dxa"/>
              <w:bottom w:w="40" w:type="dxa"/>
              <w:right w:w="20" w:type="dxa"/>
            </w:tcMar>
            <w:vAlign w:val="center"/>
          </w:tcPr>
          <w:p w14:paraId="442F67E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E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E8" w14:textId="77777777" w:rsidR="00CC25B5" w:rsidRDefault="00900968">
            <w:pPr>
              <w:jc w:val="right"/>
              <w:textAlignment w:val="center"/>
            </w:pPr>
            <w:r>
              <w:rPr>
                <w:rFonts w:ascii="Times New Roman" w:eastAsia="宋体" w:hAnsi="Times New Roman"/>
                <w:color w:val="000000"/>
                <w:sz w:val="16"/>
                <w:szCs w:val="16"/>
              </w:rPr>
              <w:t>3,847 </w:t>
            </w:r>
          </w:p>
        </w:tc>
        <w:tc>
          <w:tcPr>
            <w:tcW w:w="0" w:type="auto"/>
            <w:shd w:val="clear" w:color="auto" w:fill="FFFFFF"/>
            <w:tcMar>
              <w:top w:w="40" w:type="dxa"/>
              <w:left w:w="0" w:type="dxa"/>
              <w:bottom w:w="40" w:type="dxa"/>
              <w:right w:w="20" w:type="dxa"/>
            </w:tcMar>
            <w:vAlign w:val="center"/>
          </w:tcPr>
          <w:p w14:paraId="442F67E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7E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7EB" w14:textId="77777777" w:rsidR="00CC25B5" w:rsidRDefault="00900968">
            <w:pPr>
              <w:jc w:val="right"/>
              <w:textAlignment w:val="center"/>
            </w:pPr>
            <w:r>
              <w:rPr>
                <w:rFonts w:ascii="Times New Roman" w:eastAsia="宋体" w:hAnsi="Times New Roman"/>
                <w:color w:val="000000"/>
                <w:sz w:val="16"/>
                <w:szCs w:val="16"/>
              </w:rPr>
              <w:t>4,673 </w:t>
            </w:r>
          </w:p>
        </w:tc>
        <w:tc>
          <w:tcPr>
            <w:tcW w:w="0" w:type="auto"/>
            <w:shd w:val="clear" w:color="auto" w:fill="FFFFFF"/>
            <w:tcMar>
              <w:top w:w="40" w:type="dxa"/>
              <w:left w:w="0" w:type="dxa"/>
              <w:bottom w:w="40" w:type="dxa"/>
              <w:right w:w="20" w:type="dxa"/>
            </w:tcMar>
            <w:vAlign w:val="center"/>
          </w:tcPr>
          <w:p w14:paraId="442F67EC" w14:textId="77777777" w:rsidR="00CC25B5" w:rsidRDefault="00CC25B5">
            <w:pPr>
              <w:jc w:val="right"/>
              <w:rPr>
                <w:rFonts w:ascii="宋体"/>
              </w:rPr>
            </w:pPr>
          </w:p>
        </w:tc>
      </w:tr>
      <w:tr w:rsidR="00CC25B5" w14:paraId="442F67F5" w14:textId="77777777">
        <w:trPr>
          <w:jc w:val="center"/>
          <w:hidden/>
        </w:trPr>
        <w:tc>
          <w:tcPr>
            <w:tcW w:w="0" w:type="auto"/>
            <w:gridSpan w:val="3"/>
            <w:shd w:val="clear" w:color="auto" w:fill="auto"/>
            <w:vAlign w:val="bottom"/>
          </w:tcPr>
          <w:p w14:paraId="442F67EE" w14:textId="77777777" w:rsidR="00CC25B5" w:rsidRDefault="00CC25B5">
            <w:pPr>
              <w:rPr>
                <w:rFonts w:ascii="宋体"/>
                <w:vanish/>
              </w:rPr>
            </w:pPr>
          </w:p>
        </w:tc>
        <w:tc>
          <w:tcPr>
            <w:tcW w:w="0" w:type="auto"/>
            <w:gridSpan w:val="3"/>
            <w:shd w:val="clear" w:color="auto" w:fill="auto"/>
            <w:vAlign w:val="bottom"/>
          </w:tcPr>
          <w:p w14:paraId="442F67EF" w14:textId="77777777" w:rsidR="00CC25B5" w:rsidRDefault="00CC25B5">
            <w:pPr>
              <w:rPr>
                <w:rFonts w:ascii="宋体"/>
                <w:vanish/>
              </w:rPr>
            </w:pPr>
          </w:p>
        </w:tc>
        <w:tc>
          <w:tcPr>
            <w:tcW w:w="0" w:type="auto"/>
            <w:gridSpan w:val="3"/>
            <w:shd w:val="clear" w:color="auto" w:fill="auto"/>
            <w:vAlign w:val="bottom"/>
          </w:tcPr>
          <w:p w14:paraId="442F67F0" w14:textId="77777777" w:rsidR="00CC25B5" w:rsidRDefault="00CC25B5">
            <w:pPr>
              <w:rPr>
                <w:rFonts w:ascii="宋体"/>
                <w:vanish/>
              </w:rPr>
            </w:pPr>
          </w:p>
        </w:tc>
        <w:tc>
          <w:tcPr>
            <w:tcW w:w="0" w:type="auto"/>
            <w:gridSpan w:val="3"/>
            <w:shd w:val="clear" w:color="auto" w:fill="auto"/>
            <w:vAlign w:val="bottom"/>
          </w:tcPr>
          <w:p w14:paraId="442F67F1" w14:textId="77777777" w:rsidR="00CC25B5" w:rsidRDefault="00CC25B5">
            <w:pPr>
              <w:rPr>
                <w:rFonts w:ascii="宋体"/>
                <w:vanish/>
              </w:rPr>
            </w:pPr>
          </w:p>
        </w:tc>
        <w:tc>
          <w:tcPr>
            <w:tcW w:w="0" w:type="auto"/>
            <w:gridSpan w:val="3"/>
            <w:shd w:val="clear" w:color="auto" w:fill="auto"/>
            <w:vAlign w:val="bottom"/>
          </w:tcPr>
          <w:p w14:paraId="442F67F2" w14:textId="77777777" w:rsidR="00CC25B5" w:rsidRDefault="00CC25B5">
            <w:pPr>
              <w:rPr>
                <w:rFonts w:ascii="宋体"/>
                <w:vanish/>
              </w:rPr>
            </w:pPr>
          </w:p>
        </w:tc>
        <w:tc>
          <w:tcPr>
            <w:tcW w:w="0" w:type="auto"/>
            <w:gridSpan w:val="3"/>
            <w:shd w:val="clear" w:color="auto" w:fill="auto"/>
            <w:vAlign w:val="bottom"/>
          </w:tcPr>
          <w:p w14:paraId="442F67F3" w14:textId="77777777" w:rsidR="00CC25B5" w:rsidRDefault="00CC25B5">
            <w:pPr>
              <w:rPr>
                <w:rFonts w:ascii="宋体"/>
                <w:vanish/>
              </w:rPr>
            </w:pPr>
          </w:p>
        </w:tc>
        <w:tc>
          <w:tcPr>
            <w:tcW w:w="0" w:type="auto"/>
            <w:gridSpan w:val="3"/>
            <w:shd w:val="clear" w:color="auto" w:fill="auto"/>
            <w:vAlign w:val="bottom"/>
          </w:tcPr>
          <w:p w14:paraId="442F67F4" w14:textId="77777777" w:rsidR="00CC25B5" w:rsidRDefault="00CC25B5">
            <w:pPr>
              <w:rPr>
                <w:rFonts w:ascii="宋体"/>
                <w:vanish/>
              </w:rPr>
            </w:pPr>
          </w:p>
        </w:tc>
      </w:tr>
      <w:tr w:rsidR="00CC25B5" w14:paraId="442F6800" w14:textId="77777777">
        <w:trPr>
          <w:jc w:val="center"/>
        </w:trPr>
        <w:tc>
          <w:tcPr>
            <w:tcW w:w="0" w:type="auto"/>
            <w:gridSpan w:val="3"/>
            <w:shd w:val="clear" w:color="auto" w:fill="CCEEFF"/>
            <w:tcMar>
              <w:top w:w="40" w:type="dxa"/>
              <w:left w:w="20" w:type="dxa"/>
              <w:bottom w:w="40" w:type="dxa"/>
              <w:right w:w="20" w:type="dxa"/>
            </w:tcMar>
            <w:vAlign w:val="center"/>
          </w:tcPr>
          <w:p w14:paraId="442F67F6" w14:textId="77777777" w:rsidR="00CC25B5" w:rsidRDefault="00900968">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vAlign w:val="bottom"/>
          </w:tcPr>
          <w:p w14:paraId="442F67F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F8" w14:textId="77777777" w:rsidR="00CC25B5" w:rsidRDefault="00900968">
            <w:pPr>
              <w:jc w:val="right"/>
              <w:textAlignment w:val="center"/>
            </w:pPr>
            <w:r>
              <w:rPr>
                <w:rFonts w:ascii="Times New Roman" w:eastAsia="宋体" w:hAnsi="Times New Roman"/>
                <w:color w:val="000000"/>
                <w:sz w:val="16"/>
                <w:szCs w:val="16"/>
              </w:rPr>
              <w:t>13,654 </w:t>
            </w:r>
          </w:p>
        </w:tc>
        <w:tc>
          <w:tcPr>
            <w:tcW w:w="0" w:type="auto"/>
            <w:shd w:val="clear" w:color="auto" w:fill="CCEEFF"/>
            <w:tcMar>
              <w:top w:w="40" w:type="dxa"/>
              <w:left w:w="0" w:type="dxa"/>
              <w:bottom w:w="40" w:type="dxa"/>
              <w:right w:w="20" w:type="dxa"/>
            </w:tcMar>
            <w:vAlign w:val="center"/>
          </w:tcPr>
          <w:p w14:paraId="442F67F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F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FB" w14:textId="77777777" w:rsidR="00CC25B5" w:rsidRDefault="00900968">
            <w:pPr>
              <w:jc w:val="right"/>
              <w:textAlignment w:val="center"/>
            </w:pPr>
            <w:r>
              <w:rPr>
                <w:rFonts w:ascii="Times New Roman" w:eastAsia="宋体" w:hAnsi="Times New Roman"/>
                <w:color w:val="000000"/>
                <w:sz w:val="16"/>
                <w:szCs w:val="16"/>
              </w:rPr>
              <w:t>14,370 </w:t>
            </w:r>
          </w:p>
        </w:tc>
        <w:tc>
          <w:tcPr>
            <w:tcW w:w="0" w:type="auto"/>
            <w:shd w:val="clear" w:color="auto" w:fill="CCEEFF"/>
            <w:tcMar>
              <w:top w:w="40" w:type="dxa"/>
              <w:left w:w="0" w:type="dxa"/>
              <w:bottom w:w="40" w:type="dxa"/>
              <w:right w:w="20" w:type="dxa"/>
            </w:tcMar>
            <w:vAlign w:val="center"/>
          </w:tcPr>
          <w:p w14:paraId="442F67F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7F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7FE" w14:textId="77777777" w:rsidR="00CC25B5" w:rsidRDefault="00900968">
            <w:pPr>
              <w:jc w:val="right"/>
              <w:textAlignment w:val="center"/>
            </w:pPr>
            <w:r>
              <w:rPr>
                <w:rFonts w:ascii="Times New Roman" w:eastAsia="宋体" w:hAnsi="Times New Roman"/>
                <w:color w:val="000000"/>
                <w:sz w:val="16"/>
                <w:szCs w:val="16"/>
              </w:rPr>
              <w:t>12,927 </w:t>
            </w:r>
          </w:p>
        </w:tc>
        <w:tc>
          <w:tcPr>
            <w:tcW w:w="0" w:type="auto"/>
            <w:shd w:val="clear" w:color="auto" w:fill="CCEEFF"/>
            <w:tcMar>
              <w:top w:w="40" w:type="dxa"/>
              <w:left w:w="0" w:type="dxa"/>
              <w:bottom w:w="40" w:type="dxa"/>
              <w:right w:w="20" w:type="dxa"/>
            </w:tcMar>
            <w:vAlign w:val="center"/>
          </w:tcPr>
          <w:p w14:paraId="442F67FF" w14:textId="77777777" w:rsidR="00CC25B5" w:rsidRDefault="00CC25B5">
            <w:pPr>
              <w:jc w:val="right"/>
              <w:rPr>
                <w:rFonts w:ascii="宋体"/>
              </w:rPr>
            </w:pPr>
          </w:p>
        </w:tc>
      </w:tr>
      <w:tr w:rsidR="00CC25B5" w14:paraId="442F6808" w14:textId="77777777">
        <w:trPr>
          <w:trHeight w:val="240"/>
          <w:jc w:val="center"/>
        </w:trPr>
        <w:tc>
          <w:tcPr>
            <w:tcW w:w="0" w:type="auto"/>
            <w:gridSpan w:val="3"/>
            <w:shd w:val="clear" w:color="auto" w:fill="FFFFFF"/>
            <w:tcMar>
              <w:top w:w="0" w:type="dxa"/>
              <w:left w:w="20" w:type="dxa"/>
              <w:bottom w:w="0" w:type="dxa"/>
              <w:right w:w="20" w:type="dxa"/>
            </w:tcMar>
            <w:vAlign w:val="bottom"/>
          </w:tcPr>
          <w:p w14:paraId="442F680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0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0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0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05"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0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07" w14:textId="77777777" w:rsidR="00CC25B5" w:rsidRDefault="00CC25B5">
            <w:pPr>
              <w:rPr>
                <w:rFonts w:ascii="宋体"/>
              </w:rPr>
            </w:pPr>
          </w:p>
        </w:tc>
      </w:tr>
      <w:tr w:rsidR="00CC25B5" w14:paraId="442F6810" w14:textId="77777777">
        <w:trPr>
          <w:jc w:val="center"/>
          <w:hidden/>
        </w:trPr>
        <w:tc>
          <w:tcPr>
            <w:tcW w:w="0" w:type="auto"/>
            <w:gridSpan w:val="3"/>
            <w:shd w:val="clear" w:color="auto" w:fill="auto"/>
            <w:vAlign w:val="bottom"/>
          </w:tcPr>
          <w:p w14:paraId="442F6809" w14:textId="77777777" w:rsidR="00CC25B5" w:rsidRDefault="00CC25B5">
            <w:pPr>
              <w:rPr>
                <w:rFonts w:ascii="宋体"/>
                <w:vanish/>
              </w:rPr>
            </w:pPr>
          </w:p>
        </w:tc>
        <w:tc>
          <w:tcPr>
            <w:tcW w:w="0" w:type="auto"/>
            <w:gridSpan w:val="3"/>
            <w:shd w:val="clear" w:color="auto" w:fill="auto"/>
            <w:vAlign w:val="bottom"/>
          </w:tcPr>
          <w:p w14:paraId="442F680A" w14:textId="77777777" w:rsidR="00CC25B5" w:rsidRDefault="00CC25B5">
            <w:pPr>
              <w:rPr>
                <w:rFonts w:ascii="宋体"/>
                <w:vanish/>
              </w:rPr>
            </w:pPr>
          </w:p>
        </w:tc>
        <w:tc>
          <w:tcPr>
            <w:tcW w:w="0" w:type="auto"/>
            <w:gridSpan w:val="3"/>
            <w:shd w:val="clear" w:color="auto" w:fill="auto"/>
            <w:vAlign w:val="bottom"/>
          </w:tcPr>
          <w:p w14:paraId="442F680B" w14:textId="77777777" w:rsidR="00CC25B5" w:rsidRDefault="00CC25B5">
            <w:pPr>
              <w:rPr>
                <w:rFonts w:ascii="宋体"/>
                <w:vanish/>
              </w:rPr>
            </w:pPr>
          </w:p>
        </w:tc>
        <w:tc>
          <w:tcPr>
            <w:tcW w:w="0" w:type="auto"/>
            <w:gridSpan w:val="3"/>
            <w:shd w:val="clear" w:color="auto" w:fill="auto"/>
            <w:vAlign w:val="bottom"/>
          </w:tcPr>
          <w:p w14:paraId="442F680C" w14:textId="77777777" w:rsidR="00CC25B5" w:rsidRDefault="00CC25B5">
            <w:pPr>
              <w:rPr>
                <w:rFonts w:ascii="宋体"/>
                <w:vanish/>
              </w:rPr>
            </w:pPr>
          </w:p>
        </w:tc>
        <w:tc>
          <w:tcPr>
            <w:tcW w:w="0" w:type="auto"/>
            <w:gridSpan w:val="3"/>
            <w:shd w:val="clear" w:color="auto" w:fill="auto"/>
            <w:vAlign w:val="bottom"/>
          </w:tcPr>
          <w:p w14:paraId="442F680D" w14:textId="77777777" w:rsidR="00CC25B5" w:rsidRDefault="00CC25B5">
            <w:pPr>
              <w:rPr>
                <w:rFonts w:ascii="宋体"/>
                <w:vanish/>
              </w:rPr>
            </w:pPr>
          </w:p>
        </w:tc>
        <w:tc>
          <w:tcPr>
            <w:tcW w:w="0" w:type="auto"/>
            <w:gridSpan w:val="3"/>
            <w:shd w:val="clear" w:color="auto" w:fill="auto"/>
            <w:vAlign w:val="bottom"/>
          </w:tcPr>
          <w:p w14:paraId="442F680E" w14:textId="77777777" w:rsidR="00CC25B5" w:rsidRDefault="00CC25B5">
            <w:pPr>
              <w:rPr>
                <w:rFonts w:ascii="宋体"/>
                <w:vanish/>
              </w:rPr>
            </w:pPr>
          </w:p>
        </w:tc>
        <w:tc>
          <w:tcPr>
            <w:tcW w:w="0" w:type="auto"/>
            <w:gridSpan w:val="3"/>
            <w:shd w:val="clear" w:color="auto" w:fill="auto"/>
            <w:vAlign w:val="bottom"/>
          </w:tcPr>
          <w:p w14:paraId="442F680F" w14:textId="77777777" w:rsidR="00CC25B5" w:rsidRDefault="00CC25B5">
            <w:pPr>
              <w:rPr>
                <w:rFonts w:ascii="宋体"/>
                <w:vanish/>
              </w:rPr>
            </w:pPr>
          </w:p>
        </w:tc>
      </w:tr>
      <w:tr w:rsidR="00CC25B5" w14:paraId="442F6818" w14:textId="77777777">
        <w:trPr>
          <w:jc w:val="center"/>
          <w:hidden/>
        </w:trPr>
        <w:tc>
          <w:tcPr>
            <w:tcW w:w="0" w:type="auto"/>
            <w:gridSpan w:val="3"/>
            <w:shd w:val="clear" w:color="auto" w:fill="auto"/>
            <w:vAlign w:val="bottom"/>
          </w:tcPr>
          <w:p w14:paraId="442F6811" w14:textId="77777777" w:rsidR="00CC25B5" w:rsidRDefault="00CC25B5">
            <w:pPr>
              <w:rPr>
                <w:rFonts w:ascii="宋体"/>
                <w:vanish/>
              </w:rPr>
            </w:pPr>
          </w:p>
        </w:tc>
        <w:tc>
          <w:tcPr>
            <w:tcW w:w="0" w:type="auto"/>
            <w:gridSpan w:val="3"/>
            <w:shd w:val="clear" w:color="auto" w:fill="auto"/>
            <w:vAlign w:val="bottom"/>
          </w:tcPr>
          <w:p w14:paraId="442F6812" w14:textId="77777777" w:rsidR="00CC25B5" w:rsidRDefault="00CC25B5">
            <w:pPr>
              <w:rPr>
                <w:rFonts w:ascii="宋体"/>
                <w:vanish/>
              </w:rPr>
            </w:pPr>
          </w:p>
        </w:tc>
        <w:tc>
          <w:tcPr>
            <w:tcW w:w="0" w:type="auto"/>
            <w:gridSpan w:val="3"/>
            <w:shd w:val="clear" w:color="auto" w:fill="auto"/>
            <w:vAlign w:val="bottom"/>
          </w:tcPr>
          <w:p w14:paraId="442F6813" w14:textId="77777777" w:rsidR="00CC25B5" w:rsidRDefault="00CC25B5">
            <w:pPr>
              <w:rPr>
                <w:rFonts w:ascii="宋体"/>
                <w:vanish/>
              </w:rPr>
            </w:pPr>
          </w:p>
        </w:tc>
        <w:tc>
          <w:tcPr>
            <w:tcW w:w="0" w:type="auto"/>
            <w:gridSpan w:val="3"/>
            <w:shd w:val="clear" w:color="auto" w:fill="auto"/>
            <w:vAlign w:val="bottom"/>
          </w:tcPr>
          <w:p w14:paraId="442F6814" w14:textId="77777777" w:rsidR="00CC25B5" w:rsidRDefault="00CC25B5">
            <w:pPr>
              <w:rPr>
                <w:rFonts w:ascii="宋体"/>
                <w:vanish/>
              </w:rPr>
            </w:pPr>
          </w:p>
        </w:tc>
        <w:tc>
          <w:tcPr>
            <w:tcW w:w="0" w:type="auto"/>
            <w:gridSpan w:val="3"/>
            <w:shd w:val="clear" w:color="auto" w:fill="auto"/>
            <w:vAlign w:val="bottom"/>
          </w:tcPr>
          <w:p w14:paraId="442F6815" w14:textId="77777777" w:rsidR="00CC25B5" w:rsidRDefault="00CC25B5">
            <w:pPr>
              <w:rPr>
                <w:rFonts w:ascii="宋体"/>
                <w:vanish/>
              </w:rPr>
            </w:pPr>
          </w:p>
        </w:tc>
        <w:tc>
          <w:tcPr>
            <w:tcW w:w="0" w:type="auto"/>
            <w:gridSpan w:val="3"/>
            <w:shd w:val="clear" w:color="auto" w:fill="auto"/>
            <w:vAlign w:val="bottom"/>
          </w:tcPr>
          <w:p w14:paraId="442F6816" w14:textId="77777777" w:rsidR="00CC25B5" w:rsidRDefault="00CC25B5">
            <w:pPr>
              <w:rPr>
                <w:rFonts w:ascii="宋体"/>
                <w:vanish/>
              </w:rPr>
            </w:pPr>
          </w:p>
        </w:tc>
        <w:tc>
          <w:tcPr>
            <w:tcW w:w="0" w:type="auto"/>
            <w:gridSpan w:val="3"/>
            <w:shd w:val="clear" w:color="auto" w:fill="auto"/>
            <w:vAlign w:val="bottom"/>
          </w:tcPr>
          <w:p w14:paraId="442F6817" w14:textId="77777777" w:rsidR="00CC25B5" w:rsidRDefault="00CC25B5">
            <w:pPr>
              <w:rPr>
                <w:rFonts w:ascii="宋体"/>
                <w:vanish/>
              </w:rPr>
            </w:pPr>
          </w:p>
        </w:tc>
      </w:tr>
      <w:tr w:rsidR="00CC25B5" w14:paraId="442F6820" w14:textId="77777777">
        <w:trPr>
          <w:jc w:val="center"/>
        </w:trPr>
        <w:tc>
          <w:tcPr>
            <w:tcW w:w="0" w:type="auto"/>
            <w:gridSpan w:val="3"/>
            <w:shd w:val="clear" w:color="auto" w:fill="CCEEFF"/>
            <w:tcMar>
              <w:top w:w="40" w:type="dxa"/>
              <w:left w:w="20" w:type="dxa"/>
              <w:bottom w:w="40" w:type="dxa"/>
              <w:right w:w="20" w:type="dxa"/>
            </w:tcMar>
            <w:vAlign w:val="center"/>
          </w:tcPr>
          <w:p w14:paraId="442F6819" w14:textId="77777777" w:rsidR="00CC25B5" w:rsidRDefault="00900968">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CCEEFF"/>
            <w:tcMar>
              <w:top w:w="0" w:type="dxa"/>
              <w:left w:w="20" w:type="dxa"/>
              <w:bottom w:w="0" w:type="dxa"/>
              <w:right w:w="20" w:type="dxa"/>
            </w:tcMar>
            <w:vAlign w:val="bottom"/>
          </w:tcPr>
          <w:p w14:paraId="442F681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1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1C"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1D"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1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1F" w14:textId="77777777" w:rsidR="00CC25B5" w:rsidRDefault="00CC25B5">
            <w:pPr>
              <w:rPr>
                <w:rFonts w:ascii="宋体"/>
              </w:rPr>
            </w:pPr>
          </w:p>
        </w:tc>
      </w:tr>
      <w:tr w:rsidR="00CC25B5" w14:paraId="442F6828" w14:textId="77777777">
        <w:trPr>
          <w:trHeight w:val="240"/>
          <w:jc w:val="center"/>
        </w:trPr>
        <w:tc>
          <w:tcPr>
            <w:tcW w:w="0" w:type="auto"/>
            <w:gridSpan w:val="3"/>
            <w:shd w:val="clear" w:color="auto" w:fill="FFFFFF"/>
            <w:tcMar>
              <w:top w:w="0" w:type="dxa"/>
              <w:left w:w="20" w:type="dxa"/>
              <w:bottom w:w="0" w:type="dxa"/>
              <w:right w:w="20" w:type="dxa"/>
            </w:tcMar>
            <w:vAlign w:val="bottom"/>
          </w:tcPr>
          <w:p w14:paraId="442F682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2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2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2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25"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2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6827" w14:textId="77777777" w:rsidR="00CC25B5" w:rsidRDefault="00CC25B5">
            <w:pPr>
              <w:rPr>
                <w:rFonts w:ascii="宋体"/>
              </w:rPr>
            </w:pPr>
          </w:p>
        </w:tc>
      </w:tr>
      <w:tr w:rsidR="00CC25B5" w14:paraId="442F6830" w14:textId="77777777">
        <w:trPr>
          <w:jc w:val="center"/>
        </w:trPr>
        <w:tc>
          <w:tcPr>
            <w:tcW w:w="0" w:type="auto"/>
            <w:gridSpan w:val="3"/>
            <w:shd w:val="clear" w:color="auto" w:fill="CCEEFF"/>
            <w:tcMar>
              <w:top w:w="40" w:type="dxa"/>
              <w:left w:w="20" w:type="dxa"/>
              <w:bottom w:w="40" w:type="dxa"/>
              <w:right w:w="20" w:type="dxa"/>
            </w:tcMar>
            <w:vAlign w:val="center"/>
          </w:tcPr>
          <w:p w14:paraId="442F6829" w14:textId="77777777" w:rsidR="00CC25B5" w:rsidRDefault="00900968">
            <w:pPr>
              <w:textAlignment w:val="center"/>
            </w:pPr>
            <w:r>
              <w:rPr>
                <w:rFonts w:ascii="Times New Roman" w:eastAsia="宋体" w:hAnsi="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bottom"/>
          </w:tcPr>
          <w:p w14:paraId="442F682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2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2C"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2D"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2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682F" w14:textId="77777777" w:rsidR="00CC25B5" w:rsidRDefault="00CC25B5">
            <w:pPr>
              <w:rPr>
                <w:rFonts w:ascii="宋体"/>
              </w:rPr>
            </w:pPr>
          </w:p>
        </w:tc>
      </w:tr>
      <w:tr w:rsidR="00CC25B5" w14:paraId="442F683B" w14:textId="77777777">
        <w:trPr>
          <w:jc w:val="center"/>
        </w:trPr>
        <w:tc>
          <w:tcPr>
            <w:tcW w:w="0" w:type="auto"/>
            <w:gridSpan w:val="3"/>
            <w:shd w:val="clear" w:color="auto" w:fill="FFFFFF"/>
            <w:tcMar>
              <w:top w:w="40" w:type="dxa"/>
              <w:left w:w="380" w:type="dxa"/>
              <w:bottom w:w="40" w:type="dxa"/>
              <w:right w:w="20" w:type="dxa"/>
            </w:tcMar>
            <w:vAlign w:val="center"/>
          </w:tcPr>
          <w:p w14:paraId="442F6831" w14:textId="77777777" w:rsidR="00CC25B5" w:rsidRDefault="00900968">
            <w:pPr>
              <w:textAlignment w:val="center"/>
            </w:pPr>
            <w:r>
              <w:rPr>
                <w:rFonts w:ascii="Times New Roman" w:eastAsia="宋体" w:hAnsi="Times New Roman"/>
                <w:color w:val="000000"/>
                <w:sz w:val="16"/>
                <w:szCs w:val="16"/>
              </w:rPr>
              <w:t>Common stock</w:t>
            </w:r>
          </w:p>
        </w:tc>
        <w:tc>
          <w:tcPr>
            <w:tcW w:w="0" w:type="auto"/>
            <w:gridSpan w:val="3"/>
            <w:shd w:val="clear" w:color="auto" w:fill="FFFFFF"/>
            <w:tcMar>
              <w:top w:w="0" w:type="dxa"/>
              <w:left w:w="20" w:type="dxa"/>
              <w:bottom w:w="0" w:type="dxa"/>
              <w:right w:w="20" w:type="dxa"/>
            </w:tcMar>
            <w:vAlign w:val="bottom"/>
          </w:tcPr>
          <w:p w14:paraId="442F683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833" w14:textId="77777777" w:rsidR="00CC25B5" w:rsidRDefault="00900968">
            <w:pPr>
              <w:jc w:val="right"/>
              <w:textAlignment w:val="center"/>
            </w:pPr>
            <w:r>
              <w:rPr>
                <w:rFonts w:ascii="Times New Roman" w:eastAsia="宋体" w:hAnsi="Times New Roman"/>
                <w:color w:val="000000"/>
                <w:sz w:val="16"/>
                <w:szCs w:val="16"/>
              </w:rPr>
              <w:t>278 </w:t>
            </w:r>
          </w:p>
        </w:tc>
        <w:tc>
          <w:tcPr>
            <w:tcW w:w="0" w:type="auto"/>
            <w:shd w:val="clear" w:color="auto" w:fill="FFFFFF"/>
            <w:tcMar>
              <w:top w:w="40" w:type="dxa"/>
              <w:left w:w="0" w:type="dxa"/>
              <w:bottom w:w="40" w:type="dxa"/>
              <w:right w:w="20" w:type="dxa"/>
            </w:tcMar>
            <w:vAlign w:val="center"/>
          </w:tcPr>
          <w:p w14:paraId="442F683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3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836" w14:textId="77777777" w:rsidR="00CC25B5" w:rsidRDefault="00900968">
            <w:pPr>
              <w:jc w:val="right"/>
              <w:textAlignment w:val="center"/>
            </w:pPr>
            <w:r>
              <w:rPr>
                <w:rFonts w:ascii="Times New Roman" w:eastAsia="宋体" w:hAnsi="Times New Roman"/>
                <w:color w:val="000000"/>
                <w:sz w:val="16"/>
                <w:szCs w:val="16"/>
              </w:rPr>
              <w:t>282 </w:t>
            </w:r>
          </w:p>
        </w:tc>
        <w:tc>
          <w:tcPr>
            <w:tcW w:w="0" w:type="auto"/>
            <w:shd w:val="clear" w:color="auto" w:fill="FFFFFF"/>
            <w:tcMar>
              <w:top w:w="40" w:type="dxa"/>
              <w:left w:w="0" w:type="dxa"/>
              <w:bottom w:w="40" w:type="dxa"/>
              <w:right w:w="20" w:type="dxa"/>
            </w:tcMar>
            <w:vAlign w:val="center"/>
          </w:tcPr>
          <w:p w14:paraId="442F683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3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839" w14:textId="77777777" w:rsidR="00CC25B5" w:rsidRDefault="00900968">
            <w:pPr>
              <w:jc w:val="right"/>
              <w:textAlignment w:val="center"/>
            </w:pPr>
            <w:r>
              <w:rPr>
                <w:rFonts w:ascii="Times New Roman" w:eastAsia="宋体" w:hAnsi="Times New Roman"/>
                <w:color w:val="000000"/>
                <w:sz w:val="16"/>
                <w:szCs w:val="16"/>
              </w:rPr>
              <w:t>283 </w:t>
            </w:r>
          </w:p>
        </w:tc>
        <w:tc>
          <w:tcPr>
            <w:tcW w:w="0" w:type="auto"/>
            <w:shd w:val="clear" w:color="auto" w:fill="FFFFFF"/>
            <w:tcMar>
              <w:top w:w="40" w:type="dxa"/>
              <w:left w:w="0" w:type="dxa"/>
              <w:bottom w:w="40" w:type="dxa"/>
              <w:right w:w="20" w:type="dxa"/>
            </w:tcMar>
            <w:vAlign w:val="center"/>
          </w:tcPr>
          <w:p w14:paraId="442F683A" w14:textId="77777777" w:rsidR="00CC25B5" w:rsidRDefault="00CC25B5">
            <w:pPr>
              <w:jc w:val="right"/>
              <w:rPr>
                <w:rFonts w:ascii="宋体"/>
              </w:rPr>
            </w:pPr>
          </w:p>
        </w:tc>
      </w:tr>
      <w:tr w:rsidR="00CC25B5" w14:paraId="442F6846" w14:textId="77777777">
        <w:trPr>
          <w:jc w:val="center"/>
        </w:trPr>
        <w:tc>
          <w:tcPr>
            <w:tcW w:w="0" w:type="auto"/>
            <w:gridSpan w:val="3"/>
            <w:shd w:val="clear" w:color="auto" w:fill="CCEEFF"/>
            <w:tcMar>
              <w:top w:w="40" w:type="dxa"/>
              <w:left w:w="380" w:type="dxa"/>
              <w:bottom w:w="40" w:type="dxa"/>
              <w:right w:w="20" w:type="dxa"/>
            </w:tcMar>
            <w:vAlign w:val="center"/>
          </w:tcPr>
          <w:p w14:paraId="442F683C" w14:textId="77777777" w:rsidR="00CC25B5" w:rsidRDefault="00900968">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CCEEFF"/>
            <w:tcMar>
              <w:top w:w="0" w:type="dxa"/>
              <w:left w:w="20" w:type="dxa"/>
              <w:bottom w:w="0" w:type="dxa"/>
              <w:right w:w="20" w:type="dxa"/>
            </w:tcMar>
            <w:vAlign w:val="bottom"/>
          </w:tcPr>
          <w:p w14:paraId="442F683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3E" w14:textId="77777777" w:rsidR="00CC25B5" w:rsidRDefault="00900968">
            <w:pPr>
              <w:jc w:val="right"/>
              <w:textAlignment w:val="center"/>
            </w:pPr>
            <w:r>
              <w:rPr>
                <w:rFonts w:ascii="Times New Roman" w:eastAsia="宋体" w:hAnsi="Times New Roman"/>
                <w:color w:val="000000"/>
                <w:sz w:val="16"/>
                <w:szCs w:val="16"/>
              </w:rPr>
              <w:t>3,655 </w:t>
            </w:r>
          </w:p>
        </w:tc>
        <w:tc>
          <w:tcPr>
            <w:tcW w:w="0" w:type="auto"/>
            <w:shd w:val="clear" w:color="auto" w:fill="CCEEFF"/>
            <w:tcMar>
              <w:top w:w="40" w:type="dxa"/>
              <w:left w:w="0" w:type="dxa"/>
              <w:bottom w:w="40" w:type="dxa"/>
              <w:right w:w="20" w:type="dxa"/>
            </w:tcMar>
            <w:vAlign w:val="center"/>
          </w:tcPr>
          <w:p w14:paraId="442F683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4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41" w14:textId="77777777" w:rsidR="00CC25B5" w:rsidRDefault="00900968">
            <w:pPr>
              <w:jc w:val="right"/>
              <w:textAlignment w:val="center"/>
            </w:pPr>
            <w:r>
              <w:rPr>
                <w:rFonts w:ascii="Times New Roman" w:eastAsia="宋体" w:hAnsi="Times New Roman"/>
                <w:color w:val="000000"/>
                <w:sz w:val="16"/>
                <w:szCs w:val="16"/>
              </w:rPr>
              <w:t>3,646 </w:t>
            </w:r>
          </w:p>
        </w:tc>
        <w:tc>
          <w:tcPr>
            <w:tcW w:w="0" w:type="auto"/>
            <w:shd w:val="clear" w:color="auto" w:fill="CCEEFF"/>
            <w:tcMar>
              <w:top w:w="40" w:type="dxa"/>
              <w:left w:w="0" w:type="dxa"/>
              <w:bottom w:w="40" w:type="dxa"/>
              <w:right w:w="20" w:type="dxa"/>
            </w:tcMar>
            <w:vAlign w:val="center"/>
          </w:tcPr>
          <w:p w14:paraId="442F684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4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44" w14:textId="77777777" w:rsidR="00CC25B5" w:rsidRDefault="00900968">
            <w:pPr>
              <w:jc w:val="right"/>
              <w:textAlignment w:val="center"/>
            </w:pPr>
            <w:r>
              <w:rPr>
                <w:rFonts w:ascii="Times New Roman" w:eastAsia="宋体" w:hAnsi="Times New Roman"/>
                <w:color w:val="000000"/>
                <w:sz w:val="16"/>
                <w:szCs w:val="16"/>
              </w:rPr>
              <w:t>3,197 </w:t>
            </w:r>
          </w:p>
        </w:tc>
        <w:tc>
          <w:tcPr>
            <w:tcW w:w="0" w:type="auto"/>
            <w:shd w:val="clear" w:color="auto" w:fill="CCEEFF"/>
            <w:tcMar>
              <w:top w:w="40" w:type="dxa"/>
              <w:left w:w="0" w:type="dxa"/>
              <w:bottom w:w="40" w:type="dxa"/>
              <w:right w:w="20" w:type="dxa"/>
            </w:tcMar>
            <w:vAlign w:val="center"/>
          </w:tcPr>
          <w:p w14:paraId="442F6845" w14:textId="77777777" w:rsidR="00CC25B5" w:rsidRDefault="00CC25B5">
            <w:pPr>
              <w:jc w:val="right"/>
              <w:rPr>
                <w:rFonts w:ascii="宋体"/>
              </w:rPr>
            </w:pPr>
          </w:p>
        </w:tc>
      </w:tr>
      <w:tr w:rsidR="00CC25B5" w14:paraId="442F6851" w14:textId="77777777">
        <w:trPr>
          <w:jc w:val="center"/>
        </w:trPr>
        <w:tc>
          <w:tcPr>
            <w:tcW w:w="0" w:type="auto"/>
            <w:gridSpan w:val="3"/>
            <w:shd w:val="clear" w:color="auto" w:fill="FFFFFF"/>
            <w:tcMar>
              <w:top w:w="40" w:type="dxa"/>
              <w:left w:w="380" w:type="dxa"/>
              <w:bottom w:w="40" w:type="dxa"/>
              <w:right w:w="20" w:type="dxa"/>
            </w:tcMar>
            <w:vAlign w:val="center"/>
          </w:tcPr>
          <w:p w14:paraId="442F6847" w14:textId="77777777" w:rsidR="00CC25B5" w:rsidRDefault="00900968">
            <w:pPr>
              <w:textAlignment w:val="center"/>
            </w:pPr>
            <w:r>
              <w:rPr>
                <w:rFonts w:ascii="Times New Roman" w:eastAsia="宋体" w:hAnsi="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bottom"/>
          </w:tcPr>
          <w:p w14:paraId="442F684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849" w14:textId="77777777" w:rsidR="00CC25B5" w:rsidRDefault="00900968">
            <w:pPr>
              <w:jc w:val="right"/>
              <w:textAlignment w:val="center"/>
            </w:pPr>
            <w:r>
              <w:rPr>
                <w:rFonts w:ascii="Times New Roman" w:eastAsia="宋体" w:hAnsi="Times New Roman"/>
                <w:color w:val="000000"/>
                <w:sz w:val="16"/>
                <w:szCs w:val="16"/>
              </w:rPr>
              <w:t>84,572 </w:t>
            </w:r>
          </w:p>
        </w:tc>
        <w:tc>
          <w:tcPr>
            <w:tcW w:w="0" w:type="auto"/>
            <w:shd w:val="clear" w:color="auto" w:fill="FFFFFF"/>
            <w:tcMar>
              <w:top w:w="40" w:type="dxa"/>
              <w:left w:w="0" w:type="dxa"/>
              <w:bottom w:w="40" w:type="dxa"/>
              <w:right w:w="20" w:type="dxa"/>
            </w:tcMar>
            <w:vAlign w:val="center"/>
          </w:tcPr>
          <w:p w14:paraId="442F684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4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84C" w14:textId="77777777" w:rsidR="00CC25B5" w:rsidRDefault="00900968">
            <w:pPr>
              <w:jc w:val="right"/>
              <w:textAlignment w:val="center"/>
            </w:pPr>
            <w:r>
              <w:rPr>
                <w:rFonts w:ascii="Times New Roman" w:eastAsia="宋体" w:hAnsi="Times New Roman"/>
                <w:color w:val="000000"/>
                <w:sz w:val="16"/>
                <w:szCs w:val="16"/>
              </w:rPr>
              <w:t>88,763 </w:t>
            </w:r>
          </w:p>
        </w:tc>
        <w:tc>
          <w:tcPr>
            <w:tcW w:w="0" w:type="auto"/>
            <w:shd w:val="clear" w:color="auto" w:fill="FFFFFF"/>
            <w:tcMar>
              <w:top w:w="40" w:type="dxa"/>
              <w:left w:w="0" w:type="dxa"/>
              <w:bottom w:w="40" w:type="dxa"/>
              <w:right w:w="20" w:type="dxa"/>
            </w:tcMar>
            <w:vAlign w:val="center"/>
          </w:tcPr>
          <w:p w14:paraId="442F684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4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84F" w14:textId="77777777" w:rsidR="00CC25B5" w:rsidRDefault="00900968">
            <w:pPr>
              <w:jc w:val="right"/>
              <w:textAlignment w:val="center"/>
            </w:pPr>
            <w:r>
              <w:rPr>
                <w:rFonts w:ascii="Times New Roman" w:eastAsia="宋体" w:hAnsi="Times New Roman"/>
                <w:color w:val="000000"/>
                <w:sz w:val="16"/>
                <w:szCs w:val="16"/>
              </w:rPr>
              <w:t>87,614 </w:t>
            </w:r>
          </w:p>
        </w:tc>
        <w:tc>
          <w:tcPr>
            <w:tcW w:w="0" w:type="auto"/>
            <w:shd w:val="clear" w:color="auto" w:fill="FFFFFF"/>
            <w:tcMar>
              <w:top w:w="40" w:type="dxa"/>
              <w:left w:w="0" w:type="dxa"/>
              <w:bottom w:w="40" w:type="dxa"/>
              <w:right w:w="20" w:type="dxa"/>
            </w:tcMar>
            <w:vAlign w:val="center"/>
          </w:tcPr>
          <w:p w14:paraId="442F6850" w14:textId="77777777" w:rsidR="00CC25B5" w:rsidRDefault="00CC25B5">
            <w:pPr>
              <w:jc w:val="right"/>
              <w:rPr>
                <w:rFonts w:ascii="宋体"/>
              </w:rPr>
            </w:pPr>
          </w:p>
        </w:tc>
      </w:tr>
      <w:tr w:rsidR="00CC25B5" w14:paraId="442F685C" w14:textId="77777777">
        <w:trPr>
          <w:jc w:val="center"/>
        </w:trPr>
        <w:tc>
          <w:tcPr>
            <w:tcW w:w="0" w:type="auto"/>
            <w:gridSpan w:val="3"/>
            <w:shd w:val="clear" w:color="auto" w:fill="CCEEFF"/>
            <w:tcMar>
              <w:top w:w="40" w:type="dxa"/>
              <w:left w:w="380" w:type="dxa"/>
              <w:bottom w:w="40" w:type="dxa"/>
              <w:right w:w="20" w:type="dxa"/>
            </w:tcMar>
            <w:vAlign w:val="center"/>
          </w:tcPr>
          <w:p w14:paraId="442F6852" w14:textId="77777777" w:rsidR="00CC25B5" w:rsidRDefault="00900968">
            <w:pPr>
              <w:textAlignment w:val="center"/>
            </w:pPr>
            <w:r>
              <w:rPr>
                <w:rFonts w:ascii="Times New Roman" w:eastAsia="宋体" w:hAnsi="Times New Roman"/>
                <w:color w:val="000000"/>
                <w:sz w:val="16"/>
                <w:szCs w:val="16"/>
              </w:rPr>
              <w:t>Accumulated other comprehensive loss</w:t>
            </w:r>
          </w:p>
        </w:tc>
        <w:tc>
          <w:tcPr>
            <w:tcW w:w="0" w:type="auto"/>
            <w:gridSpan w:val="3"/>
            <w:shd w:val="clear" w:color="auto" w:fill="CCEEFF"/>
            <w:tcMar>
              <w:top w:w="0" w:type="dxa"/>
              <w:left w:w="20" w:type="dxa"/>
              <w:bottom w:w="0" w:type="dxa"/>
              <w:right w:w="20" w:type="dxa"/>
            </w:tcMar>
            <w:vAlign w:val="bottom"/>
          </w:tcPr>
          <w:p w14:paraId="442F685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54" w14:textId="77777777" w:rsidR="00CC25B5" w:rsidRDefault="00900968">
            <w:pPr>
              <w:jc w:val="right"/>
              <w:textAlignment w:val="center"/>
            </w:pPr>
            <w:r>
              <w:rPr>
                <w:rFonts w:ascii="Times New Roman" w:eastAsia="宋体" w:hAnsi="Times New Roman"/>
                <w:color w:val="000000"/>
                <w:sz w:val="16"/>
                <w:szCs w:val="16"/>
              </w:rPr>
              <w:t>(7,976)</w:t>
            </w:r>
          </w:p>
        </w:tc>
        <w:tc>
          <w:tcPr>
            <w:tcW w:w="0" w:type="auto"/>
            <w:shd w:val="clear" w:color="auto" w:fill="CCEEFF"/>
            <w:tcMar>
              <w:top w:w="40" w:type="dxa"/>
              <w:left w:w="0" w:type="dxa"/>
              <w:bottom w:w="40" w:type="dxa"/>
              <w:right w:w="20" w:type="dxa"/>
            </w:tcMar>
            <w:vAlign w:val="center"/>
          </w:tcPr>
          <w:p w14:paraId="442F685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5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57" w14:textId="77777777" w:rsidR="00CC25B5" w:rsidRDefault="00900968">
            <w:pPr>
              <w:jc w:val="right"/>
              <w:textAlignment w:val="center"/>
            </w:pPr>
            <w:r>
              <w:rPr>
                <w:rFonts w:ascii="Times New Roman" w:eastAsia="宋体" w:hAnsi="Times New Roman"/>
                <w:color w:val="000000"/>
                <w:sz w:val="16"/>
                <w:szCs w:val="16"/>
              </w:rPr>
              <w:t>(11,766)</w:t>
            </w:r>
          </w:p>
        </w:tc>
        <w:tc>
          <w:tcPr>
            <w:tcW w:w="0" w:type="auto"/>
            <w:shd w:val="clear" w:color="auto" w:fill="CCEEFF"/>
            <w:tcMar>
              <w:top w:w="40" w:type="dxa"/>
              <w:left w:w="0" w:type="dxa"/>
              <w:bottom w:w="40" w:type="dxa"/>
              <w:right w:w="20" w:type="dxa"/>
            </w:tcMar>
            <w:vAlign w:val="center"/>
          </w:tcPr>
          <w:p w14:paraId="442F685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5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5A" w14:textId="77777777" w:rsidR="00CC25B5" w:rsidRDefault="00900968">
            <w:pPr>
              <w:jc w:val="right"/>
              <w:textAlignment w:val="center"/>
            </w:pPr>
            <w:r>
              <w:rPr>
                <w:rFonts w:ascii="Times New Roman" w:eastAsia="宋体" w:hAnsi="Times New Roman"/>
                <w:color w:val="000000"/>
                <w:sz w:val="16"/>
                <w:szCs w:val="16"/>
              </w:rPr>
              <w:t>(15,784)</w:t>
            </w:r>
          </w:p>
        </w:tc>
        <w:tc>
          <w:tcPr>
            <w:tcW w:w="0" w:type="auto"/>
            <w:shd w:val="clear" w:color="auto" w:fill="CCEEFF"/>
            <w:tcMar>
              <w:top w:w="40" w:type="dxa"/>
              <w:left w:w="0" w:type="dxa"/>
              <w:bottom w:w="40" w:type="dxa"/>
              <w:right w:w="20" w:type="dxa"/>
            </w:tcMar>
            <w:vAlign w:val="center"/>
          </w:tcPr>
          <w:p w14:paraId="442F685B" w14:textId="77777777" w:rsidR="00CC25B5" w:rsidRDefault="00CC25B5">
            <w:pPr>
              <w:jc w:val="right"/>
              <w:rPr>
                <w:rFonts w:ascii="宋体"/>
              </w:rPr>
            </w:pPr>
          </w:p>
        </w:tc>
      </w:tr>
      <w:tr w:rsidR="00CC25B5" w14:paraId="442F6867" w14:textId="77777777">
        <w:trPr>
          <w:jc w:val="center"/>
        </w:trPr>
        <w:tc>
          <w:tcPr>
            <w:tcW w:w="0" w:type="auto"/>
            <w:gridSpan w:val="3"/>
            <w:shd w:val="clear" w:color="auto" w:fill="FFFFFF"/>
            <w:tcMar>
              <w:top w:w="40" w:type="dxa"/>
              <w:left w:w="740" w:type="dxa"/>
              <w:bottom w:w="40" w:type="dxa"/>
              <w:right w:w="20" w:type="dxa"/>
            </w:tcMar>
            <w:vAlign w:val="center"/>
          </w:tcPr>
          <w:p w14:paraId="442F685D" w14:textId="77777777" w:rsidR="00CC25B5" w:rsidRDefault="00900968">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FFFFFF"/>
            <w:tcMar>
              <w:top w:w="0" w:type="dxa"/>
              <w:left w:w="20" w:type="dxa"/>
              <w:bottom w:w="0" w:type="dxa"/>
              <w:right w:w="20" w:type="dxa"/>
            </w:tcMar>
            <w:vAlign w:val="bottom"/>
          </w:tcPr>
          <w:p w14:paraId="442F685E"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85F" w14:textId="77777777" w:rsidR="00CC25B5" w:rsidRDefault="00900968">
            <w:pPr>
              <w:jc w:val="right"/>
              <w:textAlignment w:val="center"/>
            </w:pPr>
            <w:r>
              <w:rPr>
                <w:rFonts w:ascii="Times New Roman" w:eastAsia="宋体" w:hAnsi="Times New Roman"/>
                <w:color w:val="000000"/>
                <w:sz w:val="16"/>
                <w:szCs w:val="16"/>
              </w:rPr>
              <w:t>80,529 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86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61"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862" w14:textId="77777777" w:rsidR="00CC25B5" w:rsidRDefault="00900968">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86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64"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865" w14:textId="77777777" w:rsidR="00CC25B5" w:rsidRDefault="00900968">
            <w:pPr>
              <w:jc w:val="right"/>
              <w:textAlignment w:val="center"/>
            </w:pPr>
            <w:r>
              <w:rPr>
                <w:rFonts w:ascii="Times New Roman" w:eastAsia="宋体" w:hAnsi="Times New Roman"/>
                <w:color w:val="000000"/>
                <w:sz w:val="16"/>
                <w:szCs w:val="16"/>
              </w:rPr>
              <w:t>75,310 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866" w14:textId="77777777" w:rsidR="00CC25B5" w:rsidRDefault="00CC25B5">
            <w:pPr>
              <w:jc w:val="right"/>
              <w:rPr>
                <w:rFonts w:ascii="宋体"/>
              </w:rPr>
            </w:pPr>
          </w:p>
        </w:tc>
      </w:tr>
      <w:tr w:rsidR="00CC25B5" w14:paraId="442F6872" w14:textId="77777777">
        <w:trPr>
          <w:jc w:val="center"/>
        </w:trPr>
        <w:tc>
          <w:tcPr>
            <w:tcW w:w="0" w:type="auto"/>
            <w:gridSpan w:val="3"/>
            <w:shd w:val="clear" w:color="auto" w:fill="CCEEFF"/>
            <w:tcMar>
              <w:top w:w="40" w:type="dxa"/>
              <w:left w:w="380" w:type="dxa"/>
              <w:bottom w:w="40" w:type="dxa"/>
              <w:right w:w="20" w:type="dxa"/>
            </w:tcMar>
            <w:vAlign w:val="center"/>
          </w:tcPr>
          <w:p w14:paraId="442F6868" w14:textId="77777777" w:rsidR="00CC25B5" w:rsidRDefault="00900968">
            <w:pPr>
              <w:textAlignment w:val="center"/>
            </w:pPr>
            <w:r>
              <w:rPr>
                <w:rFonts w:ascii="Times New Roman" w:eastAsia="宋体" w:hAnsi="Times New Roman"/>
                <w:color w:val="000000"/>
                <w:sz w:val="16"/>
                <w:szCs w:val="16"/>
              </w:rPr>
              <w:t>Noncontrolling interest</w:t>
            </w:r>
          </w:p>
        </w:tc>
        <w:tc>
          <w:tcPr>
            <w:tcW w:w="0" w:type="auto"/>
            <w:gridSpan w:val="3"/>
            <w:shd w:val="clear" w:color="auto" w:fill="CCEEFF"/>
            <w:tcMar>
              <w:top w:w="0" w:type="dxa"/>
              <w:left w:w="20" w:type="dxa"/>
              <w:bottom w:w="0" w:type="dxa"/>
              <w:right w:w="20" w:type="dxa"/>
            </w:tcMar>
            <w:vAlign w:val="bottom"/>
          </w:tcPr>
          <w:p w14:paraId="442F686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6A" w14:textId="77777777" w:rsidR="00CC25B5" w:rsidRDefault="00900968">
            <w:pPr>
              <w:jc w:val="right"/>
              <w:textAlignment w:val="center"/>
            </w:pPr>
            <w:r>
              <w:rPr>
                <w:rFonts w:ascii="Times New Roman" w:eastAsia="宋体" w:hAnsi="Times New Roman"/>
                <w:color w:val="000000"/>
                <w:sz w:val="16"/>
                <w:szCs w:val="16"/>
              </w:rPr>
              <w:t>6,598 </w:t>
            </w:r>
          </w:p>
        </w:tc>
        <w:tc>
          <w:tcPr>
            <w:tcW w:w="0" w:type="auto"/>
            <w:shd w:val="clear" w:color="auto" w:fill="CCEEFF"/>
            <w:tcMar>
              <w:top w:w="40" w:type="dxa"/>
              <w:left w:w="0" w:type="dxa"/>
              <w:bottom w:w="40" w:type="dxa"/>
              <w:right w:w="20" w:type="dxa"/>
            </w:tcMar>
            <w:vAlign w:val="center"/>
          </w:tcPr>
          <w:p w14:paraId="442F686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6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6D" w14:textId="77777777" w:rsidR="00CC25B5" w:rsidRDefault="00900968">
            <w:pPr>
              <w:jc w:val="right"/>
              <w:textAlignment w:val="center"/>
            </w:pPr>
            <w:r>
              <w:rPr>
                <w:rFonts w:ascii="Times New Roman" w:eastAsia="宋体" w:hAnsi="Times New Roman"/>
                <w:color w:val="000000"/>
                <w:sz w:val="16"/>
                <w:szCs w:val="16"/>
              </w:rPr>
              <w:t>6,606 </w:t>
            </w:r>
          </w:p>
        </w:tc>
        <w:tc>
          <w:tcPr>
            <w:tcW w:w="0" w:type="auto"/>
            <w:shd w:val="clear" w:color="auto" w:fill="CCEEFF"/>
            <w:tcMar>
              <w:top w:w="40" w:type="dxa"/>
              <w:left w:w="0" w:type="dxa"/>
              <w:bottom w:w="40" w:type="dxa"/>
              <w:right w:w="20" w:type="dxa"/>
            </w:tcMar>
            <w:vAlign w:val="center"/>
          </w:tcPr>
          <w:p w14:paraId="442F686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6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870" w14:textId="77777777" w:rsidR="00CC25B5" w:rsidRDefault="00900968">
            <w:pPr>
              <w:jc w:val="right"/>
              <w:textAlignment w:val="center"/>
            </w:pPr>
            <w:r>
              <w:rPr>
                <w:rFonts w:ascii="Times New Roman" w:eastAsia="宋体" w:hAnsi="Times New Roman"/>
                <w:color w:val="000000"/>
                <w:sz w:val="16"/>
                <w:szCs w:val="16"/>
              </w:rPr>
              <w:t>5,887 </w:t>
            </w:r>
          </w:p>
        </w:tc>
        <w:tc>
          <w:tcPr>
            <w:tcW w:w="0" w:type="auto"/>
            <w:shd w:val="clear" w:color="auto" w:fill="CCEEFF"/>
            <w:tcMar>
              <w:top w:w="40" w:type="dxa"/>
              <w:left w:w="0" w:type="dxa"/>
              <w:bottom w:w="40" w:type="dxa"/>
              <w:right w:w="20" w:type="dxa"/>
            </w:tcMar>
            <w:vAlign w:val="center"/>
          </w:tcPr>
          <w:p w14:paraId="442F6871" w14:textId="77777777" w:rsidR="00CC25B5" w:rsidRDefault="00CC25B5">
            <w:pPr>
              <w:jc w:val="right"/>
              <w:rPr>
                <w:rFonts w:ascii="宋体"/>
              </w:rPr>
            </w:pPr>
          </w:p>
        </w:tc>
      </w:tr>
      <w:tr w:rsidR="00CC25B5" w14:paraId="442F687D" w14:textId="77777777">
        <w:trPr>
          <w:jc w:val="center"/>
        </w:trPr>
        <w:tc>
          <w:tcPr>
            <w:tcW w:w="0" w:type="auto"/>
            <w:gridSpan w:val="3"/>
            <w:shd w:val="clear" w:color="auto" w:fill="FFFFFF"/>
            <w:tcMar>
              <w:top w:w="40" w:type="dxa"/>
              <w:left w:w="740" w:type="dxa"/>
              <w:bottom w:w="40" w:type="dxa"/>
              <w:right w:w="20" w:type="dxa"/>
            </w:tcMar>
            <w:vAlign w:val="center"/>
          </w:tcPr>
          <w:p w14:paraId="442F6873" w14:textId="77777777" w:rsidR="00CC25B5" w:rsidRDefault="00900968">
            <w:pPr>
              <w:textAlignment w:val="center"/>
            </w:pPr>
            <w:r>
              <w:rPr>
                <w:rFonts w:ascii="Times New Roman" w:eastAsia="宋体" w:hAnsi="Times New Roman"/>
                <w:color w:val="000000"/>
                <w:sz w:val="16"/>
                <w:szCs w:val="16"/>
              </w:rPr>
              <w:t>Total equity</w:t>
            </w:r>
          </w:p>
        </w:tc>
        <w:tc>
          <w:tcPr>
            <w:tcW w:w="0" w:type="auto"/>
            <w:gridSpan w:val="3"/>
            <w:shd w:val="clear" w:color="auto" w:fill="FFFFFF"/>
            <w:tcMar>
              <w:top w:w="0" w:type="dxa"/>
              <w:left w:w="20" w:type="dxa"/>
              <w:bottom w:w="0" w:type="dxa"/>
              <w:right w:w="20" w:type="dxa"/>
            </w:tcMar>
            <w:vAlign w:val="bottom"/>
          </w:tcPr>
          <w:p w14:paraId="442F6874"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875" w14:textId="77777777" w:rsidR="00CC25B5" w:rsidRDefault="00900968">
            <w:pPr>
              <w:jc w:val="right"/>
              <w:textAlignment w:val="center"/>
            </w:pPr>
            <w:r>
              <w:rPr>
                <w:rFonts w:ascii="Times New Roman" w:eastAsia="宋体" w:hAnsi="Times New Roman"/>
                <w:color w:val="000000"/>
                <w:sz w:val="16"/>
                <w:szCs w:val="16"/>
              </w:rPr>
              <w:t>87,127 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87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77"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878" w14:textId="77777777" w:rsidR="00CC25B5" w:rsidRDefault="00900968">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87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87A"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87B" w14:textId="77777777" w:rsidR="00CC25B5" w:rsidRDefault="00900968">
            <w:pPr>
              <w:jc w:val="right"/>
              <w:textAlignment w:val="center"/>
            </w:pPr>
            <w:r>
              <w:rPr>
                <w:rFonts w:ascii="Times New Roman" w:eastAsia="宋体" w:hAnsi="Times New Roman"/>
                <w:color w:val="000000"/>
                <w:sz w:val="16"/>
                <w:szCs w:val="16"/>
              </w:rPr>
              <w:t>81,197 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87C" w14:textId="77777777" w:rsidR="00CC25B5" w:rsidRDefault="00CC25B5">
            <w:pPr>
              <w:jc w:val="right"/>
              <w:rPr>
                <w:rFonts w:ascii="宋体"/>
              </w:rPr>
            </w:pPr>
          </w:p>
        </w:tc>
      </w:tr>
      <w:tr w:rsidR="00CC25B5" w14:paraId="442F688B" w14:textId="77777777">
        <w:trPr>
          <w:jc w:val="center"/>
        </w:trPr>
        <w:tc>
          <w:tcPr>
            <w:tcW w:w="0" w:type="auto"/>
            <w:gridSpan w:val="3"/>
            <w:shd w:val="clear" w:color="auto" w:fill="CCEEFF"/>
            <w:tcMar>
              <w:top w:w="40" w:type="dxa"/>
              <w:left w:w="20" w:type="dxa"/>
              <w:bottom w:w="40" w:type="dxa"/>
              <w:right w:w="20" w:type="dxa"/>
            </w:tcMar>
            <w:vAlign w:val="center"/>
          </w:tcPr>
          <w:p w14:paraId="442F687E" w14:textId="77777777" w:rsidR="00CC25B5" w:rsidRDefault="00900968">
            <w:pPr>
              <w:textAlignment w:val="center"/>
            </w:pPr>
            <w:r>
              <w:rPr>
                <w:rFonts w:ascii="Times New Roman" w:eastAsia="宋体" w:hAnsi="Times New Roman"/>
                <w:b/>
                <w:bCs/>
                <w:color w:val="000000"/>
                <w:sz w:val="16"/>
                <w:szCs w:val="16"/>
              </w:rPr>
              <w:t>Total liabilities and equity</w:t>
            </w:r>
          </w:p>
        </w:tc>
        <w:tc>
          <w:tcPr>
            <w:tcW w:w="0" w:type="auto"/>
            <w:gridSpan w:val="3"/>
            <w:shd w:val="clear" w:color="auto" w:fill="CCEEFF"/>
            <w:tcMar>
              <w:top w:w="0" w:type="dxa"/>
              <w:left w:w="20" w:type="dxa"/>
              <w:bottom w:w="0" w:type="dxa"/>
              <w:right w:w="20" w:type="dxa"/>
            </w:tcMar>
            <w:vAlign w:val="bottom"/>
          </w:tcPr>
          <w:p w14:paraId="442F687F"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88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6881" w14:textId="77777777" w:rsidR="00CC25B5" w:rsidRDefault="00900968">
            <w:pPr>
              <w:jc w:val="right"/>
              <w:textAlignment w:val="center"/>
            </w:pPr>
            <w:r>
              <w:rPr>
                <w:rFonts w:ascii="Times New Roman" w:eastAsia="宋体" w:hAnsi="Times New Roman"/>
                <w:color w:val="000000"/>
                <w:sz w:val="16"/>
                <w:szCs w:val="16"/>
              </w:rPr>
              <w:t>238,552 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88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83"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88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6885" w14:textId="77777777" w:rsidR="00CC25B5" w:rsidRDefault="00900968">
            <w:pPr>
              <w:jc w:val="right"/>
              <w:textAlignment w:val="center"/>
            </w:pPr>
            <w:r>
              <w:rPr>
                <w:rFonts w:ascii="Times New Roman" w:eastAsia="宋体" w:hAnsi="Times New Roman"/>
                <w:color w:val="000000"/>
                <w:sz w:val="16"/>
                <w:szCs w:val="16"/>
              </w:rPr>
              <w:t>252,496 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88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887"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88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6889" w14:textId="77777777" w:rsidR="00CC25B5" w:rsidRDefault="00900968">
            <w:pPr>
              <w:jc w:val="right"/>
              <w:textAlignment w:val="center"/>
            </w:pPr>
            <w:r>
              <w:rPr>
                <w:rFonts w:ascii="Times New Roman" w:eastAsia="宋体" w:hAnsi="Times New Roman"/>
                <w:color w:val="000000"/>
                <w:sz w:val="16"/>
                <w:szCs w:val="16"/>
              </w:rPr>
              <w:t>237,382 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88A" w14:textId="77777777" w:rsidR="00CC25B5" w:rsidRDefault="00CC25B5">
            <w:pPr>
              <w:jc w:val="right"/>
              <w:rPr>
                <w:rFonts w:ascii="宋体"/>
              </w:rPr>
            </w:pPr>
          </w:p>
        </w:tc>
      </w:tr>
    </w:tbl>
    <w:p w14:paraId="442F688C" w14:textId="77777777" w:rsidR="00CC25B5" w:rsidRDefault="00900968">
      <w:pPr>
        <w:spacing w:before="80"/>
      </w:pPr>
      <w:r>
        <w:rPr>
          <w:rFonts w:ascii="Times New Roman" w:eastAsia="宋体" w:hAnsi="Times New Roman"/>
          <w:i/>
          <w:iCs/>
          <w:color w:val="000000"/>
          <w:sz w:val="16"/>
          <w:szCs w:val="16"/>
        </w:rPr>
        <w:t xml:space="preserve">See accompanying notes. </w:t>
      </w:r>
    </w:p>
    <w:p w14:paraId="442F688D" w14:textId="77777777" w:rsidR="00CC25B5" w:rsidRDefault="00900968">
      <w:pPr>
        <w:jc w:val="center"/>
      </w:pPr>
      <w:r>
        <w:rPr>
          <w:rFonts w:ascii="Times New Roman" w:eastAsia="宋体" w:hAnsi="Times New Roman"/>
          <w:color w:val="000000"/>
          <w:sz w:val="20"/>
          <w:szCs w:val="20"/>
        </w:rPr>
        <w:t>5</w:t>
      </w:r>
    </w:p>
    <w:p w14:paraId="442F688E" w14:textId="77777777" w:rsidR="00CC25B5" w:rsidRDefault="00900968">
      <w:r>
        <w:pict w14:anchorId="442F85CE">
          <v:rect id="_x0000_i1029" style="width:415.3pt;height:1.5pt" o:hralign="center" o:hrstd="t" o:hr="t" fillcolor="#a0a0a0" stroked="f"/>
        </w:pict>
      </w:r>
    </w:p>
    <w:p w14:paraId="442F688F" w14:textId="77777777" w:rsidR="00CC25B5" w:rsidRDefault="00900968">
      <w:hyperlink r:id="rId44" w:anchor="ie1710166881948a18c44f48eaa2dcf00_7" w:history="1">
        <w:r>
          <w:rPr>
            <w:rStyle w:val="a5"/>
            <w:rFonts w:ascii="Times New Roman" w:eastAsia="宋体" w:hAnsi="Times New Roman"/>
            <w:sz w:val="20"/>
            <w:szCs w:val="20"/>
          </w:rPr>
          <w:t>Table of Contents</w:t>
        </w:r>
      </w:hyperlink>
    </w:p>
    <w:p w14:paraId="442F6890" w14:textId="77777777" w:rsidR="00CC25B5" w:rsidRDefault="00900968">
      <w:pPr>
        <w:jc w:val="center"/>
      </w:pPr>
      <w:r>
        <w:rPr>
          <w:rFonts w:ascii="Times New Roman" w:eastAsia="宋体" w:hAnsi="Times New Roman"/>
          <w:b/>
          <w:bCs/>
          <w:color w:val="000000"/>
          <w:sz w:val="20"/>
          <w:szCs w:val="20"/>
        </w:rPr>
        <w:t>Walmart Inc.</w:t>
      </w:r>
    </w:p>
    <w:p w14:paraId="442F6891" w14:textId="77777777" w:rsidR="00CC25B5" w:rsidRDefault="00900968">
      <w:pPr>
        <w:spacing w:before="60"/>
        <w:jc w:val="center"/>
      </w:pPr>
      <w:r>
        <w:rPr>
          <w:rFonts w:ascii="Times New Roman" w:eastAsia="宋体" w:hAnsi="Times New Roman"/>
          <w:b/>
          <w:bCs/>
          <w:color w:val="000000"/>
          <w:sz w:val="20"/>
          <w:szCs w:val="20"/>
        </w:rPr>
        <w:t>Condensed Consolidated Statements of Shareholders' Equity</w:t>
      </w:r>
    </w:p>
    <w:p w14:paraId="442F6892" w14:textId="77777777" w:rsidR="00CC25B5" w:rsidRDefault="00900968">
      <w:pPr>
        <w:spacing w:before="60"/>
        <w:jc w:val="center"/>
      </w:pPr>
      <w:r>
        <w:rPr>
          <w:rFonts w:ascii="Times New Roman" w:eastAsia="宋体" w:hAnsi="Times New Roman"/>
          <w:b/>
          <w:bCs/>
          <w:color w:val="000000"/>
          <w:sz w:val="20"/>
          <w:szCs w:val="20"/>
        </w:rPr>
        <w:t>(Unaudited)</w:t>
      </w:r>
    </w:p>
    <w:tbl>
      <w:tblPr>
        <w:tblW w:w="4980" w:type="pct"/>
        <w:tblCellMar>
          <w:top w:w="15" w:type="dxa"/>
          <w:left w:w="15" w:type="dxa"/>
          <w:bottom w:w="15" w:type="dxa"/>
          <w:right w:w="15" w:type="dxa"/>
        </w:tblCellMar>
        <w:tblLook w:val="04A0" w:firstRow="1" w:lastRow="0" w:firstColumn="1" w:lastColumn="0" w:noHBand="0" w:noVBand="1"/>
      </w:tblPr>
      <w:tblGrid>
        <w:gridCol w:w="39"/>
        <w:gridCol w:w="968"/>
        <w:gridCol w:w="38"/>
        <w:gridCol w:w="84"/>
        <w:gridCol w:w="407"/>
        <w:gridCol w:w="37"/>
        <w:gridCol w:w="37"/>
        <w:gridCol w:w="37"/>
        <w:gridCol w:w="36"/>
        <w:gridCol w:w="100"/>
        <w:gridCol w:w="489"/>
        <w:gridCol w:w="36"/>
        <w:gridCol w:w="36"/>
        <w:gridCol w:w="36"/>
        <w:gridCol w:w="36"/>
        <w:gridCol w:w="101"/>
        <w:gridCol w:w="622"/>
        <w:gridCol w:w="36"/>
        <w:gridCol w:w="36"/>
        <w:gridCol w:w="36"/>
        <w:gridCol w:w="36"/>
        <w:gridCol w:w="100"/>
        <w:gridCol w:w="558"/>
        <w:gridCol w:w="36"/>
        <w:gridCol w:w="36"/>
        <w:gridCol w:w="36"/>
        <w:gridCol w:w="36"/>
        <w:gridCol w:w="137"/>
        <w:gridCol w:w="946"/>
        <w:gridCol w:w="36"/>
        <w:gridCol w:w="36"/>
        <w:gridCol w:w="36"/>
        <w:gridCol w:w="36"/>
        <w:gridCol w:w="123"/>
        <w:gridCol w:w="847"/>
        <w:gridCol w:w="36"/>
        <w:gridCol w:w="36"/>
        <w:gridCol w:w="36"/>
        <w:gridCol w:w="36"/>
        <w:gridCol w:w="133"/>
        <w:gridCol w:w="915"/>
        <w:gridCol w:w="36"/>
        <w:gridCol w:w="36"/>
        <w:gridCol w:w="36"/>
        <w:gridCol w:w="36"/>
        <w:gridCol w:w="99"/>
        <w:gridCol w:w="475"/>
        <w:gridCol w:w="36"/>
        <w:gridCol w:w="36"/>
        <w:gridCol w:w="36"/>
        <w:gridCol w:w="36"/>
      </w:tblGrid>
      <w:tr w:rsidR="00CC25B5" w14:paraId="442F68C6" w14:textId="77777777">
        <w:tc>
          <w:tcPr>
            <w:tcW w:w="50" w:type="pct"/>
            <w:shd w:val="clear" w:color="auto" w:fill="auto"/>
            <w:vAlign w:val="bottom"/>
          </w:tcPr>
          <w:p w14:paraId="442F6893" w14:textId="77777777" w:rsidR="00CC25B5" w:rsidRDefault="00CC25B5">
            <w:pPr>
              <w:rPr>
                <w:rFonts w:ascii="宋体"/>
              </w:rPr>
            </w:pPr>
          </w:p>
        </w:tc>
        <w:tc>
          <w:tcPr>
            <w:tcW w:w="1739" w:type="pct"/>
            <w:shd w:val="clear" w:color="auto" w:fill="auto"/>
            <w:vAlign w:val="bottom"/>
          </w:tcPr>
          <w:p w14:paraId="442F6894" w14:textId="77777777" w:rsidR="00CC25B5" w:rsidRDefault="00CC25B5">
            <w:pPr>
              <w:rPr>
                <w:rFonts w:ascii="宋体"/>
              </w:rPr>
            </w:pPr>
          </w:p>
        </w:tc>
        <w:tc>
          <w:tcPr>
            <w:tcW w:w="5" w:type="pct"/>
            <w:shd w:val="clear" w:color="auto" w:fill="auto"/>
            <w:vAlign w:val="bottom"/>
          </w:tcPr>
          <w:p w14:paraId="442F6895" w14:textId="77777777" w:rsidR="00CC25B5" w:rsidRDefault="00CC25B5">
            <w:pPr>
              <w:rPr>
                <w:rFonts w:ascii="宋体"/>
              </w:rPr>
            </w:pPr>
          </w:p>
        </w:tc>
        <w:tc>
          <w:tcPr>
            <w:tcW w:w="50" w:type="pct"/>
            <w:shd w:val="clear" w:color="auto" w:fill="auto"/>
            <w:vAlign w:val="bottom"/>
          </w:tcPr>
          <w:p w14:paraId="442F6896" w14:textId="77777777" w:rsidR="00CC25B5" w:rsidRDefault="00CC25B5">
            <w:pPr>
              <w:rPr>
                <w:rFonts w:ascii="宋体"/>
              </w:rPr>
            </w:pPr>
          </w:p>
        </w:tc>
        <w:tc>
          <w:tcPr>
            <w:tcW w:w="247" w:type="pct"/>
            <w:shd w:val="clear" w:color="auto" w:fill="auto"/>
            <w:vAlign w:val="bottom"/>
          </w:tcPr>
          <w:p w14:paraId="442F6897" w14:textId="77777777" w:rsidR="00CC25B5" w:rsidRDefault="00CC25B5">
            <w:pPr>
              <w:rPr>
                <w:rFonts w:ascii="宋体"/>
              </w:rPr>
            </w:pPr>
          </w:p>
        </w:tc>
        <w:tc>
          <w:tcPr>
            <w:tcW w:w="5" w:type="pct"/>
            <w:shd w:val="clear" w:color="auto" w:fill="auto"/>
            <w:vAlign w:val="bottom"/>
          </w:tcPr>
          <w:p w14:paraId="442F6898" w14:textId="77777777" w:rsidR="00CC25B5" w:rsidRDefault="00CC25B5">
            <w:pPr>
              <w:rPr>
                <w:rFonts w:ascii="宋体"/>
              </w:rPr>
            </w:pPr>
          </w:p>
        </w:tc>
        <w:tc>
          <w:tcPr>
            <w:tcW w:w="5" w:type="pct"/>
            <w:shd w:val="clear" w:color="auto" w:fill="auto"/>
            <w:vAlign w:val="bottom"/>
          </w:tcPr>
          <w:p w14:paraId="442F6899" w14:textId="77777777" w:rsidR="00CC25B5" w:rsidRDefault="00CC25B5">
            <w:pPr>
              <w:rPr>
                <w:rFonts w:ascii="宋体"/>
              </w:rPr>
            </w:pPr>
          </w:p>
        </w:tc>
        <w:tc>
          <w:tcPr>
            <w:tcW w:w="15" w:type="pct"/>
            <w:shd w:val="clear" w:color="auto" w:fill="auto"/>
            <w:vAlign w:val="bottom"/>
          </w:tcPr>
          <w:p w14:paraId="442F689A" w14:textId="77777777" w:rsidR="00CC25B5" w:rsidRDefault="00CC25B5">
            <w:pPr>
              <w:rPr>
                <w:rFonts w:ascii="宋体"/>
              </w:rPr>
            </w:pPr>
          </w:p>
        </w:tc>
        <w:tc>
          <w:tcPr>
            <w:tcW w:w="5" w:type="pct"/>
            <w:shd w:val="clear" w:color="auto" w:fill="auto"/>
            <w:vAlign w:val="bottom"/>
          </w:tcPr>
          <w:p w14:paraId="442F689B" w14:textId="77777777" w:rsidR="00CC25B5" w:rsidRDefault="00CC25B5">
            <w:pPr>
              <w:rPr>
                <w:rFonts w:ascii="宋体"/>
              </w:rPr>
            </w:pPr>
          </w:p>
        </w:tc>
        <w:tc>
          <w:tcPr>
            <w:tcW w:w="50" w:type="pct"/>
            <w:shd w:val="clear" w:color="auto" w:fill="auto"/>
            <w:vAlign w:val="bottom"/>
          </w:tcPr>
          <w:p w14:paraId="442F689C" w14:textId="77777777" w:rsidR="00CC25B5" w:rsidRDefault="00CC25B5">
            <w:pPr>
              <w:rPr>
                <w:rFonts w:ascii="宋体"/>
              </w:rPr>
            </w:pPr>
          </w:p>
        </w:tc>
        <w:tc>
          <w:tcPr>
            <w:tcW w:w="252" w:type="pct"/>
            <w:shd w:val="clear" w:color="auto" w:fill="auto"/>
            <w:vAlign w:val="bottom"/>
          </w:tcPr>
          <w:p w14:paraId="442F689D" w14:textId="77777777" w:rsidR="00CC25B5" w:rsidRDefault="00CC25B5">
            <w:pPr>
              <w:rPr>
                <w:rFonts w:ascii="宋体"/>
              </w:rPr>
            </w:pPr>
          </w:p>
        </w:tc>
        <w:tc>
          <w:tcPr>
            <w:tcW w:w="5" w:type="pct"/>
            <w:shd w:val="clear" w:color="auto" w:fill="auto"/>
            <w:vAlign w:val="bottom"/>
          </w:tcPr>
          <w:p w14:paraId="442F689E" w14:textId="77777777" w:rsidR="00CC25B5" w:rsidRDefault="00CC25B5">
            <w:pPr>
              <w:rPr>
                <w:rFonts w:ascii="宋体"/>
              </w:rPr>
            </w:pPr>
          </w:p>
        </w:tc>
        <w:tc>
          <w:tcPr>
            <w:tcW w:w="5" w:type="pct"/>
            <w:shd w:val="clear" w:color="auto" w:fill="auto"/>
            <w:vAlign w:val="bottom"/>
          </w:tcPr>
          <w:p w14:paraId="442F689F" w14:textId="77777777" w:rsidR="00CC25B5" w:rsidRDefault="00CC25B5">
            <w:pPr>
              <w:rPr>
                <w:rFonts w:ascii="宋体"/>
              </w:rPr>
            </w:pPr>
          </w:p>
        </w:tc>
        <w:tc>
          <w:tcPr>
            <w:tcW w:w="15" w:type="pct"/>
            <w:shd w:val="clear" w:color="auto" w:fill="auto"/>
            <w:vAlign w:val="bottom"/>
          </w:tcPr>
          <w:p w14:paraId="442F68A0" w14:textId="77777777" w:rsidR="00CC25B5" w:rsidRDefault="00CC25B5">
            <w:pPr>
              <w:rPr>
                <w:rFonts w:ascii="宋体"/>
              </w:rPr>
            </w:pPr>
          </w:p>
        </w:tc>
        <w:tc>
          <w:tcPr>
            <w:tcW w:w="5" w:type="pct"/>
            <w:shd w:val="clear" w:color="auto" w:fill="auto"/>
            <w:vAlign w:val="bottom"/>
          </w:tcPr>
          <w:p w14:paraId="442F68A1" w14:textId="77777777" w:rsidR="00CC25B5" w:rsidRDefault="00CC25B5">
            <w:pPr>
              <w:rPr>
                <w:rFonts w:ascii="宋体"/>
              </w:rPr>
            </w:pPr>
          </w:p>
        </w:tc>
        <w:tc>
          <w:tcPr>
            <w:tcW w:w="50" w:type="pct"/>
            <w:shd w:val="clear" w:color="auto" w:fill="auto"/>
            <w:vAlign w:val="bottom"/>
          </w:tcPr>
          <w:p w14:paraId="442F68A2" w14:textId="77777777" w:rsidR="00CC25B5" w:rsidRDefault="00CC25B5">
            <w:pPr>
              <w:rPr>
                <w:rFonts w:ascii="宋体"/>
              </w:rPr>
            </w:pPr>
          </w:p>
        </w:tc>
        <w:tc>
          <w:tcPr>
            <w:tcW w:w="348" w:type="pct"/>
            <w:shd w:val="clear" w:color="auto" w:fill="auto"/>
            <w:vAlign w:val="bottom"/>
          </w:tcPr>
          <w:p w14:paraId="442F68A3" w14:textId="77777777" w:rsidR="00CC25B5" w:rsidRDefault="00CC25B5">
            <w:pPr>
              <w:rPr>
                <w:rFonts w:ascii="宋体"/>
              </w:rPr>
            </w:pPr>
          </w:p>
        </w:tc>
        <w:tc>
          <w:tcPr>
            <w:tcW w:w="5" w:type="pct"/>
            <w:shd w:val="clear" w:color="auto" w:fill="auto"/>
            <w:vAlign w:val="bottom"/>
          </w:tcPr>
          <w:p w14:paraId="442F68A4" w14:textId="77777777" w:rsidR="00CC25B5" w:rsidRDefault="00CC25B5">
            <w:pPr>
              <w:rPr>
                <w:rFonts w:ascii="宋体"/>
              </w:rPr>
            </w:pPr>
          </w:p>
        </w:tc>
        <w:tc>
          <w:tcPr>
            <w:tcW w:w="5" w:type="pct"/>
            <w:shd w:val="clear" w:color="auto" w:fill="auto"/>
            <w:vAlign w:val="bottom"/>
          </w:tcPr>
          <w:p w14:paraId="442F68A5" w14:textId="77777777" w:rsidR="00CC25B5" w:rsidRDefault="00CC25B5">
            <w:pPr>
              <w:rPr>
                <w:rFonts w:ascii="宋体"/>
              </w:rPr>
            </w:pPr>
          </w:p>
        </w:tc>
        <w:tc>
          <w:tcPr>
            <w:tcW w:w="15" w:type="pct"/>
            <w:shd w:val="clear" w:color="auto" w:fill="auto"/>
            <w:vAlign w:val="bottom"/>
          </w:tcPr>
          <w:p w14:paraId="442F68A6" w14:textId="77777777" w:rsidR="00CC25B5" w:rsidRDefault="00CC25B5">
            <w:pPr>
              <w:rPr>
                <w:rFonts w:ascii="宋体"/>
              </w:rPr>
            </w:pPr>
          </w:p>
        </w:tc>
        <w:tc>
          <w:tcPr>
            <w:tcW w:w="5" w:type="pct"/>
            <w:shd w:val="clear" w:color="auto" w:fill="auto"/>
            <w:vAlign w:val="bottom"/>
          </w:tcPr>
          <w:p w14:paraId="442F68A7" w14:textId="77777777" w:rsidR="00CC25B5" w:rsidRDefault="00CC25B5">
            <w:pPr>
              <w:rPr>
                <w:rFonts w:ascii="宋体"/>
              </w:rPr>
            </w:pPr>
          </w:p>
        </w:tc>
        <w:tc>
          <w:tcPr>
            <w:tcW w:w="50" w:type="pct"/>
            <w:shd w:val="clear" w:color="auto" w:fill="auto"/>
            <w:vAlign w:val="bottom"/>
          </w:tcPr>
          <w:p w14:paraId="442F68A8" w14:textId="77777777" w:rsidR="00CC25B5" w:rsidRDefault="00CC25B5">
            <w:pPr>
              <w:rPr>
                <w:rFonts w:ascii="宋体"/>
              </w:rPr>
            </w:pPr>
          </w:p>
        </w:tc>
        <w:tc>
          <w:tcPr>
            <w:tcW w:w="348" w:type="pct"/>
            <w:shd w:val="clear" w:color="auto" w:fill="auto"/>
            <w:vAlign w:val="bottom"/>
          </w:tcPr>
          <w:p w14:paraId="442F68A9" w14:textId="77777777" w:rsidR="00CC25B5" w:rsidRDefault="00CC25B5">
            <w:pPr>
              <w:rPr>
                <w:rFonts w:ascii="宋体"/>
              </w:rPr>
            </w:pPr>
          </w:p>
        </w:tc>
        <w:tc>
          <w:tcPr>
            <w:tcW w:w="5" w:type="pct"/>
            <w:shd w:val="clear" w:color="auto" w:fill="auto"/>
            <w:vAlign w:val="bottom"/>
          </w:tcPr>
          <w:p w14:paraId="442F68AA" w14:textId="77777777" w:rsidR="00CC25B5" w:rsidRDefault="00CC25B5">
            <w:pPr>
              <w:rPr>
                <w:rFonts w:ascii="宋体"/>
              </w:rPr>
            </w:pPr>
          </w:p>
        </w:tc>
        <w:tc>
          <w:tcPr>
            <w:tcW w:w="5" w:type="pct"/>
            <w:shd w:val="clear" w:color="auto" w:fill="auto"/>
            <w:vAlign w:val="bottom"/>
          </w:tcPr>
          <w:p w14:paraId="442F68AB" w14:textId="77777777" w:rsidR="00CC25B5" w:rsidRDefault="00CC25B5">
            <w:pPr>
              <w:rPr>
                <w:rFonts w:ascii="宋体"/>
              </w:rPr>
            </w:pPr>
          </w:p>
        </w:tc>
        <w:tc>
          <w:tcPr>
            <w:tcW w:w="15" w:type="pct"/>
            <w:shd w:val="clear" w:color="auto" w:fill="auto"/>
            <w:vAlign w:val="bottom"/>
          </w:tcPr>
          <w:p w14:paraId="442F68AC" w14:textId="77777777" w:rsidR="00CC25B5" w:rsidRDefault="00CC25B5">
            <w:pPr>
              <w:rPr>
                <w:rFonts w:ascii="宋体"/>
              </w:rPr>
            </w:pPr>
          </w:p>
        </w:tc>
        <w:tc>
          <w:tcPr>
            <w:tcW w:w="5" w:type="pct"/>
            <w:shd w:val="clear" w:color="auto" w:fill="auto"/>
            <w:vAlign w:val="bottom"/>
          </w:tcPr>
          <w:p w14:paraId="442F68AD" w14:textId="77777777" w:rsidR="00CC25B5" w:rsidRDefault="00CC25B5">
            <w:pPr>
              <w:rPr>
                <w:rFonts w:ascii="宋体"/>
              </w:rPr>
            </w:pPr>
          </w:p>
        </w:tc>
        <w:tc>
          <w:tcPr>
            <w:tcW w:w="50" w:type="pct"/>
            <w:shd w:val="clear" w:color="auto" w:fill="auto"/>
            <w:vAlign w:val="bottom"/>
          </w:tcPr>
          <w:p w14:paraId="442F68AE" w14:textId="77777777" w:rsidR="00CC25B5" w:rsidRDefault="00CC25B5">
            <w:pPr>
              <w:rPr>
                <w:rFonts w:ascii="宋体"/>
              </w:rPr>
            </w:pPr>
          </w:p>
        </w:tc>
        <w:tc>
          <w:tcPr>
            <w:tcW w:w="348" w:type="pct"/>
            <w:shd w:val="clear" w:color="auto" w:fill="auto"/>
            <w:vAlign w:val="bottom"/>
          </w:tcPr>
          <w:p w14:paraId="442F68AF" w14:textId="77777777" w:rsidR="00CC25B5" w:rsidRDefault="00CC25B5">
            <w:pPr>
              <w:rPr>
                <w:rFonts w:ascii="宋体"/>
              </w:rPr>
            </w:pPr>
          </w:p>
        </w:tc>
        <w:tc>
          <w:tcPr>
            <w:tcW w:w="5" w:type="pct"/>
            <w:shd w:val="clear" w:color="auto" w:fill="auto"/>
            <w:vAlign w:val="bottom"/>
          </w:tcPr>
          <w:p w14:paraId="442F68B0" w14:textId="77777777" w:rsidR="00CC25B5" w:rsidRDefault="00CC25B5">
            <w:pPr>
              <w:rPr>
                <w:rFonts w:ascii="宋体"/>
              </w:rPr>
            </w:pPr>
          </w:p>
        </w:tc>
        <w:tc>
          <w:tcPr>
            <w:tcW w:w="5" w:type="pct"/>
            <w:shd w:val="clear" w:color="auto" w:fill="auto"/>
            <w:vAlign w:val="bottom"/>
          </w:tcPr>
          <w:p w14:paraId="442F68B1" w14:textId="77777777" w:rsidR="00CC25B5" w:rsidRDefault="00CC25B5">
            <w:pPr>
              <w:rPr>
                <w:rFonts w:ascii="宋体"/>
              </w:rPr>
            </w:pPr>
          </w:p>
        </w:tc>
        <w:tc>
          <w:tcPr>
            <w:tcW w:w="15" w:type="pct"/>
            <w:shd w:val="clear" w:color="auto" w:fill="auto"/>
            <w:vAlign w:val="bottom"/>
          </w:tcPr>
          <w:p w14:paraId="442F68B2" w14:textId="77777777" w:rsidR="00CC25B5" w:rsidRDefault="00CC25B5">
            <w:pPr>
              <w:rPr>
                <w:rFonts w:ascii="宋体"/>
              </w:rPr>
            </w:pPr>
          </w:p>
        </w:tc>
        <w:tc>
          <w:tcPr>
            <w:tcW w:w="5" w:type="pct"/>
            <w:shd w:val="clear" w:color="auto" w:fill="auto"/>
            <w:vAlign w:val="bottom"/>
          </w:tcPr>
          <w:p w14:paraId="442F68B3" w14:textId="77777777" w:rsidR="00CC25B5" w:rsidRDefault="00CC25B5">
            <w:pPr>
              <w:rPr>
                <w:rFonts w:ascii="宋体"/>
              </w:rPr>
            </w:pPr>
          </w:p>
        </w:tc>
        <w:tc>
          <w:tcPr>
            <w:tcW w:w="50" w:type="pct"/>
            <w:shd w:val="clear" w:color="auto" w:fill="auto"/>
            <w:vAlign w:val="bottom"/>
          </w:tcPr>
          <w:p w14:paraId="442F68B4" w14:textId="77777777" w:rsidR="00CC25B5" w:rsidRDefault="00CC25B5">
            <w:pPr>
              <w:rPr>
                <w:rFonts w:ascii="宋体"/>
              </w:rPr>
            </w:pPr>
          </w:p>
        </w:tc>
        <w:tc>
          <w:tcPr>
            <w:tcW w:w="348" w:type="pct"/>
            <w:shd w:val="clear" w:color="auto" w:fill="auto"/>
            <w:vAlign w:val="bottom"/>
          </w:tcPr>
          <w:p w14:paraId="442F68B5" w14:textId="77777777" w:rsidR="00CC25B5" w:rsidRDefault="00CC25B5">
            <w:pPr>
              <w:rPr>
                <w:rFonts w:ascii="宋体"/>
              </w:rPr>
            </w:pPr>
          </w:p>
        </w:tc>
        <w:tc>
          <w:tcPr>
            <w:tcW w:w="5" w:type="pct"/>
            <w:shd w:val="clear" w:color="auto" w:fill="auto"/>
            <w:vAlign w:val="bottom"/>
          </w:tcPr>
          <w:p w14:paraId="442F68B6" w14:textId="77777777" w:rsidR="00CC25B5" w:rsidRDefault="00CC25B5">
            <w:pPr>
              <w:rPr>
                <w:rFonts w:ascii="宋体"/>
              </w:rPr>
            </w:pPr>
          </w:p>
        </w:tc>
        <w:tc>
          <w:tcPr>
            <w:tcW w:w="5" w:type="pct"/>
            <w:shd w:val="clear" w:color="auto" w:fill="auto"/>
            <w:vAlign w:val="bottom"/>
          </w:tcPr>
          <w:p w14:paraId="442F68B7" w14:textId="77777777" w:rsidR="00CC25B5" w:rsidRDefault="00CC25B5">
            <w:pPr>
              <w:rPr>
                <w:rFonts w:ascii="宋体"/>
              </w:rPr>
            </w:pPr>
          </w:p>
        </w:tc>
        <w:tc>
          <w:tcPr>
            <w:tcW w:w="15" w:type="pct"/>
            <w:shd w:val="clear" w:color="auto" w:fill="auto"/>
            <w:vAlign w:val="bottom"/>
          </w:tcPr>
          <w:p w14:paraId="442F68B8" w14:textId="77777777" w:rsidR="00CC25B5" w:rsidRDefault="00CC25B5">
            <w:pPr>
              <w:rPr>
                <w:rFonts w:ascii="宋体"/>
              </w:rPr>
            </w:pPr>
          </w:p>
        </w:tc>
        <w:tc>
          <w:tcPr>
            <w:tcW w:w="5" w:type="pct"/>
            <w:shd w:val="clear" w:color="auto" w:fill="auto"/>
            <w:vAlign w:val="bottom"/>
          </w:tcPr>
          <w:p w14:paraId="442F68B9" w14:textId="77777777" w:rsidR="00CC25B5" w:rsidRDefault="00CC25B5">
            <w:pPr>
              <w:rPr>
                <w:rFonts w:ascii="宋体"/>
              </w:rPr>
            </w:pPr>
          </w:p>
        </w:tc>
        <w:tc>
          <w:tcPr>
            <w:tcW w:w="50" w:type="pct"/>
            <w:shd w:val="clear" w:color="auto" w:fill="auto"/>
            <w:vAlign w:val="bottom"/>
          </w:tcPr>
          <w:p w14:paraId="442F68BA" w14:textId="77777777" w:rsidR="00CC25B5" w:rsidRDefault="00CC25B5">
            <w:pPr>
              <w:rPr>
                <w:rFonts w:ascii="宋体"/>
              </w:rPr>
            </w:pPr>
          </w:p>
        </w:tc>
        <w:tc>
          <w:tcPr>
            <w:tcW w:w="348" w:type="pct"/>
            <w:shd w:val="clear" w:color="auto" w:fill="auto"/>
            <w:vAlign w:val="bottom"/>
          </w:tcPr>
          <w:p w14:paraId="442F68BB" w14:textId="77777777" w:rsidR="00CC25B5" w:rsidRDefault="00CC25B5">
            <w:pPr>
              <w:rPr>
                <w:rFonts w:ascii="宋体"/>
              </w:rPr>
            </w:pPr>
          </w:p>
        </w:tc>
        <w:tc>
          <w:tcPr>
            <w:tcW w:w="5" w:type="pct"/>
            <w:shd w:val="clear" w:color="auto" w:fill="auto"/>
            <w:vAlign w:val="bottom"/>
          </w:tcPr>
          <w:p w14:paraId="442F68BC" w14:textId="77777777" w:rsidR="00CC25B5" w:rsidRDefault="00CC25B5">
            <w:pPr>
              <w:rPr>
                <w:rFonts w:ascii="宋体"/>
              </w:rPr>
            </w:pPr>
          </w:p>
        </w:tc>
        <w:tc>
          <w:tcPr>
            <w:tcW w:w="5" w:type="pct"/>
            <w:shd w:val="clear" w:color="auto" w:fill="auto"/>
            <w:vAlign w:val="bottom"/>
          </w:tcPr>
          <w:p w14:paraId="442F68BD" w14:textId="77777777" w:rsidR="00CC25B5" w:rsidRDefault="00CC25B5">
            <w:pPr>
              <w:rPr>
                <w:rFonts w:ascii="宋体"/>
              </w:rPr>
            </w:pPr>
          </w:p>
        </w:tc>
        <w:tc>
          <w:tcPr>
            <w:tcW w:w="15" w:type="pct"/>
            <w:shd w:val="clear" w:color="auto" w:fill="auto"/>
            <w:vAlign w:val="bottom"/>
          </w:tcPr>
          <w:p w14:paraId="442F68BE" w14:textId="77777777" w:rsidR="00CC25B5" w:rsidRDefault="00CC25B5">
            <w:pPr>
              <w:rPr>
                <w:rFonts w:ascii="宋体"/>
              </w:rPr>
            </w:pPr>
          </w:p>
        </w:tc>
        <w:tc>
          <w:tcPr>
            <w:tcW w:w="5" w:type="pct"/>
            <w:shd w:val="clear" w:color="auto" w:fill="auto"/>
            <w:vAlign w:val="bottom"/>
          </w:tcPr>
          <w:p w14:paraId="442F68BF" w14:textId="77777777" w:rsidR="00CC25B5" w:rsidRDefault="00CC25B5">
            <w:pPr>
              <w:rPr>
                <w:rFonts w:ascii="宋体"/>
              </w:rPr>
            </w:pPr>
          </w:p>
        </w:tc>
        <w:tc>
          <w:tcPr>
            <w:tcW w:w="50" w:type="pct"/>
            <w:shd w:val="clear" w:color="auto" w:fill="auto"/>
            <w:vAlign w:val="bottom"/>
          </w:tcPr>
          <w:p w14:paraId="442F68C0" w14:textId="77777777" w:rsidR="00CC25B5" w:rsidRDefault="00CC25B5">
            <w:pPr>
              <w:rPr>
                <w:rFonts w:ascii="宋体"/>
              </w:rPr>
            </w:pPr>
          </w:p>
        </w:tc>
        <w:tc>
          <w:tcPr>
            <w:tcW w:w="348" w:type="pct"/>
            <w:shd w:val="clear" w:color="auto" w:fill="auto"/>
            <w:vAlign w:val="bottom"/>
          </w:tcPr>
          <w:p w14:paraId="442F68C1" w14:textId="77777777" w:rsidR="00CC25B5" w:rsidRDefault="00CC25B5">
            <w:pPr>
              <w:rPr>
                <w:rFonts w:ascii="宋体"/>
              </w:rPr>
            </w:pPr>
          </w:p>
        </w:tc>
        <w:tc>
          <w:tcPr>
            <w:tcW w:w="5" w:type="pct"/>
            <w:shd w:val="clear" w:color="auto" w:fill="auto"/>
            <w:vAlign w:val="bottom"/>
          </w:tcPr>
          <w:p w14:paraId="442F68C2" w14:textId="77777777" w:rsidR="00CC25B5" w:rsidRDefault="00CC25B5">
            <w:pPr>
              <w:rPr>
                <w:rFonts w:ascii="宋体"/>
              </w:rPr>
            </w:pPr>
          </w:p>
        </w:tc>
        <w:tc>
          <w:tcPr>
            <w:tcW w:w="0" w:type="auto"/>
            <w:shd w:val="clear" w:color="auto" w:fill="auto"/>
            <w:vAlign w:val="bottom"/>
          </w:tcPr>
          <w:p w14:paraId="442F68C3" w14:textId="77777777" w:rsidR="00CC25B5" w:rsidRDefault="00CC25B5">
            <w:pPr>
              <w:rPr>
                <w:rFonts w:ascii="宋体"/>
                <w:vanish/>
              </w:rPr>
            </w:pPr>
          </w:p>
        </w:tc>
        <w:tc>
          <w:tcPr>
            <w:tcW w:w="0" w:type="auto"/>
            <w:shd w:val="clear" w:color="auto" w:fill="auto"/>
            <w:vAlign w:val="bottom"/>
          </w:tcPr>
          <w:p w14:paraId="442F68C4" w14:textId="77777777" w:rsidR="00CC25B5" w:rsidRDefault="00CC25B5">
            <w:pPr>
              <w:rPr>
                <w:rFonts w:ascii="宋体"/>
                <w:vanish/>
              </w:rPr>
            </w:pPr>
          </w:p>
        </w:tc>
        <w:tc>
          <w:tcPr>
            <w:tcW w:w="0" w:type="auto"/>
            <w:shd w:val="clear" w:color="auto" w:fill="auto"/>
            <w:vAlign w:val="bottom"/>
          </w:tcPr>
          <w:p w14:paraId="442F68C5" w14:textId="77777777" w:rsidR="00CC25B5" w:rsidRDefault="00CC25B5">
            <w:pPr>
              <w:rPr>
                <w:rFonts w:ascii="宋体"/>
                <w:vanish/>
              </w:rPr>
            </w:pPr>
          </w:p>
        </w:tc>
      </w:tr>
      <w:tr w:rsidR="00CC25B5" w14:paraId="442F68DA" w14:textId="77777777">
        <w:tc>
          <w:tcPr>
            <w:tcW w:w="0" w:type="auto"/>
            <w:gridSpan w:val="3"/>
            <w:shd w:val="clear" w:color="auto" w:fill="auto"/>
            <w:tcMar>
              <w:top w:w="0" w:type="dxa"/>
              <w:left w:w="20" w:type="dxa"/>
              <w:bottom w:w="0" w:type="dxa"/>
              <w:right w:w="20" w:type="dxa"/>
            </w:tcMar>
            <w:vAlign w:val="bottom"/>
          </w:tcPr>
          <w:p w14:paraId="442F68C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9"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A"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B"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D"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C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D0" w14:textId="77777777" w:rsidR="00CC25B5" w:rsidRDefault="00900968">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442F68D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D2" w14:textId="77777777" w:rsidR="00CC25B5" w:rsidRDefault="00900968">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442F68D3"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6" w14:textId="77777777" w:rsidR="00CC25B5" w:rsidRDefault="00CC25B5">
            <w:pPr>
              <w:rPr>
                <w:rFonts w:ascii="宋体"/>
              </w:rPr>
            </w:pPr>
          </w:p>
        </w:tc>
        <w:tc>
          <w:tcPr>
            <w:tcW w:w="0" w:type="auto"/>
            <w:shd w:val="clear" w:color="auto" w:fill="auto"/>
            <w:vAlign w:val="bottom"/>
          </w:tcPr>
          <w:p w14:paraId="442F68D7" w14:textId="77777777" w:rsidR="00CC25B5" w:rsidRDefault="00CC25B5">
            <w:pPr>
              <w:rPr>
                <w:rFonts w:ascii="宋体"/>
                <w:vanish/>
              </w:rPr>
            </w:pPr>
          </w:p>
        </w:tc>
        <w:tc>
          <w:tcPr>
            <w:tcW w:w="0" w:type="auto"/>
            <w:shd w:val="clear" w:color="auto" w:fill="auto"/>
            <w:vAlign w:val="bottom"/>
          </w:tcPr>
          <w:p w14:paraId="442F68D8" w14:textId="77777777" w:rsidR="00CC25B5" w:rsidRDefault="00CC25B5">
            <w:pPr>
              <w:rPr>
                <w:rFonts w:ascii="宋体"/>
                <w:vanish/>
              </w:rPr>
            </w:pPr>
          </w:p>
        </w:tc>
        <w:tc>
          <w:tcPr>
            <w:tcW w:w="0" w:type="auto"/>
            <w:shd w:val="clear" w:color="auto" w:fill="auto"/>
            <w:vAlign w:val="bottom"/>
          </w:tcPr>
          <w:p w14:paraId="442F68D9" w14:textId="77777777" w:rsidR="00CC25B5" w:rsidRDefault="00CC25B5">
            <w:pPr>
              <w:rPr>
                <w:rFonts w:ascii="宋体"/>
                <w:vanish/>
              </w:rPr>
            </w:pPr>
          </w:p>
        </w:tc>
      </w:tr>
      <w:tr w:rsidR="00CC25B5" w14:paraId="442F68EE" w14:textId="77777777">
        <w:tc>
          <w:tcPr>
            <w:tcW w:w="0" w:type="auto"/>
            <w:gridSpan w:val="3"/>
            <w:shd w:val="clear" w:color="auto" w:fill="auto"/>
            <w:tcMar>
              <w:top w:w="0" w:type="dxa"/>
              <w:left w:w="20" w:type="dxa"/>
              <w:bottom w:w="0" w:type="dxa"/>
              <w:right w:w="20" w:type="dxa"/>
            </w:tcMar>
            <w:vAlign w:val="bottom"/>
          </w:tcPr>
          <w:p w14:paraId="442F68DB"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D"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D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E0" w14:textId="77777777" w:rsidR="00CC25B5" w:rsidRDefault="00900968">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442F68E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E2"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E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E4" w14:textId="77777777" w:rsidR="00CC25B5" w:rsidRDefault="00900968">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442F68E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E6" w14:textId="77777777" w:rsidR="00CC25B5" w:rsidRDefault="00900968">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442F68E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E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E9"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8EA" w14:textId="77777777" w:rsidR="00CC25B5" w:rsidRDefault="00CC25B5">
            <w:pPr>
              <w:rPr>
                <w:rFonts w:ascii="宋体"/>
              </w:rPr>
            </w:pPr>
          </w:p>
        </w:tc>
        <w:tc>
          <w:tcPr>
            <w:tcW w:w="0" w:type="auto"/>
            <w:shd w:val="clear" w:color="auto" w:fill="auto"/>
            <w:vAlign w:val="bottom"/>
          </w:tcPr>
          <w:p w14:paraId="442F68EB" w14:textId="77777777" w:rsidR="00CC25B5" w:rsidRDefault="00CC25B5">
            <w:pPr>
              <w:rPr>
                <w:rFonts w:ascii="宋体"/>
                <w:vanish/>
              </w:rPr>
            </w:pPr>
          </w:p>
        </w:tc>
        <w:tc>
          <w:tcPr>
            <w:tcW w:w="0" w:type="auto"/>
            <w:shd w:val="clear" w:color="auto" w:fill="auto"/>
            <w:vAlign w:val="bottom"/>
          </w:tcPr>
          <w:p w14:paraId="442F68EC" w14:textId="77777777" w:rsidR="00CC25B5" w:rsidRDefault="00CC25B5">
            <w:pPr>
              <w:rPr>
                <w:rFonts w:ascii="宋体"/>
                <w:vanish/>
              </w:rPr>
            </w:pPr>
          </w:p>
        </w:tc>
        <w:tc>
          <w:tcPr>
            <w:tcW w:w="0" w:type="auto"/>
            <w:shd w:val="clear" w:color="auto" w:fill="auto"/>
            <w:vAlign w:val="bottom"/>
          </w:tcPr>
          <w:p w14:paraId="442F68ED" w14:textId="77777777" w:rsidR="00CC25B5" w:rsidRDefault="00CC25B5">
            <w:pPr>
              <w:rPr>
                <w:rFonts w:ascii="宋体"/>
                <w:vanish/>
              </w:rPr>
            </w:pPr>
          </w:p>
        </w:tc>
      </w:tr>
      <w:tr w:rsidR="00CC25B5" w14:paraId="442F6900" w14:textId="77777777">
        <w:trPr>
          <w:trHeight w:val="180"/>
        </w:trPr>
        <w:tc>
          <w:tcPr>
            <w:tcW w:w="0" w:type="auto"/>
            <w:gridSpan w:val="3"/>
            <w:vMerge w:val="restart"/>
            <w:shd w:val="clear" w:color="auto" w:fill="auto"/>
            <w:tcMar>
              <w:top w:w="40" w:type="dxa"/>
              <w:left w:w="20" w:type="dxa"/>
              <w:bottom w:w="40" w:type="dxa"/>
              <w:right w:w="20" w:type="dxa"/>
            </w:tcMar>
            <w:vAlign w:val="bottom"/>
          </w:tcPr>
          <w:p w14:paraId="442F68EF" w14:textId="77777777" w:rsidR="00CC25B5" w:rsidRDefault="00900968">
            <w:pPr>
              <w:textAlignment w:val="bottom"/>
            </w:pPr>
            <w:r>
              <w:rPr>
                <w:rFonts w:ascii="Times New Roman" w:eastAsia="宋体" w:hAnsi="Times New Roman"/>
                <w:i/>
                <w:iCs/>
                <w:color w:val="000000"/>
                <w:sz w:val="16"/>
                <w:szCs w:val="16"/>
              </w:rPr>
              <w:t>(Amounts i</w:t>
            </w:r>
            <w:r>
              <w:rPr>
                <w:rFonts w:ascii="Times New Roman" w:eastAsia="宋体" w:hAnsi="Times New Roman"/>
                <w:i/>
                <w:iCs/>
                <w:color w:val="000000"/>
                <w:sz w:val="16"/>
                <w:szCs w:val="16"/>
              </w:rPr>
              <w:t>n millions)</w:t>
            </w:r>
          </w:p>
        </w:tc>
        <w:tc>
          <w:tcPr>
            <w:tcW w:w="0" w:type="auto"/>
            <w:gridSpan w:val="9"/>
            <w:shd w:val="clear" w:color="auto" w:fill="auto"/>
            <w:tcMar>
              <w:top w:w="40" w:type="dxa"/>
              <w:left w:w="20" w:type="dxa"/>
              <w:bottom w:w="40" w:type="dxa"/>
              <w:right w:w="20" w:type="dxa"/>
            </w:tcMar>
            <w:vAlign w:val="bottom"/>
          </w:tcPr>
          <w:p w14:paraId="442F68F0" w14:textId="77777777" w:rsidR="00CC25B5" w:rsidRDefault="00900968">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442F68F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F2" w14:textId="77777777" w:rsidR="00CC25B5" w:rsidRDefault="00900968">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442F68F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F4" w14:textId="77777777" w:rsidR="00CC25B5" w:rsidRDefault="00900968">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442F68F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F6" w14:textId="77777777" w:rsidR="00CC25B5" w:rsidRDefault="00900968">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442F68F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F8" w14:textId="77777777" w:rsidR="00CC25B5" w:rsidRDefault="00900968">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442F68F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FA" w14:textId="77777777" w:rsidR="00CC25B5" w:rsidRDefault="00900968">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442F68F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8FC" w14:textId="77777777" w:rsidR="00CC25B5" w:rsidRDefault="00900968">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442F68FD" w14:textId="77777777" w:rsidR="00CC25B5" w:rsidRDefault="00CC25B5">
            <w:pPr>
              <w:rPr>
                <w:rFonts w:ascii="宋体"/>
                <w:vanish/>
              </w:rPr>
            </w:pPr>
          </w:p>
        </w:tc>
        <w:tc>
          <w:tcPr>
            <w:tcW w:w="0" w:type="auto"/>
            <w:shd w:val="clear" w:color="auto" w:fill="auto"/>
            <w:vAlign w:val="bottom"/>
          </w:tcPr>
          <w:p w14:paraId="442F68FE" w14:textId="77777777" w:rsidR="00CC25B5" w:rsidRDefault="00CC25B5">
            <w:pPr>
              <w:rPr>
                <w:rFonts w:ascii="宋体"/>
                <w:vanish/>
              </w:rPr>
            </w:pPr>
          </w:p>
        </w:tc>
        <w:tc>
          <w:tcPr>
            <w:tcW w:w="0" w:type="auto"/>
            <w:shd w:val="clear" w:color="auto" w:fill="auto"/>
            <w:vAlign w:val="bottom"/>
          </w:tcPr>
          <w:p w14:paraId="442F68FF" w14:textId="77777777" w:rsidR="00CC25B5" w:rsidRDefault="00CC25B5">
            <w:pPr>
              <w:rPr>
                <w:rFonts w:ascii="宋体"/>
                <w:vanish/>
              </w:rPr>
            </w:pPr>
          </w:p>
        </w:tc>
      </w:tr>
      <w:tr w:rsidR="00CC25B5" w14:paraId="442F6914" w14:textId="77777777">
        <w:trPr>
          <w:trHeight w:val="180"/>
        </w:trPr>
        <w:tc>
          <w:tcPr>
            <w:tcW w:w="0" w:type="auto"/>
            <w:gridSpan w:val="3"/>
            <w:vMerge/>
            <w:shd w:val="clear" w:color="auto" w:fill="auto"/>
            <w:tcMar>
              <w:top w:w="40" w:type="dxa"/>
              <w:left w:w="20" w:type="dxa"/>
              <w:bottom w:w="40" w:type="dxa"/>
              <w:right w:w="20" w:type="dxa"/>
            </w:tcMar>
            <w:vAlign w:val="bottom"/>
          </w:tcPr>
          <w:p w14:paraId="442F6901"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902" w14:textId="77777777" w:rsidR="00CC25B5" w:rsidRDefault="00900968">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903"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904" w14:textId="77777777" w:rsidR="00CC25B5" w:rsidRDefault="00900968">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442F690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906" w14:textId="77777777" w:rsidR="00CC25B5" w:rsidRDefault="00900968">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42F690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908" w14:textId="77777777" w:rsidR="00CC25B5" w:rsidRDefault="00900968">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442F690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90A" w14:textId="77777777" w:rsidR="00CC25B5" w:rsidRDefault="00900968">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442F690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90C" w14:textId="77777777" w:rsidR="00CC25B5" w:rsidRDefault="00900968">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442F690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90E" w14:textId="77777777" w:rsidR="00CC25B5" w:rsidRDefault="00900968">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442F690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910" w14:textId="77777777" w:rsidR="00CC25B5" w:rsidRDefault="00900968">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442F6911" w14:textId="77777777" w:rsidR="00CC25B5" w:rsidRDefault="00CC25B5">
            <w:pPr>
              <w:rPr>
                <w:rFonts w:ascii="宋体"/>
                <w:vanish/>
              </w:rPr>
            </w:pPr>
          </w:p>
        </w:tc>
        <w:tc>
          <w:tcPr>
            <w:tcW w:w="0" w:type="auto"/>
            <w:shd w:val="clear" w:color="auto" w:fill="auto"/>
            <w:vAlign w:val="bottom"/>
          </w:tcPr>
          <w:p w14:paraId="442F6912" w14:textId="77777777" w:rsidR="00CC25B5" w:rsidRDefault="00CC25B5">
            <w:pPr>
              <w:rPr>
                <w:rFonts w:ascii="宋体"/>
                <w:vanish/>
              </w:rPr>
            </w:pPr>
          </w:p>
        </w:tc>
        <w:tc>
          <w:tcPr>
            <w:tcW w:w="0" w:type="auto"/>
            <w:shd w:val="clear" w:color="auto" w:fill="auto"/>
            <w:vAlign w:val="bottom"/>
          </w:tcPr>
          <w:p w14:paraId="442F6913" w14:textId="77777777" w:rsidR="00CC25B5" w:rsidRDefault="00CC25B5">
            <w:pPr>
              <w:rPr>
                <w:rFonts w:ascii="宋体"/>
                <w:vanish/>
              </w:rPr>
            </w:pPr>
          </w:p>
        </w:tc>
      </w:tr>
      <w:tr w:rsidR="00900968" w14:paraId="442F6937" w14:textId="77777777">
        <w:tc>
          <w:tcPr>
            <w:tcW w:w="0" w:type="auto"/>
            <w:gridSpan w:val="3"/>
            <w:shd w:val="clear" w:color="auto" w:fill="CCEEFF"/>
            <w:tcMar>
              <w:top w:w="40" w:type="dxa"/>
              <w:left w:w="20" w:type="dxa"/>
              <w:bottom w:w="40" w:type="dxa"/>
              <w:right w:w="20" w:type="dxa"/>
            </w:tcMar>
            <w:vAlign w:val="center"/>
          </w:tcPr>
          <w:p w14:paraId="442F6915" w14:textId="77777777" w:rsidR="00CC25B5" w:rsidRDefault="00900968">
            <w:pPr>
              <w:textAlignment w:val="center"/>
            </w:pPr>
            <w:r>
              <w:rPr>
                <w:rFonts w:ascii="Times New Roman" w:eastAsia="宋体" w:hAnsi="Times New Roman"/>
                <w:b/>
                <w:bCs/>
                <w:color w:val="000000"/>
                <w:sz w:val="16"/>
                <w:szCs w:val="16"/>
              </w:rPr>
              <w:t>Balances as of February 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916" w14:textId="77777777" w:rsidR="00CC25B5" w:rsidRDefault="00900968">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1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18"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1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1A" w14:textId="77777777" w:rsidR="00CC25B5" w:rsidRDefault="00900968">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1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1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1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1E" w14:textId="77777777" w:rsidR="00CC25B5" w:rsidRDefault="00900968">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1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20"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2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22" w14:textId="77777777" w:rsidR="00CC25B5" w:rsidRDefault="00900968">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2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24"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2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26" w14:textId="77777777" w:rsidR="00CC25B5" w:rsidRDefault="00900968">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2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28"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2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2A" w14:textId="77777777" w:rsidR="00CC25B5" w:rsidRDefault="00900968">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2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2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2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2E" w14:textId="77777777" w:rsidR="00CC25B5" w:rsidRDefault="00900968">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2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30"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93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932" w14:textId="77777777" w:rsidR="00CC25B5" w:rsidRDefault="00900968">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933" w14:textId="77777777" w:rsidR="00CC25B5" w:rsidRDefault="00CC25B5">
            <w:pPr>
              <w:jc w:val="right"/>
              <w:rPr>
                <w:rFonts w:ascii="宋体"/>
              </w:rPr>
            </w:pPr>
          </w:p>
        </w:tc>
        <w:tc>
          <w:tcPr>
            <w:tcW w:w="0" w:type="auto"/>
            <w:shd w:val="clear" w:color="auto" w:fill="auto"/>
            <w:vAlign w:val="bottom"/>
          </w:tcPr>
          <w:p w14:paraId="442F6934" w14:textId="77777777" w:rsidR="00CC25B5" w:rsidRDefault="00CC25B5">
            <w:pPr>
              <w:rPr>
                <w:rFonts w:ascii="宋体"/>
                <w:vanish/>
              </w:rPr>
            </w:pPr>
          </w:p>
        </w:tc>
        <w:tc>
          <w:tcPr>
            <w:tcW w:w="0" w:type="auto"/>
            <w:shd w:val="clear" w:color="auto" w:fill="auto"/>
            <w:vAlign w:val="bottom"/>
          </w:tcPr>
          <w:p w14:paraId="442F6935" w14:textId="77777777" w:rsidR="00CC25B5" w:rsidRDefault="00CC25B5">
            <w:pPr>
              <w:rPr>
                <w:rFonts w:ascii="宋体"/>
                <w:vanish/>
              </w:rPr>
            </w:pPr>
          </w:p>
        </w:tc>
        <w:tc>
          <w:tcPr>
            <w:tcW w:w="0" w:type="auto"/>
            <w:shd w:val="clear" w:color="auto" w:fill="auto"/>
            <w:vAlign w:val="bottom"/>
          </w:tcPr>
          <w:p w14:paraId="442F6936" w14:textId="77777777" w:rsidR="00CC25B5" w:rsidRDefault="00CC25B5">
            <w:pPr>
              <w:rPr>
                <w:rFonts w:ascii="宋体"/>
                <w:vanish/>
              </w:rPr>
            </w:pPr>
          </w:p>
        </w:tc>
      </w:tr>
      <w:tr w:rsidR="00CC25B5" w14:paraId="442F694B" w14:textId="77777777">
        <w:trPr>
          <w:hidden/>
        </w:trPr>
        <w:tc>
          <w:tcPr>
            <w:tcW w:w="0" w:type="auto"/>
            <w:gridSpan w:val="3"/>
            <w:shd w:val="clear" w:color="auto" w:fill="auto"/>
            <w:vAlign w:val="bottom"/>
          </w:tcPr>
          <w:p w14:paraId="442F6938" w14:textId="77777777" w:rsidR="00CC25B5" w:rsidRDefault="00CC25B5">
            <w:pPr>
              <w:rPr>
                <w:rFonts w:ascii="宋体"/>
                <w:vanish/>
              </w:rPr>
            </w:pPr>
          </w:p>
        </w:tc>
        <w:tc>
          <w:tcPr>
            <w:tcW w:w="0" w:type="auto"/>
            <w:gridSpan w:val="3"/>
            <w:shd w:val="clear" w:color="auto" w:fill="auto"/>
            <w:vAlign w:val="bottom"/>
          </w:tcPr>
          <w:p w14:paraId="442F6939" w14:textId="77777777" w:rsidR="00CC25B5" w:rsidRDefault="00CC25B5">
            <w:pPr>
              <w:rPr>
                <w:rFonts w:ascii="宋体"/>
                <w:vanish/>
              </w:rPr>
            </w:pPr>
          </w:p>
        </w:tc>
        <w:tc>
          <w:tcPr>
            <w:tcW w:w="0" w:type="auto"/>
            <w:gridSpan w:val="3"/>
            <w:shd w:val="clear" w:color="auto" w:fill="auto"/>
            <w:vAlign w:val="bottom"/>
          </w:tcPr>
          <w:p w14:paraId="442F693A" w14:textId="77777777" w:rsidR="00CC25B5" w:rsidRDefault="00CC25B5">
            <w:pPr>
              <w:rPr>
                <w:rFonts w:ascii="宋体"/>
                <w:vanish/>
              </w:rPr>
            </w:pPr>
          </w:p>
        </w:tc>
        <w:tc>
          <w:tcPr>
            <w:tcW w:w="0" w:type="auto"/>
            <w:gridSpan w:val="3"/>
            <w:shd w:val="clear" w:color="auto" w:fill="auto"/>
            <w:vAlign w:val="bottom"/>
          </w:tcPr>
          <w:p w14:paraId="442F693B" w14:textId="77777777" w:rsidR="00CC25B5" w:rsidRDefault="00CC25B5">
            <w:pPr>
              <w:rPr>
                <w:rFonts w:ascii="宋体"/>
                <w:vanish/>
              </w:rPr>
            </w:pPr>
          </w:p>
        </w:tc>
        <w:tc>
          <w:tcPr>
            <w:tcW w:w="0" w:type="auto"/>
            <w:gridSpan w:val="3"/>
            <w:shd w:val="clear" w:color="auto" w:fill="auto"/>
            <w:vAlign w:val="bottom"/>
          </w:tcPr>
          <w:p w14:paraId="442F693C" w14:textId="77777777" w:rsidR="00CC25B5" w:rsidRDefault="00CC25B5">
            <w:pPr>
              <w:rPr>
                <w:rFonts w:ascii="宋体"/>
                <w:vanish/>
              </w:rPr>
            </w:pPr>
          </w:p>
        </w:tc>
        <w:tc>
          <w:tcPr>
            <w:tcW w:w="0" w:type="auto"/>
            <w:gridSpan w:val="3"/>
            <w:shd w:val="clear" w:color="auto" w:fill="auto"/>
            <w:vAlign w:val="bottom"/>
          </w:tcPr>
          <w:p w14:paraId="442F693D" w14:textId="77777777" w:rsidR="00CC25B5" w:rsidRDefault="00CC25B5">
            <w:pPr>
              <w:rPr>
                <w:rFonts w:ascii="宋体"/>
                <w:vanish/>
              </w:rPr>
            </w:pPr>
          </w:p>
        </w:tc>
        <w:tc>
          <w:tcPr>
            <w:tcW w:w="0" w:type="auto"/>
            <w:gridSpan w:val="3"/>
            <w:shd w:val="clear" w:color="auto" w:fill="auto"/>
            <w:vAlign w:val="bottom"/>
          </w:tcPr>
          <w:p w14:paraId="442F693E" w14:textId="77777777" w:rsidR="00CC25B5" w:rsidRDefault="00CC25B5">
            <w:pPr>
              <w:rPr>
                <w:rFonts w:ascii="宋体"/>
                <w:vanish/>
              </w:rPr>
            </w:pPr>
          </w:p>
        </w:tc>
        <w:tc>
          <w:tcPr>
            <w:tcW w:w="0" w:type="auto"/>
            <w:gridSpan w:val="3"/>
            <w:shd w:val="clear" w:color="auto" w:fill="auto"/>
            <w:vAlign w:val="bottom"/>
          </w:tcPr>
          <w:p w14:paraId="442F693F" w14:textId="77777777" w:rsidR="00CC25B5" w:rsidRDefault="00CC25B5">
            <w:pPr>
              <w:rPr>
                <w:rFonts w:ascii="宋体"/>
                <w:vanish/>
              </w:rPr>
            </w:pPr>
          </w:p>
        </w:tc>
        <w:tc>
          <w:tcPr>
            <w:tcW w:w="0" w:type="auto"/>
            <w:gridSpan w:val="3"/>
            <w:shd w:val="clear" w:color="auto" w:fill="auto"/>
            <w:vAlign w:val="bottom"/>
          </w:tcPr>
          <w:p w14:paraId="442F6940" w14:textId="77777777" w:rsidR="00CC25B5" w:rsidRDefault="00CC25B5">
            <w:pPr>
              <w:rPr>
                <w:rFonts w:ascii="宋体"/>
                <w:vanish/>
              </w:rPr>
            </w:pPr>
          </w:p>
        </w:tc>
        <w:tc>
          <w:tcPr>
            <w:tcW w:w="0" w:type="auto"/>
            <w:gridSpan w:val="3"/>
            <w:shd w:val="clear" w:color="auto" w:fill="auto"/>
            <w:vAlign w:val="bottom"/>
          </w:tcPr>
          <w:p w14:paraId="442F6941" w14:textId="77777777" w:rsidR="00CC25B5" w:rsidRDefault="00CC25B5">
            <w:pPr>
              <w:rPr>
                <w:rFonts w:ascii="宋体"/>
                <w:vanish/>
              </w:rPr>
            </w:pPr>
          </w:p>
        </w:tc>
        <w:tc>
          <w:tcPr>
            <w:tcW w:w="0" w:type="auto"/>
            <w:gridSpan w:val="3"/>
            <w:shd w:val="clear" w:color="auto" w:fill="auto"/>
            <w:vAlign w:val="bottom"/>
          </w:tcPr>
          <w:p w14:paraId="442F6942" w14:textId="77777777" w:rsidR="00CC25B5" w:rsidRDefault="00CC25B5">
            <w:pPr>
              <w:rPr>
                <w:rFonts w:ascii="宋体"/>
                <w:vanish/>
              </w:rPr>
            </w:pPr>
          </w:p>
        </w:tc>
        <w:tc>
          <w:tcPr>
            <w:tcW w:w="0" w:type="auto"/>
            <w:gridSpan w:val="3"/>
            <w:shd w:val="clear" w:color="auto" w:fill="auto"/>
            <w:vAlign w:val="bottom"/>
          </w:tcPr>
          <w:p w14:paraId="442F6943" w14:textId="77777777" w:rsidR="00CC25B5" w:rsidRDefault="00CC25B5">
            <w:pPr>
              <w:rPr>
                <w:rFonts w:ascii="宋体"/>
                <w:vanish/>
              </w:rPr>
            </w:pPr>
          </w:p>
        </w:tc>
        <w:tc>
          <w:tcPr>
            <w:tcW w:w="0" w:type="auto"/>
            <w:gridSpan w:val="3"/>
            <w:shd w:val="clear" w:color="auto" w:fill="auto"/>
            <w:vAlign w:val="bottom"/>
          </w:tcPr>
          <w:p w14:paraId="442F6944" w14:textId="77777777" w:rsidR="00CC25B5" w:rsidRDefault="00CC25B5">
            <w:pPr>
              <w:rPr>
                <w:rFonts w:ascii="宋体"/>
                <w:vanish/>
              </w:rPr>
            </w:pPr>
          </w:p>
        </w:tc>
        <w:tc>
          <w:tcPr>
            <w:tcW w:w="0" w:type="auto"/>
            <w:gridSpan w:val="3"/>
            <w:shd w:val="clear" w:color="auto" w:fill="auto"/>
            <w:vAlign w:val="bottom"/>
          </w:tcPr>
          <w:p w14:paraId="442F6945" w14:textId="77777777" w:rsidR="00CC25B5" w:rsidRDefault="00CC25B5">
            <w:pPr>
              <w:rPr>
                <w:rFonts w:ascii="宋体"/>
                <w:vanish/>
              </w:rPr>
            </w:pPr>
          </w:p>
        </w:tc>
        <w:tc>
          <w:tcPr>
            <w:tcW w:w="0" w:type="auto"/>
            <w:gridSpan w:val="3"/>
            <w:shd w:val="clear" w:color="auto" w:fill="auto"/>
            <w:vAlign w:val="bottom"/>
          </w:tcPr>
          <w:p w14:paraId="442F6946" w14:textId="77777777" w:rsidR="00CC25B5" w:rsidRDefault="00CC25B5">
            <w:pPr>
              <w:rPr>
                <w:rFonts w:ascii="宋体"/>
                <w:vanish/>
              </w:rPr>
            </w:pPr>
          </w:p>
        </w:tc>
        <w:tc>
          <w:tcPr>
            <w:tcW w:w="0" w:type="auto"/>
            <w:gridSpan w:val="3"/>
            <w:shd w:val="clear" w:color="auto" w:fill="auto"/>
            <w:vAlign w:val="bottom"/>
          </w:tcPr>
          <w:p w14:paraId="442F6947" w14:textId="77777777" w:rsidR="00CC25B5" w:rsidRDefault="00CC25B5">
            <w:pPr>
              <w:rPr>
                <w:rFonts w:ascii="宋体"/>
                <w:vanish/>
              </w:rPr>
            </w:pPr>
          </w:p>
        </w:tc>
        <w:tc>
          <w:tcPr>
            <w:tcW w:w="0" w:type="auto"/>
            <w:shd w:val="clear" w:color="auto" w:fill="auto"/>
            <w:vAlign w:val="bottom"/>
          </w:tcPr>
          <w:p w14:paraId="442F6948" w14:textId="77777777" w:rsidR="00CC25B5" w:rsidRDefault="00CC25B5">
            <w:pPr>
              <w:rPr>
                <w:rFonts w:ascii="宋体"/>
                <w:vanish/>
              </w:rPr>
            </w:pPr>
          </w:p>
        </w:tc>
        <w:tc>
          <w:tcPr>
            <w:tcW w:w="0" w:type="auto"/>
            <w:shd w:val="clear" w:color="auto" w:fill="auto"/>
            <w:vAlign w:val="bottom"/>
          </w:tcPr>
          <w:p w14:paraId="442F6949" w14:textId="77777777" w:rsidR="00CC25B5" w:rsidRDefault="00CC25B5">
            <w:pPr>
              <w:rPr>
                <w:rFonts w:ascii="宋体"/>
                <w:vanish/>
              </w:rPr>
            </w:pPr>
          </w:p>
        </w:tc>
        <w:tc>
          <w:tcPr>
            <w:tcW w:w="0" w:type="auto"/>
            <w:shd w:val="clear" w:color="auto" w:fill="auto"/>
            <w:vAlign w:val="bottom"/>
          </w:tcPr>
          <w:p w14:paraId="442F694A" w14:textId="77777777" w:rsidR="00CC25B5" w:rsidRDefault="00CC25B5">
            <w:pPr>
              <w:rPr>
                <w:rFonts w:ascii="宋体"/>
                <w:vanish/>
              </w:rPr>
            </w:pPr>
          </w:p>
        </w:tc>
      </w:tr>
      <w:tr w:rsidR="00CC25B5" w14:paraId="442F6967" w14:textId="77777777">
        <w:tc>
          <w:tcPr>
            <w:tcW w:w="0" w:type="auto"/>
            <w:gridSpan w:val="3"/>
            <w:shd w:val="clear" w:color="auto" w:fill="FFFFFF"/>
            <w:tcMar>
              <w:top w:w="40" w:type="dxa"/>
              <w:left w:w="20" w:type="dxa"/>
              <w:bottom w:w="40" w:type="dxa"/>
              <w:right w:w="20" w:type="dxa"/>
            </w:tcMar>
            <w:vAlign w:val="center"/>
          </w:tcPr>
          <w:p w14:paraId="442F694C" w14:textId="77777777" w:rsidR="00CC25B5" w:rsidRDefault="00900968">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442F694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4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4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5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5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5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5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5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5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56" w14:textId="77777777" w:rsidR="00CC25B5" w:rsidRDefault="00900968">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442F695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5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5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5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5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5C" w14:textId="77777777" w:rsidR="00CC25B5" w:rsidRDefault="00900968">
            <w:pPr>
              <w:jc w:val="right"/>
              <w:textAlignment w:val="center"/>
            </w:pPr>
            <w:r>
              <w:rPr>
                <w:rFonts w:ascii="Times New Roman" w:eastAsia="宋体" w:hAnsi="Times New Roman"/>
                <w:color w:val="000000"/>
                <w:sz w:val="16"/>
                <w:szCs w:val="16"/>
              </w:rPr>
              <w:t>2,730 </w:t>
            </w:r>
          </w:p>
        </w:tc>
        <w:tc>
          <w:tcPr>
            <w:tcW w:w="0" w:type="auto"/>
            <w:shd w:val="clear" w:color="auto" w:fill="FFFFFF"/>
            <w:tcMar>
              <w:top w:w="40" w:type="dxa"/>
              <w:left w:w="0" w:type="dxa"/>
              <w:bottom w:w="40" w:type="dxa"/>
              <w:right w:w="20" w:type="dxa"/>
            </w:tcMar>
            <w:vAlign w:val="center"/>
          </w:tcPr>
          <w:p w14:paraId="442F695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5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5F" w14:textId="77777777" w:rsidR="00CC25B5" w:rsidRDefault="00900968">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442F696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6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62" w14:textId="77777777" w:rsidR="00CC25B5" w:rsidRDefault="00900968">
            <w:pPr>
              <w:jc w:val="right"/>
              <w:textAlignment w:val="center"/>
            </w:pPr>
            <w:r>
              <w:rPr>
                <w:rFonts w:ascii="Times New Roman" w:eastAsia="宋体" w:hAnsi="Times New Roman"/>
                <w:color w:val="000000"/>
                <w:sz w:val="16"/>
                <w:szCs w:val="16"/>
              </w:rPr>
              <w:t>2,811 </w:t>
            </w:r>
          </w:p>
        </w:tc>
        <w:tc>
          <w:tcPr>
            <w:tcW w:w="0" w:type="auto"/>
            <w:shd w:val="clear" w:color="auto" w:fill="FFFFFF"/>
            <w:tcMar>
              <w:top w:w="40" w:type="dxa"/>
              <w:left w:w="0" w:type="dxa"/>
              <w:bottom w:w="40" w:type="dxa"/>
              <w:right w:w="20" w:type="dxa"/>
            </w:tcMar>
            <w:vAlign w:val="center"/>
          </w:tcPr>
          <w:p w14:paraId="442F6963" w14:textId="77777777" w:rsidR="00CC25B5" w:rsidRDefault="00CC25B5">
            <w:pPr>
              <w:jc w:val="right"/>
              <w:rPr>
                <w:rFonts w:ascii="宋体"/>
              </w:rPr>
            </w:pPr>
          </w:p>
        </w:tc>
        <w:tc>
          <w:tcPr>
            <w:tcW w:w="0" w:type="auto"/>
            <w:shd w:val="clear" w:color="auto" w:fill="auto"/>
            <w:vAlign w:val="bottom"/>
          </w:tcPr>
          <w:p w14:paraId="442F6964" w14:textId="77777777" w:rsidR="00CC25B5" w:rsidRDefault="00CC25B5">
            <w:pPr>
              <w:rPr>
                <w:rFonts w:ascii="宋体"/>
                <w:vanish/>
              </w:rPr>
            </w:pPr>
          </w:p>
        </w:tc>
        <w:tc>
          <w:tcPr>
            <w:tcW w:w="0" w:type="auto"/>
            <w:shd w:val="clear" w:color="auto" w:fill="auto"/>
            <w:vAlign w:val="bottom"/>
          </w:tcPr>
          <w:p w14:paraId="442F6965" w14:textId="77777777" w:rsidR="00CC25B5" w:rsidRDefault="00CC25B5">
            <w:pPr>
              <w:rPr>
                <w:rFonts w:ascii="宋体"/>
                <w:vanish/>
              </w:rPr>
            </w:pPr>
          </w:p>
        </w:tc>
        <w:tc>
          <w:tcPr>
            <w:tcW w:w="0" w:type="auto"/>
            <w:shd w:val="clear" w:color="auto" w:fill="auto"/>
            <w:vAlign w:val="bottom"/>
          </w:tcPr>
          <w:p w14:paraId="442F6966" w14:textId="77777777" w:rsidR="00CC25B5" w:rsidRDefault="00CC25B5">
            <w:pPr>
              <w:rPr>
                <w:rFonts w:ascii="宋体"/>
                <w:vanish/>
              </w:rPr>
            </w:pPr>
          </w:p>
        </w:tc>
      </w:tr>
      <w:tr w:rsidR="00CC25B5" w14:paraId="442F6983" w14:textId="77777777">
        <w:tc>
          <w:tcPr>
            <w:tcW w:w="0" w:type="auto"/>
            <w:gridSpan w:val="3"/>
            <w:shd w:val="clear" w:color="auto" w:fill="CCEEFF"/>
            <w:tcMar>
              <w:top w:w="40" w:type="dxa"/>
              <w:left w:w="20" w:type="dxa"/>
              <w:bottom w:w="40" w:type="dxa"/>
              <w:right w:w="20" w:type="dxa"/>
            </w:tcMar>
            <w:vAlign w:val="center"/>
          </w:tcPr>
          <w:p w14:paraId="442F6968" w14:textId="77777777" w:rsidR="00CC25B5" w:rsidRDefault="00900968">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442F696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96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6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6C"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96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6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6F"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97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7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72"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97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7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75" w14:textId="77777777" w:rsidR="00CC25B5" w:rsidRDefault="00900968">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442F697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7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78" w14:textId="77777777" w:rsidR="00CC25B5" w:rsidRDefault="00900968">
            <w:pPr>
              <w:jc w:val="right"/>
              <w:textAlignment w:val="center"/>
            </w:pPr>
            <w:r>
              <w:rPr>
                <w:rFonts w:ascii="Times New Roman" w:eastAsia="宋体" w:hAnsi="Times New Roman"/>
                <w:color w:val="000000"/>
                <w:sz w:val="16"/>
                <w:szCs w:val="16"/>
              </w:rPr>
              <w:t>3,820 </w:t>
            </w:r>
          </w:p>
        </w:tc>
        <w:tc>
          <w:tcPr>
            <w:tcW w:w="0" w:type="auto"/>
            <w:shd w:val="clear" w:color="auto" w:fill="CCEEFF"/>
            <w:tcMar>
              <w:top w:w="40" w:type="dxa"/>
              <w:left w:w="0" w:type="dxa"/>
              <w:bottom w:w="40" w:type="dxa"/>
              <w:right w:w="20" w:type="dxa"/>
            </w:tcMar>
            <w:vAlign w:val="center"/>
          </w:tcPr>
          <w:p w14:paraId="442F697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7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7B" w14:textId="77777777" w:rsidR="00CC25B5" w:rsidRDefault="00900968">
            <w:pPr>
              <w:jc w:val="right"/>
              <w:textAlignment w:val="center"/>
            </w:pPr>
            <w:r>
              <w:rPr>
                <w:rFonts w:ascii="Times New Roman" w:eastAsia="宋体" w:hAnsi="Times New Roman"/>
                <w:color w:val="000000"/>
                <w:sz w:val="16"/>
                <w:szCs w:val="16"/>
              </w:rPr>
              <w:t>(74)</w:t>
            </w:r>
          </w:p>
        </w:tc>
        <w:tc>
          <w:tcPr>
            <w:tcW w:w="0" w:type="auto"/>
            <w:shd w:val="clear" w:color="auto" w:fill="CCEEFF"/>
            <w:tcMar>
              <w:top w:w="40" w:type="dxa"/>
              <w:left w:w="0" w:type="dxa"/>
              <w:bottom w:w="40" w:type="dxa"/>
              <w:right w:w="20" w:type="dxa"/>
            </w:tcMar>
            <w:vAlign w:val="center"/>
          </w:tcPr>
          <w:p w14:paraId="442F697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7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7E" w14:textId="77777777" w:rsidR="00CC25B5" w:rsidRDefault="00900968">
            <w:pPr>
              <w:jc w:val="right"/>
              <w:textAlignment w:val="center"/>
            </w:pPr>
            <w:r>
              <w:rPr>
                <w:rFonts w:ascii="Times New Roman" w:eastAsia="宋体" w:hAnsi="Times New Roman"/>
                <w:color w:val="000000"/>
                <w:sz w:val="16"/>
                <w:szCs w:val="16"/>
              </w:rPr>
              <w:t>3,746 </w:t>
            </w:r>
          </w:p>
        </w:tc>
        <w:tc>
          <w:tcPr>
            <w:tcW w:w="0" w:type="auto"/>
            <w:shd w:val="clear" w:color="auto" w:fill="CCEEFF"/>
            <w:tcMar>
              <w:top w:w="40" w:type="dxa"/>
              <w:left w:w="0" w:type="dxa"/>
              <w:bottom w:w="40" w:type="dxa"/>
              <w:right w:w="20" w:type="dxa"/>
            </w:tcMar>
            <w:vAlign w:val="center"/>
          </w:tcPr>
          <w:p w14:paraId="442F697F" w14:textId="77777777" w:rsidR="00CC25B5" w:rsidRDefault="00CC25B5">
            <w:pPr>
              <w:jc w:val="right"/>
              <w:rPr>
                <w:rFonts w:ascii="宋体"/>
              </w:rPr>
            </w:pPr>
          </w:p>
        </w:tc>
        <w:tc>
          <w:tcPr>
            <w:tcW w:w="0" w:type="auto"/>
            <w:shd w:val="clear" w:color="auto" w:fill="auto"/>
            <w:vAlign w:val="bottom"/>
          </w:tcPr>
          <w:p w14:paraId="442F6980" w14:textId="77777777" w:rsidR="00CC25B5" w:rsidRDefault="00CC25B5">
            <w:pPr>
              <w:rPr>
                <w:rFonts w:ascii="宋体"/>
                <w:vanish/>
              </w:rPr>
            </w:pPr>
          </w:p>
        </w:tc>
        <w:tc>
          <w:tcPr>
            <w:tcW w:w="0" w:type="auto"/>
            <w:shd w:val="clear" w:color="auto" w:fill="auto"/>
            <w:vAlign w:val="bottom"/>
          </w:tcPr>
          <w:p w14:paraId="442F6981" w14:textId="77777777" w:rsidR="00CC25B5" w:rsidRDefault="00CC25B5">
            <w:pPr>
              <w:rPr>
                <w:rFonts w:ascii="宋体"/>
                <w:vanish/>
              </w:rPr>
            </w:pPr>
          </w:p>
        </w:tc>
        <w:tc>
          <w:tcPr>
            <w:tcW w:w="0" w:type="auto"/>
            <w:shd w:val="clear" w:color="auto" w:fill="auto"/>
            <w:vAlign w:val="bottom"/>
          </w:tcPr>
          <w:p w14:paraId="442F6982" w14:textId="77777777" w:rsidR="00CC25B5" w:rsidRDefault="00CC25B5">
            <w:pPr>
              <w:rPr>
                <w:rFonts w:ascii="宋体"/>
                <w:vanish/>
              </w:rPr>
            </w:pPr>
          </w:p>
        </w:tc>
      </w:tr>
      <w:tr w:rsidR="00CC25B5" w14:paraId="442F6997" w14:textId="77777777">
        <w:trPr>
          <w:hidden/>
        </w:trPr>
        <w:tc>
          <w:tcPr>
            <w:tcW w:w="0" w:type="auto"/>
            <w:gridSpan w:val="3"/>
            <w:shd w:val="clear" w:color="auto" w:fill="auto"/>
            <w:vAlign w:val="bottom"/>
          </w:tcPr>
          <w:p w14:paraId="442F6984" w14:textId="77777777" w:rsidR="00CC25B5" w:rsidRDefault="00CC25B5">
            <w:pPr>
              <w:rPr>
                <w:rFonts w:ascii="宋体"/>
                <w:vanish/>
              </w:rPr>
            </w:pPr>
          </w:p>
        </w:tc>
        <w:tc>
          <w:tcPr>
            <w:tcW w:w="0" w:type="auto"/>
            <w:gridSpan w:val="3"/>
            <w:shd w:val="clear" w:color="auto" w:fill="auto"/>
            <w:vAlign w:val="bottom"/>
          </w:tcPr>
          <w:p w14:paraId="442F6985" w14:textId="77777777" w:rsidR="00CC25B5" w:rsidRDefault="00CC25B5">
            <w:pPr>
              <w:rPr>
                <w:rFonts w:ascii="宋体"/>
                <w:vanish/>
              </w:rPr>
            </w:pPr>
          </w:p>
        </w:tc>
        <w:tc>
          <w:tcPr>
            <w:tcW w:w="0" w:type="auto"/>
            <w:gridSpan w:val="3"/>
            <w:shd w:val="clear" w:color="auto" w:fill="auto"/>
            <w:vAlign w:val="bottom"/>
          </w:tcPr>
          <w:p w14:paraId="442F6986" w14:textId="77777777" w:rsidR="00CC25B5" w:rsidRDefault="00CC25B5">
            <w:pPr>
              <w:rPr>
                <w:rFonts w:ascii="宋体"/>
                <w:vanish/>
              </w:rPr>
            </w:pPr>
          </w:p>
        </w:tc>
        <w:tc>
          <w:tcPr>
            <w:tcW w:w="0" w:type="auto"/>
            <w:gridSpan w:val="3"/>
            <w:shd w:val="clear" w:color="auto" w:fill="auto"/>
            <w:vAlign w:val="bottom"/>
          </w:tcPr>
          <w:p w14:paraId="442F6987" w14:textId="77777777" w:rsidR="00CC25B5" w:rsidRDefault="00CC25B5">
            <w:pPr>
              <w:rPr>
                <w:rFonts w:ascii="宋体"/>
                <w:vanish/>
              </w:rPr>
            </w:pPr>
          </w:p>
        </w:tc>
        <w:tc>
          <w:tcPr>
            <w:tcW w:w="0" w:type="auto"/>
            <w:gridSpan w:val="3"/>
            <w:shd w:val="clear" w:color="auto" w:fill="auto"/>
            <w:vAlign w:val="bottom"/>
          </w:tcPr>
          <w:p w14:paraId="442F6988" w14:textId="77777777" w:rsidR="00CC25B5" w:rsidRDefault="00CC25B5">
            <w:pPr>
              <w:rPr>
                <w:rFonts w:ascii="宋体"/>
                <w:vanish/>
              </w:rPr>
            </w:pPr>
          </w:p>
        </w:tc>
        <w:tc>
          <w:tcPr>
            <w:tcW w:w="0" w:type="auto"/>
            <w:gridSpan w:val="3"/>
            <w:shd w:val="clear" w:color="auto" w:fill="auto"/>
            <w:vAlign w:val="bottom"/>
          </w:tcPr>
          <w:p w14:paraId="442F6989" w14:textId="77777777" w:rsidR="00CC25B5" w:rsidRDefault="00CC25B5">
            <w:pPr>
              <w:rPr>
                <w:rFonts w:ascii="宋体"/>
                <w:vanish/>
              </w:rPr>
            </w:pPr>
          </w:p>
        </w:tc>
        <w:tc>
          <w:tcPr>
            <w:tcW w:w="0" w:type="auto"/>
            <w:gridSpan w:val="3"/>
            <w:shd w:val="clear" w:color="auto" w:fill="auto"/>
            <w:vAlign w:val="bottom"/>
          </w:tcPr>
          <w:p w14:paraId="442F698A" w14:textId="77777777" w:rsidR="00CC25B5" w:rsidRDefault="00CC25B5">
            <w:pPr>
              <w:rPr>
                <w:rFonts w:ascii="宋体"/>
                <w:vanish/>
              </w:rPr>
            </w:pPr>
          </w:p>
        </w:tc>
        <w:tc>
          <w:tcPr>
            <w:tcW w:w="0" w:type="auto"/>
            <w:gridSpan w:val="3"/>
            <w:shd w:val="clear" w:color="auto" w:fill="auto"/>
            <w:vAlign w:val="bottom"/>
          </w:tcPr>
          <w:p w14:paraId="442F698B" w14:textId="77777777" w:rsidR="00CC25B5" w:rsidRDefault="00CC25B5">
            <w:pPr>
              <w:rPr>
                <w:rFonts w:ascii="宋体"/>
                <w:vanish/>
              </w:rPr>
            </w:pPr>
          </w:p>
        </w:tc>
        <w:tc>
          <w:tcPr>
            <w:tcW w:w="0" w:type="auto"/>
            <w:gridSpan w:val="3"/>
            <w:shd w:val="clear" w:color="auto" w:fill="auto"/>
            <w:vAlign w:val="bottom"/>
          </w:tcPr>
          <w:p w14:paraId="442F698C" w14:textId="77777777" w:rsidR="00CC25B5" w:rsidRDefault="00CC25B5">
            <w:pPr>
              <w:rPr>
                <w:rFonts w:ascii="宋体"/>
                <w:vanish/>
              </w:rPr>
            </w:pPr>
          </w:p>
        </w:tc>
        <w:tc>
          <w:tcPr>
            <w:tcW w:w="0" w:type="auto"/>
            <w:gridSpan w:val="3"/>
            <w:shd w:val="clear" w:color="auto" w:fill="auto"/>
            <w:vAlign w:val="bottom"/>
          </w:tcPr>
          <w:p w14:paraId="442F698D" w14:textId="77777777" w:rsidR="00CC25B5" w:rsidRDefault="00CC25B5">
            <w:pPr>
              <w:rPr>
                <w:rFonts w:ascii="宋体"/>
                <w:vanish/>
              </w:rPr>
            </w:pPr>
          </w:p>
        </w:tc>
        <w:tc>
          <w:tcPr>
            <w:tcW w:w="0" w:type="auto"/>
            <w:gridSpan w:val="3"/>
            <w:shd w:val="clear" w:color="auto" w:fill="auto"/>
            <w:vAlign w:val="bottom"/>
          </w:tcPr>
          <w:p w14:paraId="442F698E" w14:textId="77777777" w:rsidR="00CC25B5" w:rsidRDefault="00CC25B5">
            <w:pPr>
              <w:rPr>
                <w:rFonts w:ascii="宋体"/>
                <w:vanish/>
              </w:rPr>
            </w:pPr>
          </w:p>
        </w:tc>
        <w:tc>
          <w:tcPr>
            <w:tcW w:w="0" w:type="auto"/>
            <w:gridSpan w:val="3"/>
            <w:shd w:val="clear" w:color="auto" w:fill="auto"/>
            <w:vAlign w:val="bottom"/>
          </w:tcPr>
          <w:p w14:paraId="442F698F" w14:textId="77777777" w:rsidR="00CC25B5" w:rsidRDefault="00CC25B5">
            <w:pPr>
              <w:rPr>
                <w:rFonts w:ascii="宋体"/>
                <w:vanish/>
              </w:rPr>
            </w:pPr>
          </w:p>
        </w:tc>
        <w:tc>
          <w:tcPr>
            <w:tcW w:w="0" w:type="auto"/>
            <w:gridSpan w:val="3"/>
            <w:shd w:val="clear" w:color="auto" w:fill="auto"/>
            <w:vAlign w:val="bottom"/>
          </w:tcPr>
          <w:p w14:paraId="442F6990" w14:textId="77777777" w:rsidR="00CC25B5" w:rsidRDefault="00CC25B5">
            <w:pPr>
              <w:rPr>
                <w:rFonts w:ascii="宋体"/>
                <w:vanish/>
              </w:rPr>
            </w:pPr>
          </w:p>
        </w:tc>
        <w:tc>
          <w:tcPr>
            <w:tcW w:w="0" w:type="auto"/>
            <w:gridSpan w:val="3"/>
            <w:shd w:val="clear" w:color="auto" w:fill="auto"/>
            <w:vAlign w:val="bottom"/>
          </w:tcPr>
          <w:p w14:paraId="442F6991" w14:textId="77777777" w:rsidR="00CC25B5" w:rsidRDefault="00CC25B5">
            <w:pPr>
              <w:rPr>
                <w:rFonts w:ascii="宋体"/>
                <w:vanish/>
              </w:rPr>
            </w:pPr>
          </w:p>
        </w:tc>
        <w:tc>
          <w:tcPr>
            <w:tcW w:w="0" w:type="auto"/>
            <w:gridSpan w:val="3"/>
            <w:shd w:val="clear" w:color="auto" w:fill="auto"/>
            <w:vAlign w:val="bottom"/>
          </w:tcPr>
          <w:p w14:paraId="442F6992" w14:textId="77777777" w:rsidR="00CC25B5" w:rsidRDefault="00CC25B5">
            <w:pPr>
              <w:rPr>
                <w:rFonts w:ascii="宋体"/>
                <w:vanish/>
              </w:rPr>
            </w:pPr>
          </w:p>
        </w:tc>
        <w:tc>
          <w:tcPr>
            <w:tcW w:w="0" w:type="auto"/>
            <w:gridSpan w:val="3"/>
            <w:shd w:val="clear" w:color="auto" w:fill="auto"/>
            <w:vAlign w:val="bottom"/>
          </w:tcPr>
          <w:p w14:paraId="442F6993" w14:textId="77777777" w:rsidR="00CC25B5" w:rsidRDefault="00CC25B5">
            <w:pPr>
              <w:rPr>
                <w:rFonts w:ascii="宋体"/>
                <w:vanish/>
              </w:rPr>
            </w:pPr>
          </w:p>
        </w:tc>
        <w:tc>
          <w:tcPr>
            <w:tcW w:w="0" w:type="auto"/>
            <w:shd w:val="clear" w:color="auto" w:fill="auto"/>
            <w:vAlign w:val="bottom"/>
          </w:tcPr>
          <w:p w14:paraId="442F6994" w14:textId="77777777" w:rsidR="00CC25B5" w:rsidRDefault="00CC25B5">
            <w:pPr>
              <w:rPr>
                <w:rFonts w:ascii="宋体"/>
                <w:vanish/>
              </w:rPr>
            </w:pPr>
          </w:p>
        </w:tc>
        <w:tc>
          <w:tcPr>
            <w:tcW w:w="0" w:type="auto"/>
            <w:shd w:val="clear" w:color="auto" w:fill="auto"/>
            <w:vAlign w:val="bottom"/>
          </w:tcPr>
          <w:p w14:paraId="442F6995" w14:textId="77777777" w:rsidR="00CC25B5" w:rsidRDefault="00CC25B5">
            <w:pPr>
              <w:rPr>
                <w:rFonts w:ascii="宋体"/>
                <w:vanish/>
              </w:rPr>
            </w:pPr>
          </w:p>
        </w:tc>
        <w:tc>
          <w:tcPr>
            <w:tcW w:w="0" w:type="auto"/>
            <w:shd w:val="clear" w:color="auto" w:fill="auto"/>
            <w:vAlign w:val="bottom"/>
          </w:tcPr>
          <w:p w14:paraId="442F6996" w14:textId="77777777" w:rsidR="00CC25B5" w:rsidRDefault="00CC25B5">
            <w:pPr>
              <w:rPr>
                <w:rFonts w:ascii="宋体"/>
                <w:vanish/>
              </w:rPr>
            </w:pPr>
          </w:p>
        </w:tc>
      </w:tr>
      <w:tr w:rsidR="00CC25B5" w14:paraId="442F69AB" w14:textId="77777777">
        <w:trPr>
          <w:hidden/>
        </w:trPr>
        <w:tc>
          <w:tcPr>
            <w:tcW w:w="0" w:type="auto"/>
            <w:gridSpan w:val="3"/>
            <w:shd w:val="clear" w:color="auto" w:fill="auto"/>
            <w:vAlign w:val="bottom"/>
          </w:tcPr>
          <w:p w14:paraId="442F6998" w14:textId="77777777" w:rsidR="00CC25B5" w:rsidRDefault="00CC25B5">
            <w:pPr>
              <w:rPr>
                <w:rFonts w:ascii="宋体"/>
                <w:vanish/>
              </w:rPr>
            </w:pPr>
          </w:p>
        </w:tc>
        <w:tc>
          <w:tcPr>
            <w:tcW w:w="0" w:type="auto"/>
            <w:gridSpan w:val="3"/>
            <w:shd w:val="clear" w:color="auto" w:fill="auto"/>
            <w:vAlign w:val="bottom"/>
          </w:tcPr>
          <w:p w14:paraId="442F6999" w14:textId="77777777" w:rsidR="00CC25B5" w:rsidRDefault="00CC25B5">
            <w:pPr>
              <w:rPr>
                <w:rFonts w:ascii="宋体"/>
                <w:vanish/>
              </w:rPr>
            </w:pPr>
          </w:p>
        </w:tc>
        <w:tc>
          <w:tcPr>
            <w:tcW w:w="0" w:type="auto"/>
            <w:gridSpan w:val="3"/>
            <w:shd w:val="clear" w:color="auto" w:fill="auto"/>
            <w:vAlign w:val="bottom"/>
          </w:tcPr>
          <w:p w14:paraId="442F699A" w14:textId="77777777" w:rsidR="00CC25B5" w:rsidRDefault="00CC25B5">
            <w:pPr>
              <w:rPr>
                <w:rFonts w:ascii="宋体"/>
                <w:vanish/>
              </w:rPr>
            </w:pPr>
          </w:p>
        </w:tc>
        <w:tc>
          <w:tcPr>
            <w:tcW w:w="0" w:type="auto"/>
            <w:gridSpan w:val="3"/>
            <w:shd w:val="clear" w:color="auto" w:fill="auto"/>
            <w:vAlign w:val="bottom"/>
          </w:tcPr>
          <w:p w14:paraId="442F699B" w14:textId="77777777" w:rsidR="00CC25B5" w:rsidRDefault="00CC25B5">
            <w:pPr>
              <w:rPr>
                <w:rFonts w:ascii="宋体"/>
                <w:vanish/>
              </w:rPr>
            </w:pPr>
          </w:p>
        </w:tc>
        <w:tc>
          <w:tcPr>
            <w:tcW w:w="0" w:type="auto"/>
            <w:gridSpan w:val="3"/>
            <w:shd w:val="clear" w:color="auto" w:fill="auto"/>
            <w:vAlign w:val="bottom"/>
          </w:tcPr>
          <w:p w14:paraId="442F699C" w14:textId="77777777" w:rsidR="00CC25B5" w:rsidRDefault="00CC25B5">
            <w:pPr>
              <w:rPr>
                <w:rFonts w:ascii="宋体"/>
                <w:vanish/>
              </w:rPr>
            </w:pPr>
          </w:p>
        </w:tc>
        <w:tc>
          <w:tcPr>
            <w:tcW w:w="0" w:type="auto"/>
            <w:gridSpan w:val="3"/>
            <w:shd w:val="clear" w:color="auto" w:fill="auto"/>
            <w:vAlign w:val="bottom"/>
          </w:tcPr>
          <w:p w14:paraId="442F699D" w14:textId="77777777" w:rsidR="00CC25B5" w:rsidRDefault="00CC25B5">
            <w:pPr>
              <w:rPr>
                <w:rFonts w:ascii="宋体"/>
                <w:vanish/>
              </w:rPr>
            </w:pPr>
          </w:p>
        </w:tc>
        <w:tc>
          <w:tcPr>
            <w:tcW w:w="0" w:type="auto"/>
            <w:gridSpan w:val="3"/>
            <w:shd w:val="clear" w:color="auto" w:fill="auto"/>
            <w:vAlign w:val="bottom"/>
          </w:tcPr>
          <w:p w14:paraId="442F699E" w14:textId="77777777" w:rsidR="00CC25B5" w:rsidRDefault="00CC25B5">
            <w:pPr>
              <w:rPr>
                <w:rFonts w:ascii="宋体"/>
                <w:vanish/>
              </w:rPr>
            </w:pPr>
          </w:p>
        </w:tc>
        <w:tc>
          <w:tcPr>
            <w:tcW w:w="0" w:type="auto"/>
            <w:gridSpan w:val="3"/>
            <w:shd w:val="clear" w:color="auto" w:fill="auto"/>
            <w:vAlign w:val="bottom"/>
          </w:tcPr>
          <w:p w14:paraId="442F699F" w14:textId="77777777" w:rsidR="00CC25B5" w:rsidRDefault="00CC25B5">
            <w:pPr>
              <w:rPr>
                <w:rFonts w:ascii="宋体"/>
                <w:vanish/>
              </w:rPr>
            </w:pPr>
          </w:p>
        </w:tc>
        <w:tc>
          <w:tcPr>
            <w:tcW w:w="0" w:type="auto"/>
            <w:gridSpan w:val="3"/>
            <w:shd w:val="clear" w:color="auto" w:fill="auto"/>
            <w:vAlign w:val="bottom"/>
          </w:tcPr>
          <w:p w14:paraId="442F69A0" w14:textId="77777777" w:rsidR="00CC25B5" w:rsidRDefault="00CC25B5">
            <w:pPr>
              <w:rPr>
                <w:rFonts w:ascii="宋体"/>
                <w:vanish/>
              </w:rPr>
            </w:pPr>
          </w:p>
        </w:tc>
        <w:tc>
          <w:tcPr>
            <w:tcW w:w="0" w:type="auto"/>
            <w:gridSpan w:val="3"/>
            <w:shd w:val="clear" w:color="auto" w:fill="auto"/>
            <w:vAlign w:val="bottom"/>
          </w:tcPr>
          <w:p w14:paraId="442F69A1" w14:textId="77777777" w:rsidR="00CC25B5" w:rsidRDefault="00CC25B5">
            <w:pPr>
              <w:rPr>
                <w:rFonts w:ascii="宋体"/>
                <w:vanish/>
              </w:rPr>
            </w:pPr>
          </w:p>
        </w:tc>
        <w:tc>
          <w:tcPr>
            <w:tcW w:w="0" w:type="auto"/>
            <w:gridSpan w:val="3"/>
            <w:shd w:val="clear" w:color="auto" w:fill="auto"/>
            <w:vAlign w:val="bottom"/>
          </w:tcPr>
          <w:p w14:paraId="442F69A2" w14:textId="77777777" w:rsidR="00CC25B5" w:rsidRDefault="00CC25B5">
            <w:pPr>
              <w:rPr>
                <w:rFonts w:ascii="宋体"/>
                <w:vanish/>
              </w:rPr>
            </w:pPr>
          </w:p>
        </w:tc>
        <w:tc>
          <w:tcPr>
            <w:tcW w:w="0" w:type="auto"/>
            <w:gridSpan w:val="3"/>
            <w:shd w:val="clear" w:color="auto" w:fill="auto"/>
            <w:vAlign w:val="bottom"/>
          </w:tcPr>
          <w:p w14:paraId="442F69A3" w14:textId="77777777" w:rsidR="00CC25B5" w:rsidRDefault="00CC25B5">
            <w:pPr>
              <w:rPr>
                <w:rFonts w:ascii="宋体"/>
                <w:vanish/>
              </w:rPr>
            </w:pPr>
          </w:p>
        </w:tc>
        <w:tc>
          <w:tcPr>
            <w:tcW w:w="0" w:type="auto"/>
            <w:gridSpan w:val="3"/>
            <w:shd w:val="clear" w:color="auto" w:fill="auto"/>
            <w:vAlign w:val="bottom"/>
          </w:tcPr>
          <w:p w14:paraId="442F69A4" w14:textId="77777777" w:rsidR="00CC25B5" w:rsidRDefault="00CC25B5">
            <w:pPr>
              <w:rPr>
                <w:rFonts w:ascii="宋体"/>
                <w:vanish/>
              </w:rPr>
            </w:pPr>
          </w:p>
        </w:tc>
        <w:tc>
          <w:tcPr>
            <w:tcW w:w="0" w:type="auto"/>
            <w:gridSpan w:val="3"/>
            <w:shd w:val="clear" w:color="auto" w:fill="auto"/>
            <w:vAlign w:val="bottom"/>
          </w:tcPr>
          <w:p w14:paraId="442F69A5" w14:textId="77777777" w:rsidR="00CC25B5" w:rsidRDefault="00CC25B5">
            <w:pPr>
              <w:rPr>
                <w:rFonts w:ascii="宋体"/>
                <w:vanish/>
              </w:rPr>
            </w:pPr>
          </w:p>
        </w:tc>
        <w:tc>
          <w:tcPr>
            <w:tcW w:w="0" w:type="auto"/>
            <w:gridSpan w:val="3"/>
            <w:shd w:val="clear" w:color="auto" w:fill="auto"/>
            <w:vAlign w:val="bottom"/>
          </w:tcPr>
          <w:p w14:paraId="442F69A6" w14:textId="77777777" w:rsidR="00CC25B5" w:rsidRDefault="00CC25B5">
            <w:pPr>
              <w:rPr>
                <w:rFonts w:ascii="宋体"/>
                <w:vanish/>
              </w:rPr>
            </w:pPr>
          </w:p>
        </w:tc>
        <w:tc>
          <w:tcPr>
            <w:tcW w:w="0" w:type="auto"/>
            <w:gridSpan w:val="3"/>
            <w:shd w:val="clear" w:color="auto" w:fill="auto"/>
            <w:vAlign w:val="bottom"/>
          </w:tcPr>
          <w:p w14:paraId="442F69A7" w14:textId="77777777" w:rsidR="00CC25B5" w:rsidRDefault="00CC25B5">
            <w:pPr>
              <w:rPr>
                <w:rFonts w:ascii="宋体"/>
                <w:vanish/>
              </w:rPr>
            </w:pPr>
          </w:p>
        </w:tc>
        <w:tc>
          <w:tcPr>
            <w:tcW w:w="0" w:type="auto"/>
            <w:shd w:val="clear" w:color="auto" w:fill="auto"/>
            <w:vAlign w:val="bottom"/>
          </w:tcPr>
          <w:p w14:paraId="442F69A8" w14:textId="77777777" w:rsidR="00CC25B5" w:rsidRDefault="00CC25B5">
            <w:pPr>
              <w:rPr>
                <w:rFonts w:ascii="宋体"/>
                <w:vanish/>
              </w:rPr>
            </w:pPr>
          </w:p>
        </w:tc>
        <w:tc>
          <w:tcPr>
            <w:tcW w:w="0" w:type="auto"/>
            <w:shd w:val="clear" w:color="auto" w:fill="auto"/>
            <w:vAlign w:val="bottom"/>
          </w:tcPr>
          <w:p w14:paraId="442F69A9" w14:textId="77777777" w:rsidR="00CC25B5" w:rsidRDefault="00CC25B5">
            <w:pPr>
              <w:rPr>
                <w:rFonts w:ascii="宋体"/>
                <w:vanish/>
              </w:rPr>
            </w:pPr>
          </w:p>
        </w:tc>
        <w:tc>
          <w:tcPr>
            <w:tcW w:w="0" w:type="auto"/>
            <w:shd w:val="clear" w:color="auto" w:fill="auto"/>
            <w:vAlign w:val="bottom"/>
          </w:tcPr>
          <w:p w14:paraId="442F69AA" w14:textId="77777777" w:rsidR="00CC25B5" w:rsidRDefault="00CC25B5">
            <w:pPr>
              <w:rPr>
                <w:rFonts w:ascii="宋体"/>
                <w:vanish/>
              </w:rPr>
            </w:pPr>
          </w:p>
        </w:tc>
      </w:tr>
      <w:tr w:rsidR="00CC25B5" w14:paraId="442F69BF" w14:textId="77777777">
        <w:trPr>
          <w:hidden/>
        </w:trPr>
        <w:tc>
          <w:tcPr>
            <w:tcW w:w="0" w:type="auto"/>
            <w:gridSpan w:val="3"/>
            <w:shd w:val="clear" w:color="auto" w:fill="auto"/>
            <w:vAlign w:val="bottom"/>
          </w:tcPr>
          <w:p w14:paraId="442F69AC" w14:textId="77777777" w:rsidR="00CC25B5" w:rsidRDefault="00CC25B5">
            <w:pPr>
              <w:rPr>
                <w:rFonts w:ascii="宋体"/>
                <w:vanish/>
              </w:rPr>
            </w:pPr>
          </w:p>
        </w:tc>
        <w:tc>
          <w:tcPr>
            <w:tcW w:w="0" w:type="auto"/>
            <w:gridSpan w:val="3"/>
            <w:shd w:val="clear" w:color="auto" w:fill="auto"/>
            <w:vAlign w:val="bottom"/>
          </w:tcPr>
          <w:p w14:paraId="442F69AD" w14:textId="77777777" w:rsidR="00CC25B5" w:rsidRDefault="00CC25B5">
            <w:pPr>
              <w:rPr>
                <w:rFonts w:ascii="宋体"/>
                <w:vanish/>
              </w:rPr>
            </w:pPr>
          </w:p>
        </w:tc>
        <w:tc>
          <w:tcPr>
            <w:tcW w:w="0" w:type="auto"/>
            <w:gridSpan w:val="3"/>
            <w:shd w:val="clear" w:color="auto" w:fill="auto"/>
            <w:vAlign w:val="bottom"/>
          </w:tcPr>
          <w:p w14:paraId="442F69AE" w14:textId="77777777" w:rsidR="00CC25B5" w:rsidRDefault="00CC25B5">
            <w:pPr>
              <w:rPr>
                <w:rFonts w:ascii="宋体"/>
                <w:vanish/>
              </w:rPr>
            </w:pPr>
          </w:p>
        </w:tc>
        <w:tc>
          <w:tcPr>
            <w:tcW w:w="0" w:type="auto"/>
            <w:gridSpan w:val="3"/>
            <w:shd w:val="clear" w:color="auto" w:fill="auto"/>
            <w:vAlign w:val="bottom"/>
          </w:tcPr>
          <w:p w14:paraId="442F69AF" w14:textId="77777777" w:rsidR="00CC25B5" w:rsidRDefault="00CC25B5">
            <w:pPr>
              <w:rPr>
                <w:rFonts w:ascii="宋体"/>
                <w:vanish/>
              </w:rPr>
            </w:pPr>
          </w:p>
        </w:tc>
        <w:tc>
          <w:tcPr>
            <w:tcW w:w="0" w:type="auto"/>
            <w:gridSpan w:val="3"/>
            <w:shd w:val="clear" w:color="auto" w:fill="auto"/>
            <w:vAlign w:val="bottom"/>
          </w:tcPr>
          <w:p w14:paraId="442F69B0" w14:textId="77777777" w:rsidR="00CC25B5" w:rsidRDefault="00CC25B5">
            <w:pPr>
              <w:rPr>
                <w:rFonts w:ascii="宋体"/>
                <w:vanish/>
              </w:rPr>
            </w:pPr>
          </w:p>
        </w:tc>
        <w:tc>
          <w:tcPr>
            <w:tcW w:w="0" w:type="auto"/>
            <w:gridSpan w:val="3"/>
            <w:shd w:val="clear" w:color="auto" w:fill="auto"/>
            <w:vAlign w:val="bottom"/>
          </w:tcPr>
          <w:p w14:paraId="442F69B1" w14:textId="77777777" w:rsidR="00CC25B5" w:rsidRDefault="00CC25B5">
            <w:pPr>
              <w:rPr>
                <w:rFonts w:ascii="宋体"/>
                <w:vanish/>
              </w:rPr>
            </w:pPr>
          </w:p>
        </w:tc>
        <w:tc>
          <w:tcPr>
            <w:tcW w:w="0" w:type="auto"/>
            <w:gridSpan w:val="3"/>
            <w:shd w:val="clear" w:color="auto" w:fill="auto"/>
            <w:vAlign w:val="bottom"/>
          </w:tcPr>
          <w:p w14:paraId="442F69B2" w14:textId="77777777" w:rsidR="00CC25B5" w:rsidRDefault="00CC25B5">
            <w:pPr>
              <w:rPr>
                <w:rFonts w:ascii="宋体"/>
                <w:vanish/>
              </w:rPr>
            </w:pPr>
          </w:p>
        </w:tc>
        <w:tc>
          <w:tcPr>
            <w:tcW w:w="0" w:type="auto"/>
            <w:gridSpan w:val="3"/>
            <w:shd w:val="clear" w:color="auto" w:fill="auto"/>
            <w:vAlign w:val="bottom"/>
          </w:tcPr>
          <w:p w14:paraId="442F69B3" w14:textId="77777777" w:rsidR="00CC25B5" w:rsidRDefault="00CC25B5">
            <w:pPr>
              <w:rPr>
                <w:rFonts w:ascii="宋体"/>
                <w:vanish/>
              </w:rPr>
            </w:pPr>
          </w:p>
        </w:tc>
        <w:tc>
          <w:tcPr>
            <w:tcW w:w="0" w:type="auto"/>
            <w:gridSpan w:val="3"/>
            <w:shd w:val="clear" w:color="auto" w:fill="auto"/>
            <w:vAlign w:val="bottom"/>
          </w:tcPr>
          <w:p w14:paraId="442F69B4" w14:textId="77777777" w:rsidR="00CC25B5" w:rsidRDefault="00CC25B5">
            <w:pPr>
              <w:rPr>
                <w:rFonts w:ascii="宋体"/>
                <w:vanish/>
              </w:rPr>
            </w:pPr>
          </w:p>
        </w:tc>
        <w:tc>
          <w:tcPr>
            <w:tcW w:w="0" w:type="auto"/>
            <w:gridSpan w:val="3"/>
            <w:shd w:val="clear" w:color="auto" w:fill="auto"/>
            <w:vAlign w:val="bottom"/>
          </w:tcPr>
          <w:p w14:paraId="442F69B5" w14:textId="77777777" w:rsidR="00CC25B5" w:rsidRDefault="00CC25B5">
            <w:pPr>
              <w:rPr>
                <w:rFonts w:ascii="宋体"/>
                <w:vanish/>
              </w:rPr>
            </w:pPr>
          </w:p>
        </w:tc>
        <w:tc>
          <w:tcPr>
            <w:tcW w:w="0" w:type="auto"/>
            <w:gridSpan w:val="3"/>
            <w:shd w:val="clear" w:color="auto" w:fill="auto"/>
            <w:vAlign w:val="bottom"/>
          </w:tcPr>
          <w:p w14:paraId="442F69B6" w14:textId="77777777" w:rsidR="00CC25B5" w:rsidRDefault="00CC25B5">
            <w:pPr>
              <w:rPr>
                <w:rFonts w:ascii="宋体"/>
                <w:vanish/>
              </w:rPr>
            </w:pPr>
          </w:p>
        </w:tc>
        <w:tc>
          <w:tcPr>
            <w:tcW w:w="0" w:type="auto"/>
            <w:gridSpan w:val="3"/>
            <w:shd w:val="clear" w:color="auto" w:fill="auto"/>
            <w:vAlign w:val="bottom"/>
          </w:tcPr>
          <w:p w14:paraId="442F69B7" w14:textId="77777777" w:rsidR="00CC25B5" w:rsidRDefault="00CC25B5">
            <w:pPr>
              <w:rPr>
                <w:rFonts w:ascii="宋体"/>
                <w:vanish/>
              </w:rPr>
            </w:pPr>
          </w:p>
        </w:tc>
        <w:tc>
          <w:tcPr>
            <w:tcW w:w="0" w:type="auto"/>
            <w:gridSpan w:val="3"/>
            <w:shd w:val="clear" w:color="auto" w:fill="auto"/>
            <w:vAlign w:val="bottom"/>
          </w:tcPr>
          <w:p w14:paraId="442F69B8" w14:textId="77777777" w:rsidR="00CC25B5" w:rsidRDefault="00CC25B5">
            <w:pPr>
              <w:rPr>
                <w:rFonts w:ascii="宋体"/>
                <w:vanish/>
              </w:rPr>
            </w:pPr>
          </w:p>
        </w:tc>
        <w:tc>
          <w:tcPr>
            <w:tcW w:w="0" w:type="auto"/>
            <w:gridSpan w:val="3"/>
            <w:shd w:val="clear" w:color="auto" w:fill="auto"/>
            <w:vAlign w:val="bottom"/>
          </w:tcPr>
          <w:p w14:paraId="442F69B9" w14:textId="77777777" w:rsidR="00CC25B5" w:rsidRDefault="00CC25B5">
            <w:pPr>
              <w:rPr>
                <w:rFonts w:ascii="宋体"/>
                <w:vanish/>
              </w:rPr>
            </w:pPr>
          </w:p>
        </w:tc>
        <w:tc>
          <w:tcPr>
            <w:tcW w:w="0" w:type="auto"/>
            <w:gridSpan w:val="3"/>
            <w:shd w:val="clear" w:color="auto" w:fill="auto"/>
            <w:vAlign w:val="bottom"/>
          </w:tcPr>
          <w:p w14:paraId="442F69BA" w14:textId="77777777" w:rsidR="00CC25B5" w:rsidRDefault="00CC25B5">
            <w:pPr>
              <w:rPr>
                <w:rFonts w:ascii="宋体"/>
                <w:vanish/>
              </w:rPr>
            </w:pPr>
          </w:p>
        </w:tc>
        <w:tc>
          <w:tcPr>
            <w:tcW w:w="0" w:type="auto"/>
            <w:gridSpan w:val="3"/>
            <w:shd w:val="clear" w:color="auto" w:fill="auto"/>
            <w:vAlign w:val="bottom"/>
          </w:tcPr>
          <w:p w14:paraId="442F69BB" w14:textId="77777777" w:rsidR="00CC25B5" w:rsidRDefault="00CC25B5">
            <w:pPr>
              <w:rPr>
                <w:rFonts w:ascii="宋体"/>
                <w:vanish/>
              </w:rPr>
            </w:pPr>
          </w:p>
        </w:tc>
        <w:tc>
          <w:tcPr>
            <w:tcW w:w="0" w:type="auto"/>
            <w:shd w:val="clear" w:color="auto" w:fill="auto"/>
            <w:vAlign w:val="bottom"/>
          </w:tcPr>
          <w:p w14:paraId="442F69BC" w14:textId="77777777" w:rsidR="00CC25B5" w:rsidRDefault="00CC25B5">
            <w:pPr>
              <w:rPr>
                <w:rFonts w:ascii="宋体"/>
                <w:vanish/>
              </w:rPr>
            </w:pPr>
          </w:p>
        </w:tc>
        <w:tc>
          <w:tcPr>
            <w:tcW w:w="0" w:type="auto"/>
            <w:shd w:val="clear" w:color="auto" w:fill="auto"/>
            <w:vAlign w:val="bottom"/>
          </w:tcPr>
          <w:p w14:paraId="442F69BD" w14:textId="77777777" w:rsidR="00CC25B5" w:rsidRDefault="00CC25B5">
            <w:pPr>
              <w:rPr>
                <w:rFonts w:ascii="宋体"/>
                <w:vanish/>
              </w:rPr>
            </w:pPr>
          </w:p>
        </w:tc>
        <w:tc>
          <w:tcPr>
            <w:tcW w:w="0" w:type="auto"/>
            <w:shd w:val="clear" w:color="auto" w:fill="auto"/>
            <w:vAlign w:val="bottom"/>
          </w:tcPr>
          <w:p w14:paraId="442F69BE" w14:textId="77777777" w:rsidR="00CC25B5" w:rsidRDefault="00CC25B5">
            <w:pPr>
              <w:rPr>
                <w:rFonts w:ascii="宋体"/>
                <w:vanish/>
              </w:rPr>
            </w:pPr>
          </w:p>
        </w:tc>
      </w:tr>
      <w:tr w:rsidR="00CC25B5" w14:paraId="442F69D3" w14:textId="77777777">
        <w:trPr>
          <w:hidden/>
        </w:trPr>
        <w:tc>
          <w:tcPr>
            <w:tcW w:w="0" w:type="auto"/>
            <w:gridSpan w:val="3"/>
            <w:shd w:val="clear" w:color="auto" w:fill="auto"/>
            <w:vAlign w:val="bottom"/>
          </w:tcPr>
          <w:p w14:paraId="442F69C0" w14:textId="77777777" w:rsidR="00CC25B5" w:rsidRDefault="00CC25B5">
            <w:pPr>
              <w:rPr>
                <w:rFonts w:ascii="宋体"/>
                <w:vanish/>
              </w:rPr>
            </w:pPr>
          </w:p>
        </w:tc>
        <w:tc>
          <w:tcPr>
            <w:tcW w:w="0" w:type="auto"/>
            <w:gridSpan w:val="3"/>
            <w:shd w:val="clear" w:color="auto" w:fill="auto"/>
            <w:vAlign w:val="bottom"/>
          </w:tcPr>
          <w:p w14:paraId="442F69C1" w14:textId="77777777" w:rsidR="00CC25B5" w:rsidRDefault="00CC25B5">
            <w:pPr>
              <w:rPr>
                <w:rFonts w:ascii="宋体"/>
                <w:vanish/>
              </w:rPr>
            </w:pPr>
          </w:p>
        </w:tc>
        <w:tc>
          <w:tcPr>
            <w:tcW w:w="0" w:type="auto"/>
            <w:gridSpan w:val="3"/>
            <w:shd w:val="clear" w:color="auto" w:fill="auto"/>
            <w:vAlign w:val="bottom"/>
          </w:tcPr>
          <w:p w14:paraId="442F69C2" w14:textId="77777777" w:rsidR="00CC25B5" w:rsidRDefault="00CC25B5">
            <w:pPr>
              <w:rPr>
                <w:rFonts w:ascii="宋体"/>
                <w:vanish/>
              </w:rPr>
            </w:pPr>
          </w:p>
        </w:tc>
        <w:tc>
          <w:tcPr>
            <w:tcW w:w="0" w:type="auto"/>
            <w:gridSpan w:val="3"/>
            <w:shd w:val="clear" w:color="auto" w:fill="auto"/>
            <w:vAlign w:val="bottom"/>
          </w:tcPr>
          <w:p w14:paraId="442F69C3" w14:textId="77777777" w:rsidR="00CC25B5" w:rsidRDefault="00CC25B5">
            <w:pPr>
              <w:rPr>
                <w:rFonts w:ascii="宋体"/>
                <w:vanish/>
              </w:rPr>
            </w:pPr>
          </w:p>
        </w:tc>
        <w:tc>
          <w:tcPr>
            <w:tcW w:w="0" w:type="auto"/>
            <w:gridSpan w:val="3"/>
            <w:shd w:val="clear" w:color="auto" w:fill="auto"/>
            <w:vAlign w:val="bottom"/>
          </w:tcPr>
          <w:p w14:paraId="442F69C4" w14:textId="77777777" w:rsidR="00CC25B5" w:rsidRDefault="00CC25B5">
            <w:pPr>
              <w:rPr>
                <w:rFonts w:ascii="宋体"/>
                <w:vanish/>
              </w:rPr>
            </w:pPr>
          </w:p>
        </w:tc>
        <w:tc>
          <w:tcPr>
            <w:tcW w:w="0" w:type="auto"/>
            <w:gridSpan w:val="3"/>
            <w:shd w:val="clear" w:color="auto" w:fill="auto"/>
            <w:vAlign w:val="bottom"/>
          </w:tcPr>
          <w:p w14:paraId="442F69C5" w14:textId="77777777" w:rsidR="00CC25B5" w:rsidRDefault="00CC25B5">
            <w:pPr>
              <w:rPr>
                <w:rFonts w:ascii="宋体"/>
                <w:vanish/>
              </w:rPr>
            </w:pPr>
          </w:p>
        </w:tc>
        <w:tc>
          <w:tcPr>
            <w:tcW w:w="0" w:type="auto"/>
            <w:gridSpan w:val="3"/>
            <w:shd w:val="clear" w:color="auto" w:fill="auto"/>
            <w:vAlign w:val="bottom"/>
          </w:tcPr>
          <w:p w14:paraId="442F69C6" w14:textId="77777777" w:rsidR="00CC25B5" w:rsidRDefault="00CC25B5">
            <w:pPr>
              <w:rPr>
                <w:rFonts w:ascii="宋体"/>
                <w:vanish/>
              </w:rPr>
            </w:pPr>
          </w:p>
        </w:tc>
        <w:tc>
          <w:tcPr>
            <w:tcW w:w="0" w:type="auto"/>
            <w:gridSpan w:val="3"/>
            <w:shd w:val="clear" w:color="auto" w:fill="auto"/>
            <w:vAlign w:val="bottom"/>
          </w:tcPr>
          <w:p w14:paraId="442F69C7" w14:textId="77777777" w:rsidR="00CC25B5" w:rsidRDefault="00CC25B5">
            <w:pPr>
              <w:rPr>
                <w:rFonts w:ascii="宋体"/>
                <w:vanish/>
              </w:rPr>
            </w:pPr>
          </w:p>
        </w:tc>
        <w:tc>
          <w:tcPr>
            <w:tcW w:w="0" w:type="auto"/>
            <w:gridSpan w:val="3"/>
            <w:shd w:val="clear" w:color="auto" w:fill="auto"/>
            <w:vAlign w:val="bottom"/>
          </w:tcPr>
          <w:p w14:paraId="442F69C8" w14:textId="77777777" w:rsidR="00CC25B5" w:rsidRDefault="00CC25B5">
            <w:pPr>
              <w:rPr>
                <w:rFonts w:ascii="宋体"/>
                <w:vanish/>
              </w:rPr>
            </w:pPr>
          </w:p>
        </w:tc>
        <w:tc>
          <w:tcPr>
            <w:tcW w:w="0" w:type="auto"/>
            <w:gridSpan w:val="3"/>
            <w:shd w:val="clear" w:color="auto" w:fill="auto"/>
            <w:vAlign w:val="bottom"/>
          </w:tcPr>
          <w:p w14:paraId="442F69C9" w14:textId="77777777" w:rsidR="00CC25B5" w:rsidRDefault="00CC25B5">
            <w:pPr>
              <w:rPr>
                <w:rFonts w:ascii="宋体"/>
                <w:vanish/>
              </w:rPr>
            </w:pPr>
          </w:p>
        </w:tc>
        <w:tc>
          <w:tcPr>
            <w:tcW w:w="0" w:type="auto"/>
            <w:gridSpan w:val="3"/>
            <w:shd w:val="clear" w:color="auto" w:fill="auto"/>
            <w:vAlign w:val="bottom"/>
          </w:tcPr>
          <w:p w14:paraId="442F69CA" w14:textId="77777777" w:rsidR="00CC25B5" w:rsidRDefault="00CC25B5">
            <w:pPr>
              <w:rPr>
                <w:rFonts w:ascii="宋体"/>
                <w:vanish/>
              </w:rPr>
            </w:pPr>
          </w:p>
        </w:tc>
        <w:tc>
          <w:tcPr>
            <w:tcW w:w="0" w:type="auto"/>
            <w:gridSpan w:val="3"/>
            <w:shd w:val="clear" w:color="auto" w:fill="auto"/>
            <w:vAlign w:val="bottom"/>
          </w:tcPr>
          <w:p w14:paraId="442F69CB" w14:textId="77777777" w:rsidR="00CC25B5" w:rsidRDefault="00CC25B5">
            <w:pPr>
              <w:rPr>
                <w:rFonts w:ascii="宋体"/>
                <w:vanish/>
              </w:rPr>
            </w:pPr>
          </w:p>
        </w:tc>
        <w:tc>
          <w:tcPr>
            <w:tcW w:w="0" w:type="auto"/>
            <w:gridSpan w:val="3"/>
            <w:shd w:val="clear" w:color="auto" w:fill="auto"/>
            <w:vAlign w:val="bottom"/>
          </w:tcPr>
          <w:p w14:paraId="442F69CC" w14:textId="77777777" w:rsidR="00CC25B5" w:rsidRDefault="00CC25B5">
            <w:pPr>
              <w:rPr>
                <w:rFonts w:ascii="宋体"/>
                <w:vanish/>
              </w:rPr>
            </w:pPr>
          </w:p>
        </w:tc>
        <w:tc>
          <w:tcPr>
            <w:tcW w:w="0" w:type="auto"/>
            <w:gridSpan w:val="3"/>
            <w:shd w:val="clear" w:color="auto" w:fill="auto"/>
            <w:vAlign w:val="bottom"/>
          </w:tcPr>
          <w:p w14:paraId="442F69CD" w14:textId="77777777" w:rsidR="00CC25B5" w:rsidRDefault="00CC25B5">
            <w:pPr>
              <w:rPr>
                <w:rFonts w:ascii="宋体"/>
                <w:vanish/>
              </w:rPr>
            </w:pPr>
          </w:p>
        </w:tc>
        <w:tc>
          <w:tcPr>
            <w:tcW w:w="0" w:type="auto"/>
            <w:gridSpan w:val="3"/>
            <w:shd w:val="clear" w:color="auto" w:fill="auto"/>
            <w:vAlign w:val="bottom"/>
          </w:tcPr>
          <w:p w14:paraId="442F69CE" w14:textId="77777777" w:rsidR="00CC25B5" w:rsidRDefault="00CC25B5">
            <w:pPr>
              <w:rPr>
                <w:rFonts w:ascii="宋体"/>
                <w:vanish/>
              </w:rPr>
            </w:pPr>
          </w:p>
        </w:tc>
        <w:tc>
          <w:tcPr>
            <w:tcW w:w="0" w:type="auto"/>
            <w:gridSpan w:val="3"/>
            <w:shd w:val="clear" w:color="auto" w:fill="auto"/>
            <w:vAlign w:val="bottom"/>
          </w:tcPr>
          <w:p w14:paraId="442F69CF" w14:textId="77777777" w:rsidR="00CC25B5" w:rsidRDefault="00CC25B5">
            <w:pPr>
              <w:rPr>
                <w:rFonts w:ascii="宋体"/>
                <w:vanish/>
              </w:rPr>
            </w:pPr>
          </w:p>
        </w:tc>
        <w:tc>
          <w:tcPr>
            <w:tcW w:w="0" w:type="auto"/>
            <w:shd w:val="clear" w:color="auto" w:fill="auto"/>
            <w:vAlign w:val="bottom"/>
          </w:tcPr>
          <w:p w14:paraId="442F69D0" w14:textId="77777777" w:rsidR="00CC25B5" w:rsidRDefault="00CC25B5">
            <w:pPr>
              <w:rPr>
                <w:rFonts w:ascii="宋体"/>
                <w:vanish/>
              </w:rPr>
            </w:pPr>
          </w:p>
        </w:tc>
        <w:tc>
          <w:tcPr>
            <w:tcW w:w="0" w:type="auto"/>
            <w:shd w:val="clear" w:color="auto" w:fill="auto"/>
            <w:vAlign w:val="bottom"/>
          </w:tcPr>
          <w:p w14:paraId="442F69D1" w14:textId="77777777" w:rsidR="00CC25B5" w:rsidRDefault="00CC25B5">
            <w:pPr>
              <w:rPr>
                <w:rFonts w:ascii="宋体"/>
                <w:vanish/>
              </w:rPr>
            </w:pPr>
          </w:p>
        </w:tc>
        <w:tc>
          <w:tcPr>
            <w:tcW w:w="0" w:type="auto"/>
            <w:shd w:val="clear" w:color="auto" w:fill="auto"/>
            <w:vAlign w:val="bottom"/>
          </w:tcPr>
          <w:p w14:paraId="442F69D2" w14:textId="77777777" w:rsidR="00CC25B5" w:rsidRDefault="00CC25B5">
            <w:pPr>
              <w:rPr>
                <w:rFonts w:ascii="宋体"/>
                <w:vanish/>
              </w:rPr>
            </w:pPr>
          </w:p>
        </w:tc>
      </w:tr>
      <w:tr w:rsidR="00CC25B5" w14:paraId="442F69EF" w14:textId="77777777">
        <w:tc>
          <w:tcPr>
            <w:tcW w:w="0" w:type="auto"/>
            <w:gridSpan w:val="3"/>
            <w:shd w:val="clear" w:color="auto" w:fill="FFFFFF"/>
            <w:tcMar>
              <w:top w:w="40" w:type="dxa"/>
              <w:left w:w="20" w:type="dxa"/>
              <w:bottom w:w="40" w:type="dxa"/>
              <w:right w:w="20" w:type="dxa"/>
            </w:tcMar>
            <w:vAlign w:val="center"/>
          </w:tcPr>
          <w:p w14:paraId="442F69D4" w14:textId="77777777" w:rsidR="00CC25B5" w:rsidRDefault="00900968">
            <w:pPr>
              <w:textAlignment w:val="center"/>
            </w:pPr>
            <w:r>
              <w:rPr>
                <w:rFonts w:ascii="Times New Roman" w:eastAsia="宋体" w:hAnsi="Times New Roman"/>
                <w:color w:val="000000"/>
                <w:sz w:val="16"/>
                <w:szCs w:val="16"/>
              </w:rPr>
              <w:t>Dividends declared ($2.20 per share)</w:t>
            </w:r>
          </w:p>
        </w:tc>
        <w:tc>
          <w:tcPr>
            <w:tcW w:w="0" w:type="auto"/>
            <w:gridSpan w:val="2"/>
            <w:shd w:val="clear" w:color="auto" w:fill="FFFFFF"/>
            <w:tcMar>
              <w:top w:w="40" w:type="dxa"/>
              <w:left w:w="20" w:type="dxa"/>
              <w:bottom w:w="40" w:type="dxa"/>
              <w:right w:w="0" w:type="dxa"/>
            </w:tcMar>
            <w:vAlign w:val="center"/>
          </w:tcPr>
          <w:p w14:paraId="442F69D5"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D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D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D8"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D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D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DB"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D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D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DE" w14:textId="77777777" w:rsidR="00CC25B5" w:rsidRDefault="00900968">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442F69D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E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E1"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E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E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E4" w14:textId="77777777" w:rsidR="00CC25B5" w:rsidRDefault="00900968">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442F69E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E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E7"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9E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9E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9EA" w14:textId="77777777" w:rsidR="00CC25B5" w:rsidRDefault="00900968">
            <w:pPr>
              <w:jc w:val="right"/>
              <w:textAlignment w:val="center"/>
            </w:pPr>
            <w:r>
              <w:rPr>
                <w:rFonts w:ascii="Times New Roman" w:eastAsia="宋体" w:hAnsi="Times New Roman"/>
                <w:color w:val="000000"/>
                <w:sz w:val="16"/>
                <w:szCs w:val="16"/>
              </w:rPr>
              <w:t>(6,200)</w:t>
            </w:r>
          </w:p>
        </w:tc>
        <w:tc>
          <w:tcPr>
            <w:tcW w:w="0" w:type="auto"/>
            <w:shd w:val="clear" w:color="auto" w:fill="FFFFFF"/>
            <w:tcMar>
              <w:top w:w="40" w:type="dxa"/>
              <w:left w:w="0" w:type="dxa"/>
              <w:bottom w:w="40" w:type="dxa"/>
              <w:right w:w="20" w:type="dxa"/>
            </w:tcMar>
            <w:vAlign w:val="center"/>
          </w:tcPr>
          <w:p w14:paraId="442F69EB" w14:textId="77777777" w:rsidR="00CC25B5" w:rsidRDefault="00CC25B5">
            <w:pPr>
              <w:jc w:val="right"/>
              <w:rPr>
                <w:rFonts w:ascii="宋体"/>
              </w:rPr>
            </w:pPr>
          </w:p>
        </w:tc>
        <w:tc>
          <w:tcPr>
            <w:tcW w:w="0" w:type="auto"/>
            <w:shd w:val="clear" w:color="auto" w:fill="auto"/>
            <w:vAlign w:val="bottom"/>
          </w:tcPr>
          <w:p w14:paraId="442F69EC" w14:textId="77777777" w:rsidR="00CC25B5" w:rsidRDefault="00CC25B5">
            <w:pPr>
              <w:rPr>
                <w:rFonts w:ascii="宋体"/>
                <w:vanish/>
              </w:rPr>
            </w:pPr>
          </w:p>
        </w:tc>
        <w:tc>
          <w:tcPr>
            <w:tcW w:w="0" w:type="auto"/>
            <w:shd w:val="clear" w:color="auto" w:fill="auto"/>
            <w:vAlign w:val="bottom"/>
          </w:tcPr>
          <w:p w14:paraId="442F69ED" w14:textId="77777777" w:rsidR="00CC25B5" w:rsidRDefault="00CC25B5">
            <w:pPr>
              <w:rPr>
                <w:rFonts w:ascii="宋体"/>
                <w:vanish/>
              </w:rPr>
            </w:pPr>
          </w:p>
        </w:tc>
        <w:tc>
          <w:tcPr>
            <w:tcW w:w="0" w:type="auto"/>
            <w:shd w:val="clear" w:color="auto" w:fill="auto"/>
            <w:vAlign w:val="bottom"/>
          </w:tcPr>
          <w:p w14:paraId="442F69EE" w14:textId="77777777" w:rsidR="00CC25B5" w:rsidRDefault="00CC25B5">
            <w:pPr>
              <w:rPr>
                <w:rFonts w:ascii="宋体"/>
                <w:vanish/>
              </w:rPr>
            </w:pPr>
          </w:p>
        </w:tc>
      </w:tr>
      <w:tr w:rsidR="00CC25B5" w14:paraId="442F6A0B" w14:textId="77777777">
        <w:tc>
          <w:tcPr>
            <w:tcW w:w="0" w:type="auto"/>
            <w:gridSpan w:val="3"/>
            <w:shd w:val="clear" w:color="auto" w:fill="CCEEFF"/>
            <w:tcMar>
              <w:top w:w="40" w:type="dxa"/>
              <w:left w:w="20" w:type="dxa"/>
              <w:bottom w:w="40" w:type="dxa"/>
              <w:right w:w="20" w:type="dxa"/>
            </w:tcMar>
            <w:vAlign w:val="center"/>
          </w:tcPr>
          <w:p w14:paraId="442F69F0" w14:textId="77777777" w:rsidR="00CC25B5" w:rsidRDefault="00900968">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42F69F1" w14:textId="77777777" w:rsidR="00CC25B5" w:rsidRDefault="00900968">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442F69F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F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F4" w14:textId="77777777" w:rsidR="00CC25B5" w:rsidRDefault="00900968">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442F69F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F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F7" w14:textId="77777777" w:rsidR="00CC25B5" w:rsidRDefault="00900968">
            <w:pPr>
              <w:jc w:val="right"/>
              <w:textAlignment w:val="center"/>
            </w:pPr>
            <w:r>
              <w:rPr>
                <w:rFonts w:ascii="Times New Roman" w:eastAsia="宋体" w:hAnsi="Times New Roman"/>
                <w:color w:val="000000"/>
                <w:sz w:val="16"/>
                <w:szCs w:val="16"/>
              </w:rPr>
              <w:t>(112)</w:t>
            </w:r>
          </w:p>
        </w:tc>
        <w:tc>
          <w:tcPr>
            <w:tcW w:w="0" w:type="auto"/>
            <w:shd w:val="clear" w:color="auto" w:fill="CCEEFF"/>
            <w:tcMar>
              <w:top w:w="40" w:type="dxa"/>
              <w:left w:w="0" w:type="dxa"/>
              <w:bottom w:w="40" w:type="dxa"/>
              <w:right w:w="20" w:type="dxa"/>
            </w:tcMar>
            <w:vAlign w:val="center"/>
          </w:tcPr>
          <w:p w14:paraId="442F69F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F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FA" w14:textId="77777777" w:rsidR="00CC25B5" w:rsidRDefault="00900968">
            <w:pPr>
              <w:jc w:val="right"/>
              <w:textAlignment w:val="center"/>
            </w:pPr>
            <w:r>
              <w:rPr>
                <w:rFonts w:ascii="Times New Roman" w:eastAsia="宋体" w:hAnsi="Times New Roman"/>
                <w:color w:val="000000"/>
                <w:sz w:val="16"/>
                <w:szCs w:val="16"/>
              </w:rPr>
              <w:t>(2,718)</w:t>
            </w:r>
          </w:p>
        </w:tc>
        <w:tc>
          <w:tcPr>
            <w:tcW w:w="0" w:type="auto"/>
            <w:shd w:val="clear" w:color="auto" w:fill="CCEEFF"/>
            <w:tcMar>
              <w:top w:w="40" w:type="dxa"/>
              <w:left w:w="0" w:type="dxa"/>
              <w:bottom w:w="40" w:type="dxa"/>
              <w:right w:w="20" w:type="dxa"/>
            </w:tcMar>
            <w:vAlign w:val="center"/>
          </w:tcPr>
          <w:p w14:paraId="442F69F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F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9F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9F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9F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00" w14:textId="77777777" w:rsidR="00CC25B5" w:rsidRDefault="00900968">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442F6A0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0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0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A0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0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06" w14:textId="77777777" w:rsidR="00CC25B5" w:rsidRDefault="00900968">
            <w:pPr>
              <w:jc w:val="right"/>
              <w:textAlignment w:val="center"/>
            </w:pPr>
            <w:r>
              <w:rPr>
                <w:rFonts w:ascii="Times New Roman" w:eastAsia="宋体" w:hAnsi="Times New Roman"/>
                <w:color w:val="000000"/>
                <w:sz w:val="16"/>
                <w:szCs w:val="16"/>
              </w:rPr>
              <w:t>(2,832)</w:t>
            </w:r>
          </w:p>
        </w:tc>
        <w:tc>
          <w:tcPr>
            <w:tcW w:w="0" w:type="auto"/>
            <w:shd w:val="clear" w:color="auto" w:fill="CCEEFF"/>
            <w:tcMar>
              <w:top w:w="40" w:type="dxa"/>
              <w:left w:w="0" w:type="dxa"/>
              <w:bottom w:w="40" w:type="dxa"/>
              <w:right w:w="20" w:type="dxa"/>
            </w:tcMar>
            <w:vAlign w:val="center"/>
          </w:tcPr>
          <w:p w14:paraId="442F6A07" w14:textId="77777777" w:rsidR="00CC25B5" w:rsidRDefault="00CC25B5">
            <w:pPr>
              <w:jc w:val="right"/>
              <w:rPr>
                <w:rFonts w:ascii="宋体"/>
              </w:rPr>
            </w:pPr>
          </w:p>
        </w:tc>
        <w:tc>
          <w:tcPr>
            <w:tcW w:w="0" w:type="auto"/>
            <w:shd w:val="clear" w:color="auto" w:fill="auto"/>
            <w:vAlign w:val="bottom"/>
          </w:tcPr>
          <w:p w14:paraId="442F6A08" w14:textId="77777777" w:rsidR="00CC25B5" w:rsidRDefault="00CC25B5">
            <w:pPr>
              <w:rPr>
                <w:rFonts w:ascii="宋体"/>
                <w:vanish/>
              </w:rPr>
            </w:pPr>
          </w:p>
        </w:tc>
        <w:tc>
          <w:tcPr>
            <w:tcW w:w="0" w:type="auto"/>
            <w:shd w:val="clear" w:color="auto" w:fill="auto"/>
            <w:vAlign w:val="bottom"/>
          </w:tcPr>
          <w:p w14:paraId="442F6A09" w14:textId="77777777" w:rsidR="00CC25B5" w:rsidRDefault="00CC25B5">
            <w:pPr>
              <w:rPr>
                <w:rFonts w:ascii="宋体"/>
                <w:vanish/>
              </w:rPr>
            </w:pPr>
          </w:p>
        </w:tc>
        <w:tc>
          <w:tcPr>
            <w:tcW w:w="0" w:type="auto"/>
            <w:shd w:val="clear" w:color="auto" w:fill="auto"/>
            <w:vAlign w:val="bottom"/>
          </w:tcPr>
          <w:p w14:paraId="442F6A0A" w14:textId="77777777" w:rsidR="00CC25B5" w:rsidRDefault="00CC25B5">
            <w:pPr>
              <w:rPr>
                <w:rFonts w:ascii="宋体"/>
                <w:vanish/>
              </w:rPr>
            </w:pPr>
          </w:p>
        </w:tc>
      </w:tr>
      <w:tr w:rsidR="00CC25B5" w14:paraId="442F6A27" w14:textId="77777777">
        <w:tc>
          <w:tcPr>
            <w:tcW w:w="0" w:type="auto"/>
            <w:gridSpan w:val="3"/>
            <w:shd w:val="clear" w:color="auto" w:fill="FFFFFF"/>
            <w:tcMar>
              <w:top w:w="40" w:type="dxa"/>
              <w:left w:w="20" w:type="dxa"/>
              <w:bottom w:w="40" w:type="dxa"/>
              <w:right w:w="20" w:type="dxa"/>
            </w:tcMar>
            <w:vAlign w:val="center"/>
          </w:tcPr>
          <w:p w14:paraId="442F6A0C" w14:textId="77777777" w:rsidR="00CC25B5" w:rsidRDefault="00900968">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442F6A0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0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0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1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1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1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1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1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1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1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1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1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1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1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1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1C"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1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1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1F" w14:textId="77777777" w:rsidR="00CC25B5" w:rsidRDefault="00900968">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442F6A2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2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22" w14:textId="77777777" w:rsidR="00CC25B5" w:rsidRDefault="00900968">
            <w:pPr>
              <w:jc w:val="right"/>
              <w:textAlignment w:val="center"/>
            </w:pPr>
            <w:r>
              <w:rPr>
                <w:rFonts w:ascii="Times New Roman" w:eastAsia="宋体" w:hAnsi="Times New Roman"/>
                <w:color w:val="000000"/>
                <w:sz w:val="16"/>
                <w:szCs w:val="16"/>
              </w:rPr>
              <w:t>(408)</w:t>
            </w:r>
          </w:p>
        </w:tc>
        <w:tc>
          <w:tcPr>
            <w:tcW w:w="0" w:type="auto"/>
            <w:shd w:val="clear" w:color="auto" w:fill="FFFFFF"/>
            <w:tcMar>
              <w:top w:w="40" w:type="dxa"/>
              <w:left w:w="0" w:type="dxa"/>
              <w:bottom w:w="40" w:type="dxa"/>
              <w:right w:w="20" w:type="dxa"/>
            </w:tcMar>
            <w:vAlign w:val="center"/>
          </w:tcPr>
          <w:p w14:paraId="442F6A23" w14:textId="77777777" w:rsidR="00CC25B5" w:rsidRDefault="00CC25B5">
            <w:pPr>
              <w:jc w:val="right"/>
              <w:rPr>
                <w:rFonts w:ascii="宋体"/>
              </w:rPr>
            </w:pPr>
          </w:p>
        </w:tc>
        <w:tc>
          <w:tcPr>
            <w:tcW w:w="0" w:type="auto"/>
            <w:shd w:val="clear" w:color="auto" w:fill="auto"/>
            <w:vAlign w:val="bottom"/>
          </w:tcPr>
          <w:p w14:paraId="442F6A24" w14:textId="77777777" w:rsidR="00CC25B5" w:rsidRDefault="00CC25B5">
            <w:pPr>
              <w:rPr>
                <w:rFonts w:ascii="宋体"/>
                <w:vanish/>
              </w:rPr>
            </w:pPr>
          </w:p>
        </w:tc>
        <w:tc>
          <w:tcPr>
            <w:tcW w:w="0" w:type="auto"/>
            <w:shd w:val="clear" w:color="auto" w:fill="auto"/>
            <w:vAlign w:val="bottom"/>
          </w:tcPr>
          <w:p w14:paraId="442F6A25" w14:textId="77777777" w:rsidR="00CC25B5" w:rsidRDefault="00CC25B5">
            <w:pPr>
              <w:rPr>
                <w:rFonts w:ascii="宋体"/>
                <w:vanish/>
              </w:rPr>
            </w:pPr>
          </w:p>
        </w:tc>
        <w:tc>
          <w:tcPr>
            <w:tcW w:w="0" w:type="auto"/>
            <w:shd w:val="clear" w:color="auto" w:fill="auto"/>
            <w:vAlign w:val="bottom"/>
          </w:tcPr>
          <w:p w14:paraId="442F6A26" w14:textId="77777777" w:rsidR="00CC25B5" w:rsidRDefault="00CC25B5">
            <w:pPr>
              <w:rPr>
                <w:rFonts w:ascii="宋体"/>
                <w:vanish/>
              </w:rPr>
            </w:pPr>
          </w:p>
        </w:tc>
      </w:tr>
      <w:tr w:rsidR="00CC25B5" w14:paraId="442F6A43" w14:textId="77777777">
        <w:tc>
          <w:tcPr>
            <w:tcW w:w="0" w:type="auto"/>
            <w:gridSpan w:val="3"/>
            <w:shd w:val="clear" w:color="auto" w:fill="CCEEFF"/>
            <w:tcMar>
              <w:top w:w="40" w:type="dxa"/>
              <w:left w:w="20" w:type="dxa"/>
              <w:bottom w:w="40" w:type="dxa"/>
              <w:right w:w="20" w:type="dxa"/>
            </w:tcMar>
            <w:vAlign w:val="center"/>
          </w:tcPr>
          <w:p w14:paraId="442F6A28" w14:textId="77777777" w:rsidR="00CC25B5" w:rsidRDefault="00900968">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42F6A29" w14:textId="77777777" w:rsidR="00CC25B5" w:rsidRDefault="00900968">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442F6A2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2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2C"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A2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2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2F" w14:textId="77777777" w:rsidR="00CC25B5" w:rsidRDefault="00900968">
            <w:pPr>
              <w:jc w:val="right"/>
              <w:textAlignment w:val="center"/>
            </w:pPr>
            <w:r>
              <w:rPr>
                <w:rFonts w:ascii="Times New Roman" w:eastAsia="宋体" w:hAnsi="Times New Roman"/>
                <w:color w:val="000000"/>
                <w:sz w:val="16"/>
                <w:szCs w:val="16"/>
              </w:rPr>
              <w:t>(110)</w:t>
            </w:r>
          </w:p>
        </w:tc>
        <w:tc>
          <w:tcPr>
            <w:tcW w:w="0" w:type="auto"/>
            <w:shd w:val="clear" w:color="auto" w:fill="CCEEFF"/>
            <w:tcMar>
              <w:top w:w="40" w:type="dxa"/>
              <w:left w:w="0" w:type="dxa"/>
              <w:bottom w:w="40" w:type="dxa"/>
              <w:right w:w="20" w:type="dxa"/>
            </w:tcMar>
            <w:vAlign w:val="center"/>
          </w:tcPr>
          <w:p w14:paraId="442F6A3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3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32" w14:textId="77777777" w:rsidR="00CC25B5" w:rsidRDefault="00900968">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42F6A3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3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35"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A3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3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38" w14:textId="77777777" w:rsidR="00CC25B5" w:rsidRDefault="00900968">
            <w:pPr>
              <w:jc w:val="right"/>
              <w:textAlignment w:val="center"/>
            </w:pPr>
            <w:r>
              <w:rPr>
                <w:rFonts w:ascii="Times New Roman" w:eastAsia="宋体" w:hAnsi="Times New Roman"/>
                <w:color w:val="000000"/>
                <w:sz w:val="16"/>
                <w:szCs w:val="16"/>
              </w:rPr>
              <w:t>(108)</w:t>
            </w:r>
          </w:p>
        </w:tc>
        <w:tc>
          <w:tcPr>
            <w:tcW w:w="0" w:type="auto"/>
            <w:shd w:val="clear" w:color="auto" w:fill="CCEEFF"/>
            <w:tcMar>
              <w:top w:w="40" w:type="dxa"/>
              <w:left w:w="0" w:type="dxa"/>
              <w:bottom w:w="40" w:type="dxa"/>
              <w:right w:w="20" w:type="dxa"/>
            </w:tcMar>
            <w:vAlign w:val="center"/>
          </w:tcPr>
          <w:p w14:paraId="442F6A3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3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3B" w14:textId="77777777" w:rsidR="00CC25B5" w:rsidRDefault="00900968">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442F6A3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3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A3E" w14:textId="77777777" w:rsidR="00CC25B5" w:rsidRDefault="00900968">
            <w:pPr>
              <w:jc w:val="right"/>
              <w:textAlignment w:val="center"/>
            </w:pPr>
            <w:r>
              <w:rPr>
                <w:rFonts w:ascii="Times New Roman" w:eastAsia="宋体" w:hAnsi="Times New Roman"/>
                <w:color w:val="000000"/>
                <w:sz w:val="16"/>
                <w:szCs w:val="16"/>
              </w:rPr>
              <w:t>(56)</w:t>
            </w:r>
          </w:p>
        </w:tc>
        <w:tc>
          <w:tcPr>
            <w:tcW w:w="0" w:type="auto"/>
            <w:shd w:val="clear" w:color="auto" w:fill="CCEEFF"/>
            <w:tcMar>
              <w:top w:w="40" w:type="dxa"/>
              <w:left w:w="0" w:type="dxa"/>
              <w:bottom w:w="40" w:type="dxa"/>
              <w:right w:w="20" w:type="dxa"/>
            </w:tcMar>
            <w:vAlign w:val="center"/>
          </w:tcPr>
          <w:p w14:paraId="442F6A3F" w14:textId="77777777" w:rsidR="00CC25B5" w:rsidRDefault="00CC25B5">
            <w:pPr>
              <w:jc w:val="right"/>
              <w:rPr>
                <w:rFonts w:ascii="宋体"/>
              </w:rPr>
            </w:pPr>
          </w:p>
        </w:tc>
        <w:tc>
          <w:tcPr>
            <w:tcW w:w="0" w:type="auto"/>
            <w:shd w:val="clear" w:color="auto" w:fill="auto"/>
            <w:vAlign w:val="bottom"/>
          </w:tcPr>
          <w:p w14:paraId="442F6A40" w14:textId="77777777" w:rsidR="00CC25B5" w:rsidRDefault="00CC25B5">
            <w:pPr>
              <w:rPr>
                <w:rFonts w:ascii="宋体"/>
                <w:vanish/>
              </w:rPr>
            </w:pPr>
          </w:p>
        </w:tc>
        <w:tc>
          <w:tcPr>
            <w:tcW w:w="0" w:type="auto"/>
            <w:shd w:val="clear" w:color="auto" w:fill="auto"/>
            <w:vAlign w:val="bottom"/>
          </w:tcPr>
          <w:p w14:paraId="442F6A41" w14:textId="77777777" w:rsidR="00CC25B5" w:rsidRDefault="00CC25B5">
            <w:pPr>
              <w:rPr>
                <w:rFonts w:ascii="宋体"/>
                <w:vanish/>
              </w:rPr>
            </w:pPr>
          </w:p>
        </w:tc>
        <w:tc>
          <w:tcPr>
            <w:tcW w:w="0" w:type="auto"/>
            <w:shd w:val="clear" w:color="auto" w:fill="auto"/>
            <w:vAlign w:val="bottom"/>
          </w:tcPr>
          <w:p w14:paraId="442F6A42" w14:textId="77777777" w:rsidR="00CC25B5" w:rsidRDefault="00CC25B5">
            <w:pPr>
              <w:rPr>
                <w:rFonts w:ascii="宋体"/>
                <w:vanish/>
              </w:rPr>
            </w:pPr>
          </w:p>
        </w:tc>
      </w:tr>
      <w:tr w:rsidR="00900968" w14:paraId="442F6A66" w14:textId="77777777">
        <w:tc>
          <w:tcPr>
            <w:tcW w:w="0" w:type="auto"/>
            <w:gridSpan w:val="3"/>
            <w:shd w:val="clear" w:color="auto" w:fill="FFFFFF"/>
            <w:tcMar>
              <w:top w:w="40" w:type="dxa"/>
              <w:left w:w="20" w:type="dxa"/>
              <w:bottom w:w="40" w:type="dxa"/>
              <w:right w:w="20" w:type="dxa"/>
            </w:tcMar>
            <w:vAlign w:val="center"/>
          </w:tcPr>
          <w:p w14:paraId="442F6A44" w14:textId="77777777" w:rsidR="00CC25B5" w:rsidRDefault="00900968">
            <w:pPr>
              <w:textAlignment w:val="center"/>
            </w:pPr>
            <w:r>
              <w:rPr>
                <w:rFonts w:ascii="Times New Roman" w:eastAsia="宋体" w:hAnsi="Times New Roman"/>
                <w:b/>
                <w:bCs/>
                <w:color w:val="000000"/>
                <w:sz w:val="16"/>
                <w:szCs w:val="16"/>
              </w:rPr>
              <w:t>Balances as of April 30, 2021</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A45" w14:textId="77777777" w:rsidR="00CC25B5" w:rsidRDefault="00900968">
            <w:pPr>
              <w:jc w:val="right"/>
              <w:textAlignment w:val="center"/>
            </w:pPr>
            <w:r>
              <w:rPr>
                <w:rFonts w:ascii="Times New Roman" w:eastAsia="宋体" w:hAnsi="Times New Roman"/>
                <w:color w:val="000000"/>
                <w:sz w:val="16"/>
                <w:szCs w:val="16"/>
              </w:rPr>
              <w:t>2,805 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4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47"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4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49" w14:textId="77777777" w:rsidR="00CC25B5" w:rsidRDefault="00900968">
            <w:pPr>
              <w:jc w:val="right"/>
              <w:textAlignment w:val="center"/>
            </w:pPr>
            <w:r>
              <w:rPr>
                <w:rFonts w:ascii="Times New Roman" w:eastAsia="宋体" w:hAnsi="Times New Roman"/>
                <w:color w:val="000000"/>
                <w:sz w:val="16"/>
                <w:szCs w:val="16"/>
              </w:rPr>
              <w:t>280 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4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4B"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4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4D" w14:textId="77777777" w:rsidR="00CC25B5" w:rsidRDefault="00900968">
            <w:pPr>
              <w:jc w:val="right"/>
              <w:textAlignment w:val="center"/>
            </w:pPr>
            <w:r>
              <w:rPr>
                <w:rFonts w:ascii="Times New Roman" w:eastAsia="宋体" w:hAnsi="Times New Roman"/>
                <w:color w:val="000000"/>
                <w:sz w:val="16"/>
                <w:szCs w:val="16"/>
              </w:rPr>
              <w:t>3,424 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4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4F"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5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51" w14:textId="77777777" w:rsidR="00CC25B5" w:rsidRDefault="00900968">
            <w:pPr>
              <w:jc w:val="right"/>
              <w:textAlignment w:val="center"/>
            </w:pPr>
            <w:r>
              <w:rPr>
                <w:rFonts w:ascii="Times New Roman" w:eastAsia="宋体" w:hAnsi="Times New Roman"/>
                <w:color w:val="000000"/>
                <w:sz w:val="16"/>
                <w:szCs w:val="16"/>
              </w:rPr>
              <w:t>82,577 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5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53"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5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55" w14:textId="77777777" w:rsidR="00CC25B5" w:rsidRDefault="00900968">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5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57"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5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59" w14:textId="77777777" w:rsidR="00CC25B5" w:rsidRDefault="00900968">
            <w:pPr>
              <w:jc w:val="right"/>
              <w:textAlignment w:val="center"/>
            </w:pPr>
            <w:r>
              <w:rPr>
                <w:rFonts w:ascii="Times New Roman" w:eastAsia="宋体" w:hAnsi="Times New Roman"/>
                <w:color w:val="000000"/>
                <w:sz w:val="16"/>
                <w:szCs w:val="16"/>
              </w:rPr>
              <w:t>78,335 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5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5B"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5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5D" w14:textId="77777777" w:rsidR="00CC25B5" w:rsidRDefault="00900968">
            <w:pPr>
              <w:jc w:val="right"/>
              <w:textAlignment w:val="center"/>
            </w:pPr>
            <w:r>
              <w:rPr>
                <w:rFonts w:ascii="Times New Roman" w:eastAsia="宋体" w:hAnsi="Times New Roman"/>
                <w:color w:val="000000"/>
                <w:sz w:val="16"/>
                <w:szCs w:val="16"/>
              </w:rPr>
              <w:t>6,257 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5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5F"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A6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A61" w14:textId="77777777" w:rsidR="00CC25B5" w:rsidRDefault="00900968">
            <w:pPr>
              <w:jc w:val="right"/>
              <w:textAlignment w:val="center"/>
            </w:pPr>
            <w:r>
              <w:rPr>
                <w:rFonts w:ascii="Times New Roman" w:eastAsia="宋体" w:hAnsi="Times New Roman"/>
                <w:color w:val="000000"/>
                <w:sz w:val="16"/>
                <w:szCs w:val="16"/>
              </w:rPr>
              <w:t>84,592 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A62" w14:textId="77777777" w:rsidR="00CC25B5" w:rsidRDefault="00CC25B5">
            <w:pPr>
              <w:jc w:val="right"/>
              <w:rPr>
                <w:rFonts w:ascii="宋体"/>
              </w:rPr>
            </w:pPr>
          </w:p>
        </w:tc>
        <w:tc>
          <w:tcPr>
            <w:tcW w:w="0" w:type="auto"/>
            <w:shd w:val="clear" w:color="auto" w:fill="auto"/>
            <w:vAlign w:val="bottom"/>
          </w:tcPr>
          <w:p w14:paraId="442F6A63" w14:textId="77777777" w:rsidR="00CC25B5" w:rsidRDefault="00CC25B5">
            <w:pPr>
              <w:rPr>
                <w:rFonts w:ascii="宋体"/>
                <w:vanish/>
              </w:rPr>
            </w:pPr>
          </w:p>
        </w:tc>
        <w:tc>
          <w:tcPr>
            <w:tcW w:w="0" w:type="auto"/>
            <w:shd w:val="clear" w:color="auto" w:fill="auto"/>
            <w:vAlign w:val="bottom"/>
          </w:tcPr>
          <w:p w14:paraId="442F6A64" w14:textId="77777777" w:rsidR="00CC25B5" w:rsidRDefault="00CC25B5">
            <w:pPr>
              <w:rPr>
                <w:rFonts w:ascii="宋体"/>
                <w:vanish/>
              </w:rPr>
            </w:pPr>
          </w:p>
        </w:tc>
        <w:tc>
          <w:tcPr>
            <w:tcW w:w="0" w:type="auto"/>
            <w:shd w:val="clear" w:color="auto" w:fill="auto"/>
            <w:vAlign w:val="bottom"/>
          </w:tcPr>
          <w:p w14:paraId="442F6A65" w14:textId="77777777" w:rsidR="00CC25B5" w:rsidRDefault="00CC25B5">
            <w:pPr>
              <w:rPr>
                <w:rFonts w:ascii="宋体"/>
                <w:vanish/>
              </w:rPr>
            </w:pPr>
          </w:p>
        </w:tc>
      </w:tr>
      <w:tr w:rsidR="00CC25B5" w14:paraId="442F6A82" w14:textId="77777777">
        <w:tc>
          <w:tcPr>
            <w:tcW w:w="0" w:type="auto"/>
            <w:gridSpan w:val="3"/>
            <w:shd w:val="clear" w:color="auto" w:fill="CCEEFF"/>
            <w:tcMar>
              <w:top w:w="40" w:type="dxa"/>
              <w:left w:w="20" w:type="dxa"/>
              <w:bottom w:w="40" w:type="dxa"/>
              <w:right w:w="20" w:type="dxa"/>
            </w:tcMar>
            <w:vAlign w:val="center"/>
          </w:tcPr>
          <w:p w14:paraId="442F6A67" w14:textId="77777777" w:rsidR="00CC25B5" w:rsidRDefault="00900968">
            <w:pPr>
              <w:textAlignment w:val="center"/>
            </w:pPr>
            <w:r>
              <w:rPr>
                <w:rFonts w:ascii="Times New Roman" w:eastAsia="宋体" w:hAnsi="Times New Roman"/>
                <w:color w:val="000000"/>
                <w:sz w:val="16"/>
                <w:szCs w:val="16"/>
              </w:rPr>
              <w:t>Consolidated n</w:t>
            </w:r>
            <w:r>
              <w:rPr>
                <w:rFonts w:ascii="Times New Roman" w:eastAsia="宋体" w:hAnsi="Times New Roman"/>
                <w:color w:val="000000"/>
                <w:sz w:val="16"/>
                <w:szCs w:val="16"/>
              </w:rPr>
              <w:t>et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68"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6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6A"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6B"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6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6D"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6E"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6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70"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71" w14:textId="77777777" w:rsidR="00CC25B5" w:rsidRDefault="00900968">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7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73"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74"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7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76"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77" w14:textId="77777777" w:rsidR="00CC25B5" w:rsidRDefault="00900968">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7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79"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7A" w14:textId="77777777" w:rsidR="00CC25B5" w:rsidRDefault="00900968">
            <w:pPr>
              <w:jc w:val="right"/>
              <w:textAlignment w:val="center"/>
            </w:pPr>
            <w:r>
              <w:rPr>
                <w:rFonts w:ascii="Times New Roman" w:eastAsia="宋体" w:hAnsi="Times New Roman"/>
                <w:color w:val="000000"/>
                <w:sz w:val="16"/>
                <w:szCs w:val="16"/>
              </w:rPr>
              <w:t>88 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7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A7C"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A7D" w14:textId="77777777" w:rsidR="00CC25B5" w:rsidRDefault="00900968">
            <w:pPr>
              <w:jc w:val="right"/>
              <w:textAlignment w:val="center"/>
            </w:pPr>
            <w:r>
              <w:rPr>
                <w:rFonts w:ascii="Times New Roman" w:eastAsia="宋体" w:hAnsi="Times New Roman"/>
                <w:color w:val="000000"/>
                <w:sz w:val="16"/>
                <w:szCs w:val="16"/>
              </w:rPr>
              <w:t>4,364 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A7E" w14:textId="77777777" w:rsidR="00CC25B5" w:rsidRDefault="00CC25B5">
            <w:pPr>
              <w:jc w:val="right"/>
              <w:rPr>
                <w:rFonts w:ascii="宋体"/>
              </w:rPr>
            </w:pPr>
          </w:p>
        </w:tc>
        <w:tc>
          <w:tcPr>
            <w:tcW w:w="0" w:type="auto"/>
            <w:shd w:val="clear" w:color="auto" w:fill="auto"/>
            <w:vAlign w:val="bottom"/>
          </w:tcPr>
          <w:p w14:paraId="442F6A7F" w14:textId="77777777" w:rsidR="00CC25B5" w:rsidRDefault="00CC25B5">
            <w:pPr>
              <w:rPr>
                <w:rFonts w:ascii="宋体"/>
                <w:vanish/>
              </w:rPr>
            </w:pPr>
          </w:p>
        </w:tc>
        <w:tc>
          <w:tcPr>
            <w:tcW w:w="0" w:type="auto"/>
            <w:shd w:val="clear" w:color="auto" w:fill="auto"/>
            <w:vAlign w:val="bottom"/>
          </w:tcPr>
          <w:p w14:paraId="442F6A80" w14:textId="77777777" w:rsidR="00CC25B5" w:rsidRDefault="00CC25B5">
            <w:pPr>
              <w:rPr>
                <w:rFonts w:ascii="宋体"/>
                <w:vanish/>
              </w:rPr>
            </w:pPr>
          </w:p>
        </w:tc>
        <w:tc>
          <w:tcPr>
            <w:tcW w:w="0" w:type="auto"/>
            <w:shd w:val="clear" w:color="auto" w:fill="auto"/>
            <w:vAlign w:val="bottom"/>
          </w:tcPr>
          <w:p w14:paraId="442F6A81" w14:textId="77777777" w:rsidR="00CC25B5" w:rsidRDefault="00CC25B5">
            <w:pPr>
              <w:rPr>
                <w:rFonts w:ascii="宋体"/>
                <w:vanish/>
              </w:rPr>
            </w:pPr>
          </w:p>
        </w:tc>
      </w:tr>
      <w:tr w:rsidR="00CC25B5" w14:paraId="442F6A9E" w14:textId="77777777">
        <w:tc>
          <w:tcPr>
            <w:tcW w:w="0" w:type="auto"/>
            <w:gridSpan w:val="3"/>
            <w:shd w:val="clear" w:color="auto" w:fill="FFFFFF"/>
            <w:tcMar>
              <w:top w:w="40" w:type="dxa"/>
              <w:left w:w="20" w:type="dxa"/>
              <w:bottom w:w="40" w:type="dxa"/>
              <w:right w:w="20" w:type="dxa"/>
            </w:tcMar>
            <w:vAlign w:val="center"/>
          </w:tcPr>
          <w:p w14:paraId="442F6A83" w14:textId="77777777" w:rsidR="00CC25B5" w:rsidRDefault="00900968">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FFFFFF"/>
            <w:tcMar>
              <w:top w:w="40" w:type="dxa"/>
              <w:left w:w="20" w:type="dxa"/>
              <w:bottom w:w="40" w:type="dxa"/>
              <w:right w:w="0" w:type="dxa"/>
            </w:tcMar>
            <w:vAlign w:val="center"/>
          </w:tcPr>
          <w:p w14:paraId="442F6A84"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8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8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87"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8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8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8A"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8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8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8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A8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8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90" w14:textId="77777777" w:rsidR="00CC25B5" w:rsidRDefault="00900968">
            <w:pPr>
              <w:jc w:val="right"/>
              <w:textAlignment w:val="center"/>
            </w:pPr>
            <w:r>
              <w:rPr>
                <w:rFonts w:ascii="Times New Roman" w:eastAsia="宋体" w:hAnsi="Times New Roman"/>
                <w:color w:val="000000"/>
                <w:sz w:val="16"/>
                <w:szCs w:val="16"/>
              </w:rPr>
              <w:t>(30)</w:t>
            </w:r>
          </w:p>
        </w:tc>
        <w:tc>
          <w:tcPr>
            <w:tcW w:w="0" w:type="auto"/>
            <w:shd w:val="clear" w:color="auto" w:fill="FFFFFF"/>
            <w:tcMar>
              <w:top w:w="40" w:type="dxa"/>
              <w:left w:w="0" w:type="dxa"/>
              <w:bottom w:w="40" w:type="dxa"/>
              <w:right w:w="20" w:type="dxa"/>
            </w:tcMar>
            <w:vAlign w:val="center"/>
          </w:tcPr>
          <w:p w14:paraId="442F6A9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9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93" w14:textId="77777777" w:rsidR="00CC25B5" w:rsidRDefault="00900968">
            <w:pPr>
              <w:jc w:val="right"/>
              <w:textAlignment w:val="center"/>
            </w:pPr>
            <w:r>
              <w:rPr>
                <w:rFonts w:ascii="Times New Roman" w:eastAsia="宋体" w:hAnsi="Times New Roman"/>
                <w:color w:val="000000"/>
                <w:sz w:val="16"/>
                <w:szCs w:val="16"/>
              </w:rPr>
              <w:t>(30)</w:t>
            </w:r>
          </w:p>
        </w:tc>
        <w:tc>
          <w:tcPr>
            <w:tcW w:w="0" w:type="auto"/>
            <w:shd w:val="clear" w:color="auto" w:fill="FFFFFF"/>
            <w:tcMar>
              <w:top w:w="40" w:type="dxa"/>
              <w:left w:w="0" w:type="dxa"/>
              <w:bottom w:w="40" w:type="dxa"/>
              <w:right w:w="20" w:type="dxa"/>
            </w:tcMar>
            <w:vAlign w:val="center"/>
          </w:tcPr>
          <w:p w14:paraId="442F6A9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9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96" w14:textId="77777777" w:rsidR="00CC25B5" w:rsidRDefault="00900968">
            <w:pPr>
              <w:jc w:val="right"/>
              <w:textAlignment w:val="center"/>
            </w:pPr>
            <w:r>
              <w:rPr>
                <w:rFonts w:ascii="Times New Roman" w:eastAsia="宋体" w:hAnsi="Times New Roman"/>
                <w:color w:val="000000"/>
                <w:sz w:val="16"/>
                <w:szCs w:val="16"/>
              </w:rPr>
              <w:t>78 </w:t>
            </w:r>
          </w:p>
        </w:tc>
        <w:tc>
          <w:tcPr>
            <w:tcW w:w="0" w:type="auto"/>
            <w:shd w:val="clear" w:color="auto" w:fill="FFFFFF"/>
            <w:tcMar>
              <w:top w:w="40" w:type="dxa"/>
              <w:left w:w="0" w:type="dxa"/>
              <w:bottom w:w="40" w:type="dxa"/>
              <w:right w:w="20" w:type="dxa"/>
            </w:tcMar>
            <w:vAlign w:val="center"/>
          </w:tcPr>
          <w:p w14:paraId="442F6A9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A9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A99" w14:textId="77777777" w:rsidR="00CC25B5" w:rsidRDefault="00900968">
            <w:pPr>
              <w:jc w:val="right"/>
              <w:textAlignment w:val="center"/>
            </w:pPr>
            <w:r>
              <w:rPr>
                <w:rFonts w:ascii="Times New Roman" w:eastAsia="宋体" w:hAnsi="Times New Roman"/>
                <w:color w:val="000000"/>
                <w:sz w:val="16"/>
                <w:szCs w:val="16"/>
              </w:rPr>
              <w:t>48 </w:t>
            </w:r>
          </w:p>
        </w:tc>
        <w:tc>
          <w:tcPr>
            <w:tcW w:w="0" w:type="auto"/>
            <w:shd w:val="clear" w:color="auto" w:fill="FFFFFF"/>
            <w:tcMar>
              <w:top w:w="40" w:type="dxa"/>
              <w:left w:w="0" w:type="dxa"/>
              <w:bottom w:w="40" w:type="dxa"/>
              <w:right w:w="20" w:type="dxa"/>
            </w:tcMar>
            <w:vAlign w:val="center"/>
          </w:tcPr>
          <w:p w14:paraId="442F6A9A" w14:textId="77777777" w:rsidR="00CC25B5" w:rsidRDefault="00CC25B5">
            <w:pPr>
              <w:jc w:val="right"/>
              <w:rPr>
                <w:rFonts w:ascii="宋体"/>
              </w:rPr>
            </w:pPr>
          </w:p>
        </w:tc>
        <w:tc>
          <w:tcPr>
            <w:tcW w:w="0" w:type="auto"/>
            <w:shd w:val="clear" w:color="auto" w:fill="auto"/>
            <w:vAlign w:val="bottom"/>
          </w:tcPr>
          <w:p w14:paraId="442F6A9B" w14:textId="77777777" w:rsidR="00CC25B5" w:rsidRDefault="00CC25B5">
            <w:pPr>
              <w:rPr>
                <w:rFonts w:ascii="宋体"/>
                <w:vanish/>
              </w:rPr>
            </w:pPr>
          </w:p>
        </w:tc>
        <w:tc>
          <w:tcPr>
            <w:tcW w:w="0" w:type="auto"/>
            <w:shd w:val="clear" w:color="auto" w:fill="auto"/>
            <w:vAlign w:val="bottom"/>
          </w:tcPr>
          <w:p w14:paraId="442F6A9C" w14:textId="77777777" w:rsidR="00CC25B5" w:rsidRDefault="00CC25B5">
            <w:pPr>
              <w:rPr>
                <w:rFonts w:ascii="宋体"/>
                <w:vanish/>
              </w:rPr>
            </w:pPr>
          </w:p>
        </w:tc>
        <w:tc>
          <w:tcPr>
            <w:tcW w:w="0" w:type="auto"/>
            <w:shd w:val="clear" w:color="auto" w:fill="auto"/>
            <w:vAlign w:val="bottom"/>
          </w:tcPr>
          <w:p w14:paraId="442F6A9D" w14:textId="77777777" w:rsidR="00CC25B5" w:rsidRDefault="00CC25B5">
            <w:pPr>
              <w:rPr>
                <w:rFonts w:ascii="宋体"/>
                <w:vanish/>
              </w:rPr>
            </w:pPr>
          </w:p>
        </w:tc>
      </w:tr>
      <w:tr w:rsidR="00CC25B5" w14:paraId="442F6AB2" w14:textId="77777777">
        <w:trPr>
          <w:hidden/>
        </w:trPr>
        <w:tc>
          <w:tcPr>
            <w:tcW w:w="0" w:type="auto"/>
            <w:gridSpan w:val="3"/>
            <w:shd w:val="clear" w:color="auto" w:fill="auto"/>
            <w:vAlign w:val="bottom"/>
          </w:tcPr>
          <w:p w14:paraId="442F6A9F" w14:textId="77777777" w:rsidR="00CC25B5" w:rsidRDefault="00CC25B5">
            <w:pPr>
              <w:rPr>
                <w:rFonts w:ascii="宋体"/>
                <w:vanish/>
              </w:rPr>
            </w:pPr>
          </w:p>
        </w:tc>
        <w:tc>
          <w:tcPr>
            <w:tcW w:w="0" w:type="auto"/>
            <w:gridSpan w:val="3"/>
            <w:shd w:val="clear" w:color="auto" w:fill="auto"/>
            <w:vAlign w:val="bottom"/>
          </w:tcPr>
          <w:p w14:paraId="442F6AA0" w14:textId="77777777" w:rsidR="00CC25B5" w:rsidRDefault="00CC25B5">
            <w:pPr>
              <w:rPr>
                <w:rFonts w:ascii="宋体"/>
                <w:vanish/>
              </w:rPr>
            </w:pPr>
          </w:p>
        </w:tc>
        <w:tc>
          <w:tcPr>
            <w:tcW w:w="0" w:type="auto"/>
            <w:gridSpan w:val="3"/>
            <w:shd w:val="clear" w:color="auto" w:fill="auto"/>
            <w:vAlign w:val="bottom"/>
          </w:tcPr>
          <w:p w14:paraId="442F6AA1" w14:textId="77777777" w:rsidR="00CC25B5" w:rsidRDefault="00CC25B5">
            <w:pPr>
              <w:rPr>
                <w:rFonts w:ascii="宋体"/>
                <w:vanish/>
              </w:rPr>
            </w:pPr>
          </w:p>
        </w:tc>
        <w:tc>
          <w:tcPr>
            <w:tcW w:w="0" w:type="auto"/>
            <w:gridSpan w:val="3"/>
            <w:shd w:val="clear" w:color="auto" w:fill="auto"/>
            <w:vAlign w:val="bottom"/>
          </w:tcPr>
          <w:p w14:paraId="442F6AA2" w14:textId="77777777" w:rsidR="00CC25B5" w:rsidRDefault="00CC25B5">
            <w:pPr>
              <w:rPr>
                <w:rFonts w:ascii="宋体"/>
                <w:vanish/>
              </w:rPr>
            </w:pPr>
          </w:p>
        </w:tc>
        <w:tc>
          <w:tcPr>
            <w:tcW w:w="0" w:type="auto"/>
            <w:gridSpan w:val="3"/>
            <w:shd w:val="clear" w:color="auto" w:fill="auto"/>
            <w:vAlign w:val="bottom"/>
          </w:tcPr>
          <w:p w14:paraId="442F6AA3" w14:textId="77777777" w:rsidR="00CC25B5" w:rsidRDefault="00CC25B5">
            <w:pPr>
              <w:rPr>
                <w:rFonts w:ascii="宋体"/>
                <w:vanish/>
              </w:rPr>
            </w:pPr>
          </w:p>
        </w:tc>
        <w:tc>
          <w:tcPr>
            <w:tcW w:w="0" w:type="auto"/>
            <w:gridSpan w:val="3"/>
            <w:shd w:val="clear" w:color="auto" w:fill="auto"/>
            <w:vAlign w:val="bottom"/>
          </w:tcPr>
          <w:p w14:paraId="442F6AA4" w14:textId="77777777" w:rsidR="00CC25B5" w:rsidRDefault="00CC25B5">
            <w:pPr>
              <w:rPr>
                <w:rFonts w:ascii="宋体"/>
                <w:vanish/>
              </w:rPr>
            </w:pPr>
          </w:p>
        </w:tc>
        <w:tc>
          <w:tcPr>
            <w:tcW w:w="0" w:type="auto"/>
            <w:gridSpan w:val="3"/>
            <w:shd w:val="clear" w:color="auto" w:fill="auto"/>
            <w:vAlign w:val="bottom"/>
          </w:tcPr>
          <w:p w14:paraId="442F6AA5" w14:textId="77777777" w:rsidR="00CC25B5" w:rsidRDefault="00CC25B5">
            <w:pPr>
              <w:rPr>
                <w:rFonts w:ascii="宋体"/>
                <w:vanish/>
              </w:rPr>
            </w:pPr>
          </w:p>
        </w:tc>
        <w:tc>
          <w:tcPr>
            <w:tcW w:w="0" w:type="auto"/>
            <w:gridSpan w:val="3"/>
            <w:shd w:val="clear" w:color="auto" w:fill="auto"/>
            <w:vAlign w:val="bottom"/>
          </w:tcPr>
          <w:p w14:paraId="442F6AA6" w14:textId="77777777" w:rsidR="00CC25B5" w:rsidRDefault="00CC25B5">
            <w:pPr>
              <w:rPr>
                <w:rFonts w:ascii="宋体"/>
                <w:vanish/>
              </w:rPr>
            </w:pPr>
          </w:p>
        </w:tc>
        <w:tc>
          <w:tcPr>
            <w:tcW w:w="0" w:type="auto"/>
            <w:gridSpan w:val="3"/>
            <w:shd w:val="clear" w:color="auto" w:fill="auto"/>
            <w:vAlign w:val="bottom"/>
          </w:tcPr>
          <w:p w14:paraId="442F6AA7" w14:textId="77777777" w:rsidR="00CC25B5" w:rsidRDefault="00CC25B5">
            <w:pPr>
              <w:rPr>
                <w:rFonts w:ascii="宋体"/>
                <w:vanish/>
              </w:rPr>
            </w:pPr>
          </w:p>
        </w:tc>
        <w:tc>
          <w:tcPr>
            <w:tcW w:w="0" w:type="auto"/>
            <w:gridSpan w:val="3"/>
            <w:shd w:val="clear" w:color="auto" w:fill="auto"/>
            <w:vAlign w:val="bottom"/>
          </w:tcPr>
          <w:p w14:paraId="442F6AA8" w14:textId="77777777" w:rsidR="00CC25B5" w:rsidRDefault="00CC25B5">
            <w:pPr>
              <w:rPr>
                <w:rFonts w:ascii="宋体"/>
                <w:vanish/>
              </w:rPr>
            </w:pPr>
          </w:p>
        </w:tc>
        <w:tc>
          <w:tcPr>
            <w:tcW w:w="0" w:type="auto"/>
            <w:gridSpan w:val="3"/>
            <w:shd w:val="clear" w:color="auto" w:fill="auto"/>
            <w:vAlign w:val="bottom"/>
          </w:tcPr>
          <w:p w14:paraId="442F6AA9" w14:textId="77777777" w:rsidR="00CC25B5" w:rsidRDefault="00CC25B5">
            <w:pPr>
              <w:rPr>
                <w:rFonts w:ascii="宋体"/>
                <w:vanish/>
              </w:rPr>
            </w:pPr>
          </w:p>
        </w:tc>
        <w:tc>
          <w:tcPr>
            <w:tcW w:w="0" w:type="auto"/>
            <w:gridSpan w:val="3"/>
            <w:shd w:val="clear" w:color="auto" w:fill="auto"/>
            <w:vAlign w:val="bottom"/>
          </w:tcPr>
          <w:p w14:paraId="442F6AAA" w14:textId="77777777" w:rsidR="00CC25B5" w:rsidRDefault="00CC25B5">
            <w:pPr>
              <w:rPr>
                <w:rFonts w:ascii="宋体"/>
                <w:vanish/>
              </w:rPr>
            </w:pPr>
          </w:p>
        </w:tc>
        <w:tc>
          <w:tcPr>
            <w:tcW w:w="0" w:type="auto"/>
            <w:gridSpan w:val="3"/>
            <w:shd w:val="clear" w:color="auto" w:fill="auto"/>
            <w:vAlign w:val="bottom"/>
          </w:tcPr>
          <w:p w14:paraId="442F6AAB" w14:textId="77777777" w:rsidR="00CC25B5" w:rsidRDefault="00CC25B5">
            <w:pPr>
              <w:rPr>
                <w:rFonts w:ascii="宋体"/>
                <w:vanish/>
              </w:rPr>
            </w:pPr>
          </w:p>
        </w:tc>
        <w:tc>
          <w:tcPr>
            <w:tcW w:w="0" w:type="auto"/>
            <w:gridSpan w:val="3"/>
            <w:shd w:val="clear" w:color="auto" w:fill="auto"/>
            <w:vAlign w:val="bottom"/>
          </w:tcPr>
          <w:p w14:paraId="442F6AAC" w14:textId="77777777" w:rsidR="00CC25B5" w:rsidRDefault="00CC25B5">
            <w:pPr>
              <w:rPr>
                <w:rFonts w:ascii="宋体"/>
                <w:vanish/>
              </w:rPr>
            </w:pPr>
          </w:p>
        </w:tc>
        <w:tc>
          <w:tcPr>
            <w:tcW w:w="0" w:type="auto"/>
            <w:gridSpan w:val="3"/>
            <w:shd w:val="clear" w:color="auto" w:fill="auto"/>
            <w:vAlign w:val="bottom"/>
          </w:tcPr>
          <w:p w14:paraId="442F6AAD" w14:textId="77777777" w:rsidR="00CC25B5" w:rsidRDefault="00CC25B5">
            <w:pPr>
              <w:rPr>
                <w:rFonts w:ascii="宋体"/>
                <w:vanish/>
              </w:rPr>
            </w:pPr>
          </w:p>
        </w:tc>
        <w:tc>
          <w:tcPr>
            <w:tcW w:w="0" w:type="auto"/>
            <w:gridSpan w:val="3"/>
            <w:shd w:val="clear" w:color="auto" w:fill="auto"/>
            <w:vAlign w:val="bottom"/>
          </w:tcPr>
          <w:p w14:paraId="442F6AAE" w14:textId="77777777" w:rsidR="00CC25B5" w:rsidRDefault="00CC25B5">
            <w:pPr>
              <w:rPr>
                <w:rFonts w:ascii="宋体"/>
                <w:vanish/>
              </w:rPr>
            </w:pPr>
          </w:p>
        </w:tc>
        <w:tc>
          <w:tcPr>
            <w:tcW w:w="0" w:type="auto"/>
            <w:shd w:val="clear" w:color="auto" w:fill="auto"/>
            <w:vAlign w:val="bottom"/>
          </w:tcPr>
          <w:p w14:paraId="442F6AAF" w14:textId="77777777" w:rsidR="00CC25B5" w:rsidRDefault="00CC25B5">
            <w:pPr>
              <w:rPr>
                <w:rFonts w:ascii="宋体"/>
                <w:vanish/>
              </w:rPr>
            </w:pPr>
          </w:p>
        </w:tc>
        <w:tc>
          <w:tcPr>
            <w:tcW w:w="0" w:type="auto"/>
            <w:shd w:val="clear" w:color="auto" w:fill="auto"/>
            <w:vAlign w:val="bottom"/>
          </w:tcPr>
          <w:p w14:paraId="442F6AB0" w14:textId="77777777" w:rsidR="00CC25B5" w:rsidRDefault="00CC25B5">
            <w:pPr>
              <w:rPr>
                <w:rFonts w:ascii="宋体"/>
                <w:vanish/>
              </w:rPr>
            </w:pPr>
          </w:p>
        </w:tc>
        <w:tc>
          <w:tcPr>
            <w:tcW w:w="0" w:type="auto"/>
            <w:shd w:val="clear" w:color="auto" w:fill="auto"/>
            <w:vAlign w:val="bottom"/>
          </w:tcPr>
          <w:p w14:paraId="442F6AB1" w14:textId="77777777" w:rsidR="00CC25B5" w:rsidRDefault="00CC25B5">
            <w:pPr>
              <w:rPr>
                <w:rFonts w:ascii="宋体"/>
                <w:vanish/>
              </w:rPr>
            </w:pPr>
          </w:p>
        </w:tc>
      </w:tr>
      <w:tr w:rsidR="00CC25B5" w14:paraId="442F6AC6" w14:textId="77777777">
        <w:trPr>
          <w:hidden/>
        </w:trPr>
        <w:tc>
          <w:tcPr>
            <w:tcW w:w="0" w:type="auto"/>
            <w:gridSpan w:val="3"/>
            <w:shd w:val="clear" w:color="auto" w:fill="auto"/>
            <w:vAlign w:val="bottom"/>
          </w:tcPr>
          <w:p w14:paraId="442F6AB3" w14:textId="77777777" w:rsidR="00CC25B5" w:rsidRDefault="00CC25B5">
            <w:pPr>
              <w:rPr>
                <w:rFonts w:ascii="宋体"/>
                <w:vanish/>
              </w:rPr>
            </w:pPr>
          </w:p>
        </w:tc>
        <w:tc>
          <w:tcPr>
            <w:tcW w:w="0" w:type="auto"/>
            <w:gridSpan w:val="3"/>
            <w:shd w:val="clear" w:color="auto" w:fill="auto"/>
            <w:vAlign w:val="bottom"/>
          </w:tcPr>
          <w:p w14:paraId="442F6AB4" w14:textId="77777777" w:rsidR="00CC25B5" w:rsidRDefault="00CC25B5">
            <w:pPr>
              <w:rPr>
                <w:rFonts w:ascii="宋体"/>
                <w:vanish/>
              </w:rPr>
            </w:pPr>
          </w:p>
        </w:tc>
        <w:tc>
          <w:tcPr>
            <w:tcW w:w="0" w:type="auto"/>
            <w:gridSpan w:val="3"/>
            <w:shd w:val="clear" w:color="auto" w:fill="auto"/>
            <w:vAlign w:val="bottom"/>
          </w:tcPr>
          <w:p w14:paraId="442F6AB5" w14:textId="77777777" w:rsidR="00CC25B5" w:rsidRDefault="00CC25B5">
            <w:pPr>
              <w:rPr>
                <w:rFonts w:ascii="宋体"/>
                <w:vanish/>
              </w:rPr>
            </w:pPr>
          </w:p>
        </w:tc>
        <w:tc>
          <w:tcPr>
            <w:tcW w:w="0" w:type="auto"/>
            <w:gridSpan w:val="3"/>
            <w:shd w:val="clear" w:color="auto" w:fill="auto"/>
            <w:vAlign w:val="bottom"/>
          </w:tcPr>
          <w:p w14:paraId="442F6AB6" w14:textId="77777777" w:rsidR="00CC25B5" w:rsidRDefault="00CC25B5">
            <w:pPr>
              <w:rPr>
                <w:rFonts w:ascii="宋体"/>
                <w:vanish/>
              </w:rPr>
            </w:pPr>
          </w:p>
        </w:tc>
        <w:tc>
          <w:tcPr>
            <w:tcW w:w="0" w:type="auto"/>
            <w:gridSpan w:val="3"/>
            <w:shd w:val="clear" w:color="auto" w:fill="auto"/>
            <w:vAlign w:val="bottom"/>
          </w:tcPr>
          <w:p w14:paraId="442F6AB7" w14:textId="77777777" w:rsidR="00CC25B5" w:rsidRDefault="00CC25B5">
            <w:pPr>
              <w:rPr>
                <w:rFonts w:ascii="宋体"/>
                <w:vanish/>
              </w:rPr>
            </w:pPr>
          </w:p>
        </w:tc>
        <w:tc>
          <w:tcPr>
            <w:tcW w:w="0" w:type="auto"/>
            <w:gridSpan w:val="3"/>
            <w:shd w:val="clear" w:color="auto" w:fill="auto"/>
            <w:vAlign w:val="bottom"/>
          </w:tcPr>
          <w:p w14:paraId="442F6AB8" w14:textId="77777777" w:rsidR="00CC25B5" w:rsidRDefault="00CC25B5">
            <w:pPr>
              <w:rPr>
                <w:rFonts w:ascii="宋体"/>
                <w:vanish/>
              </w:rPr>
            </w:pPr>
          </w:p>
        </w:tc>
        <w:tc>
          <w:tcPr>
            <w:tcW w:w="0" w:type="auto"/>
            <w:gridSpan w:val="3"/>
            <w:shd w:val="clear" w:color="auto" w:fill="auto"/>
            <w:vAlign w:val="bottom"/>
          </w:tcPr>
          <w:p w14:paraId="442F6AB9" w14:textId="77777777" w:rsidR="00CC25B5" w:rsidRDefault="00CC25B5">
            <w:pPr>
              <w:rPr>
                <w:rFonts w:ascii="宋体"/>
                <w:vanish/>
              </w:rPr>
            </w:pPr>
          </w:p>
        </w:tc>
        <w:tc>
          <w:tcPr>
            <w:tcW w:w="0" w:type="auto"/>
            <w:gridSpan w:val="3"/>
            <w:shd w:val="clear" w:color="auto" w:fill="auto"/>
            <w:vAlign w:val="bottom"/>
          </w:tcPr>
          <w:p w14:paraId="442F6ABA" w14:textId="77777777" w:rsidR="00CC25B5" w:rsidRDefault="00CC25B5">
            <w:pPr>
              <w:rPr>
                <w:rFonts w:ascii="宋体"/>
                <w:vanish/>
              </w:rPr>
            </w:pPr>
          </w:p>
        </w:tc>
        <w:tc>
          <w:tcPr>
            <w:tcW w:w="0" w:type="auto"/>
            <w:gridSpan w:val="3"/>
            <w:shd w:val="clear" w:color="auto" w:fill="auto"/>
            <w:vAlign w:val="bottom"/>
          </w:tcPr>
          <w:p w14:paraId="442F6ABB" w14:textId="77777777" w:rsidR="00CC25B5" w:rsidRDefault="00CC25B5">
            <w:pPr>
              <w:rPr>
                <w:rFonts w:ascii="宋体"/>
                <w:vanish/>
              </w:rPr>
            </w:pPr>
          </w:p>
        </w:tc>
        <w:tc>
          <w:tcPr>
            <w:tcW w:w="0" w:type="auto"/>
            <w:gridSpan w:val="3"/>
            <w:shd w:val="clear" w:color="auto" w:fill="auto"/>
            <w:vAlign w:val="bottom"/>
          </w:tcPr>
          <w:p w14:paraId="442F6ABC" w14:textId="77777777" w:rsidR="00CC25B5" w:rsidRDefault="00CC25B5">
            <w:pPr>
              <w:rPr>
                <w:rFonts w:ascii="宋体"/>
                <w:vanish/>
              </w:rPr>
            </w:pPr>
          </w:p>
        </w:tc>
        <w:tc>
          <w:tcPr>
            <w:tcW w:w="0" w:type="auto"/>
            <w:gridSpan w:val="3"/>
            <w:shd w:val="clear" w:color="auto" w:fill="auto"/>
            <w:vAlign w:val="bottom"/>
          </w:tcPr>
          <w:p w14:paraId="442F6ABD" w14:textId="77777777" w:rsidR="00CC25B5" w:rsidRDefault="00CC25B5">
            <w:pPr>
              <w:rPr>
                <w:rFonts w:ascii="宋体"/>
                <w:vanish/>
              </w:rPr>
            </w:pPr>
          </w:p>
        </w:tc>
        <w:tc>
          <w:tcPr>
            <w:tcW w:w="0" w:type="auto"/>
            <w:gridSpan w:val="3"/>
            <w:shd w:val="clear" w:color="auto" w:fill="auto"/>
            <w:vAlign w:val="bottom"/>
          </w:tcPr>
          <w:p w14:paraId="442F6ABE" w14:textId="77777777" w:rsidR="00CC25B5" w:rsidRDefault="00CC25B5">
            <w:pPr>
              <w:rPr>
                <w:rFonts w:ascii="宋体"/>
                <w:vanish/>
              </w:rPr>
            </w:pPr>
          </w:p>
        </w:tc>
        <w:tc>
          <w:tcPr>
            <w:tcW w:w="0" w:type="auto"/>
            <w:gridSpan w:val="3"/>
            <w:shd w:val="clear" w:color="auto" w:fill="auto"/>
            <w:vAlign w:val="bottom"/>
          </w:tcPr>
          <w:p w14:paraId="442F6ABF" w14:textId="77777777" w:rsidR="00CC25B5" w:rsidRDefault="00CC25B5">
            <w:pPr>
              <w:rPr>
                <w:rFonts w:ascii="宋体"/>
                <w:vanish/>
              </w:rPr>
            </w:pPr>
          </w:p>
        </w:tc>
        <w:tc>
          <w:tcPr>
            <w:tcW w:w="0" w:type="auto"/>
            <w:gridSpan w:val="3"/>
            <w:shd w:val="clear" w:color="auto" w:fill="auto"/>
            <w:vAlign w:val="bottom"/>
          </w:tcPr>
          <w:p w14:paraId="442F6AC0" w14:textId="77777777" w:rsidR="00CC25B5" w:rsidRDefault="00CC25B5">
            <w:pPr>
              <w:rPr>
                <w:rFonts w:ascii="宋体"/>
                <w:vanish/>
              </w:rPr>
            </w:pPr>
          </w:p>
        </w:tc>
        <w:tc>
          <w:tcPr>
            <w:tcW w:w="0" w:type="auto"/>
            <w:gridSpan w:val="3"/>
            <w:shd w:val="clear" w:color="auto" w:fill="auto"/>
            <w:vAlign w:val="bottom"/>
          </w:tcPr>
          <w:p w14:paraId="442F6AC1" w14:textId="77777777" w:rsidR="00CC25B5" w:rsidRDefault="00CC25B5">
            <w:pPr>
              <w:rPr>
                <w:rFonts w:ascii="宋体"/>
                <w:vanish/>
              </w:rPr>
            </w:pPr>
          </w:p>
        </w:tc>
        <w:tc>
          <w:tcPr>
            <w:tcW w:w="0" w:type="auto"/>
            <w:gridSpan w:val="3"/>
            <w:shd w:val="clear" w:color="auto" w:fill="auto"/>
            <w:vAlign w:val="bottom"/>
          </w:tcPr>
          <w:p w14:paraId="442F6AC2" w14:textId="77777777" w:rsidR="00CC25B5" w:rsidRDefault="00CC25B5">
            <w:pPr>
              <w:rPr>
                <w:rFonts w:ascii="宋体"/>
                <w:vanish/>
              </w:rPr>
            </w:pPr>
          </w:p>
        </w:tc>
        <w:tc>
          <w:tcPr>
            <w:tcW w:w="0" w:type="auto"/>
            <w:shd w:val="clear" w:color="auto" w:fill="auto"/>
            <w:vAlign w:val="bottom"/>
          </w:tcPr>
          <w:p w14:paraId="442F6AC3" w14:textId="77777777" w:rsidR="00CC25B5" w:rsidRDefault="00CC25B5">
            <w:pPr>
              <w:rPr>
                <w:rFonts w:ascii="宋体"/>
                <w:vanish/>
              </w:rPr>
            </w:pPr>
          </w:p>
        </w:tc>
        <w:tc>
          <w:tcPr>
            <w:tcW w:w="0" w:type="auto"/>
            <w:shd w:val="clear" w:color="auto" w:fill="auto"/>
            <w:vAlign w:val="bottom"/>
          </w:tcPr>
          <w:p w14:paraId="442F6AC4" w14:textId="77777777" w:rsidR="00CC25B5" w:rsidRDefault="00CC25B5">
            <w:pPr>
              <w:rPr>
                <w:rFonts w:ascii="宋体"/>
                <w:vanish/>
              </w:rPr>
            </w:pPr>
          </w:p>
        </w:tc>
        <w:tc>
          <w:tcPr>
            <w:tcW w:w="0" w:type="auto"/>
            <w:shd w:val="clear" w:color="auto" w:fill="auto"/>
            <w:vAlign w:val="bottom"/>
          </w:tcPr>
          <w:p w14:paraId="442F6AC5" w14:textId="77777777" w:rsidR="00CC25B5" w:rsidRDefault="00CC25B5">
            <w:pPr>
              <w:rPr>
                <w:rFonts w:ascii="宋体"/>
                <w:vanish/>
              </w:rPr>
            </w:pPr>
          </w:p>
        </w:tc>
      </w:tr>
      <w:tr w:rsidR="00CC25B5" w14:paraId="442F6ADA" w14:textId="77777777">
        <w:trPr>
          <w:hidden/>
        </w:trPr>
        <w:tc>
          <w:tcPr>
            <w:tcW w:w="0" w:type="auto"/>
            <w:gridSpan w:val="3"/>
            <w:shd w:val="clear" w:color="auto" w:fill="auto"/>
            <w:vAlign w:val="bottom"/>
          </w:tcPr>
          <w:p w14:paraId="442F6AC7" w14:textId="77777777" w:rsidR="00CC25B5" w:rsidRDefault="00CC25B5">
            <w:pPr>
              <w:rPr>
                <w:rFonts w:ascii="宋体"/>
                <w:vanish/>
              </w:rPr>
            </w:pPr>
          </w:p>
        </w:tc>
        <w:tc>
          <w:tcPr>
            <w:tcW w:w="0" w:type="auto"/>
            <w:gridSpan w:val="3"/>
            <w:shd w:val="clear" w:color="auto" w:fill="auto"/>
            <w:vAlign w:val="bottom"/>
          </w:tcPr>
          <w:p w14:paraId="442F6AC8" w14:textId="77777777" w:rsidR="00CC25B5" w:rsidRDefault="00CC25B5">
            <w:pPr>
              <w:rPr>
                <w:rFonts w:ascii="宋体"/>
                <w:vanish/>
              </w:rPr>
            </w:pPr>
          </w:p>
        </w:tc>
        <w:tc>
          <w:tcPr>
            <w:tcW w:w="0" w:type="auto"/>
            <w:gridSpan w:val="3"/>
            <w:shd w:val="clear" w:color="auto" w:fill="auto"/>
            <w:vAlign w:val="bottom"/>
          </w:tcPr>
          <w:p w14:paraId="442F6AC9" w14:textId="77777777" w:rsidR="00CC25B5" w:rsidRDefault="00CC25B5">
            <w:pPr>
              <w:rPr>
                <w:rFonts w:ascii="宋体"/>
                <w:vanish/>
              </w:rPr>
            </w:pPr>
          </w:p>
        </w:tc>
        <w:tc>
          <w:tcPr>
            <w:tcW w:w="0" w:type="auto"/>
            <w:gridSpan w:val="3"/>
            <w:shd w:val="clear" w:color="auto" w:fill="auto"/>
            <w:vAlign w:val="bottom"/>
          </w:tcPr>
          <w:p w14:paraId="442F6ACA" w14:textId="77777777" w:rsidR="00CC25B5" w:rsidRDefault="00CC25B5">
            <w:pPr>
              <w:rPr>
                <w:rFonts w:ascii="宋体"/>
                <w:vanish/>
              </w:rPr>
            </w:pPr>
          </w:p>
        </w:tc>
        <w:tc>
          <w:tcPr>
            <w:tcW w:w="0" w:type="auto"/>
            <w:gridSpan w:val="3"/>
            <w:shd w:val="clear" w:color="auto" w:fill="auto"/>
            <w:vAlign w:val="bottom"/>
          </w:tcPr>
          <w:p w14:paraId="442F6ACB" w14:textId="77777777" w:rsidR="00CC25B5" w:rsidRDefault="00CC25B5">
            <w:pPr>
              <w:rPr>
                <w:rFonts w:ascii="宋体"/>
                <w:vanish/>
              </w:rPr>
            </w:pPr>
          </w:p>
        </w:tc>
        <w:tc>
          <w:tcPr>
            <w:tcW w:w="0" w:type="auto"/>
            <w:gridSpan w:val="3"/>
            <w:shd w:val="clear" w:color="auto" w:fill="auto"/>
            <w:vAlign w:val="bottom"/>
          </w:tcPr>
          <w:p w14:paraId="442F6ACC" w14:textId="77777777" w:rsidR="00CC25B5" w:rsidRDefault="00CC25B5">
            <w:pPr>
              <w:rPr>
                <w:rFonts w:ascii="宋体"/>
                <w:vanish/>
              </w:rPr>
            </w:pPr>
          </w:p>
        </w:tc>
        <w:tc>
          <w:tcPr>
            <w:tcW w:w="0" w:type="auto"/>
            <w:gridSpan w:val="3"/>
            <w:shd w:val="clear" w:color="auto" w:fill="auto"/>
            <w:vAlign w:val="bottom"/>
          </w:tcPr>
          <w:p w14:paraId="442F6ACD" w14:textId="77777777" w:rsidR="00CC25B5" w:rsidRDefault="00CC25B5">
            <w:pPr>
              <w:rPr>
                <w:rFonts w:ascii="宋体"/>
                <w:vanish/>
              </w:rPr>
            </w:pPr>
          </w:p>
        </w:tc>
        <w:tc>
          <w:tcPr>
            <w:tcW w:w="0" w:type="auto"/>
            <w:gridSpan w:val="3"/>
            <w:shd w:val="clear" w:color="auto" w:fill="auto"/>
            <w:vAlign w:val="bottom"/>
          </w:tcPr>
          <w:p w14:paraId="442F6ACE" w14:textId="77777777" w:rsidR="00CC25B5" w:rsidRDefault="00CC25B5">
            <w:pPr>
              <w:rPr>
                <w:rFonts w:ascii="宋体"/>
                <w:vanish/>
              </w:rPr>
            </w:pPr>
          </w:p>
        </w:tc>
        <w:tc>
          <w:tcPr>
            <w:tcW w:w="0" w:type="auto"/>
            <w:gridSpan w:val="3"/>
            <w:shd w:val="clear" w:color="auto" w:fill="auto"/>
            <w:vAlign w:val="bottom"/>
          </w:tcPr>
          <w:p w14:paraId="442F6ACF" w14:textId="77777777" w:rsidR="00CC25B5" w:rsidRDefault="00CC25B5">
            <w:pPr>
              <w:rPr>
                <w:rFonts w:ascii="宋体"/>
                <w:vanish/>
              </w:rPr>
            </w:pPr>
          </w:p>
        </w:tc>
        <w:tc>
          <w:tcPr>
            <w:tcW w:w="0" w:type="auto"/>
            <w:gridSpan w:val="3"/>
            <w:shd w:val="clear" w:color="auto" w:fill="auto"/>
            <w:vAlign w:val="bottom"/>
          </w:tcPr>
          <w:p w14:paraId="442F6AD0" w14:textId="77777777" w:rsidR="00CC25B5" w:rsidRDefault="00CC25B5">
            <w:pPr>
              <w:rPr>
                <w:rFonts w:ascii="宋体"/>
                <w:vanish/>
              </w:rPr>
            </w:pPr>
          </w:p>
        </w:tc>
        <w:tc>
          <w:tcPr>
            <w:tcW w:w="0" w:type="auto"/>
            <w:gridSpan w:val="3"/>
            <w:shd w:val="clear" w:color="auto" w:fill="auto"/>
            <w:vAlign w:val="bottom"/>
          </w:tcPr>
          <w:p w14:paraId="442F6AD1" w14:textId="77777777" w:rsidR="00CC25B5" w:rsidRDefault="00CC25B5">
            <w:pPr>
              <w:rPr>
                <w:rFonts w:ascii="宋体"/>
                <w:vanish/>
              </w:rPr>
            </w:pPr>
          </w:p>
        </w:tc>
        <w:tc>
          <w:tcPr>
            <w:tcW w:w="0" w:type="auto"/>
            <w:gridSpan w:val="3"/>
            <w:shd w:val="clear" w:color="auto" w:fill="auto"/>
            <w:vAlign w:val="bottom"/>
          </w:tcPr>
          <w:p w14:paraId="442F6AD2" w14:textId="77777777" w:rsidR="00CC25B5" w:rsidRDefault="00CC25B5">
            <w:pPr>
              <w:rPr>
                <w:rFonts w:ascii="宋体"/>
                <w:vanish/>
              </w:rPr>
            </w:pPr>
          </w:p>
        </w:tc>
        <w:tc>
          <w:tcPr>
            <w:tcW w:w="0" w:type="auto"/>
            <w:gridSpan w:val="3"/>
            <w:shd w:val="clear" w:color="auto" w:fill="auto"/>
            <w:vAlign w:val="bottom"/>
          </w:tcPr>
          <w:p w14:paraId="442F6AD3" w14:textId="77777777" w:rsidR="00CC25B5" w:rsidRDefault="00CC25B5">
            <w:pPr>
              <w:rPr>
                <w:rFonts w:ascii="宋体"/>
                <w:vanish/>
              </w:rPr>
            </w:pPr>
          </w:p>
        </w:tc>
        <w:tc>
          <w:tcPr>
            <w:tcW w:w="0" w:type="auto"/>
            <w:gridSpan w:val="3"/>
            <w:shd w:val="clear" w:color="auto" w:fill="auto"/>
            <w:vAlign w:val="bottom"/>
          </w:tcPr>
          <w:p w14:paraId="442F6AD4" w14:textId="77777777" w:rsidR="00CC25B5" w:rsidRDefault="00CC25B5">
            <w:pPr>
              <w:rPr>
                <w:rFonts w:ascii="宋体"/>
                <w:vanish/>
              </w:rPr>
            </w:pPr>
          </w:p>
        </w:tc>
        <w:tc>
          <w:tcPr>
            <w:tcW w:w="0" w:type="auto"/>
            <w:gridSpan w:val="3"/>
            <w:shd w:val="clear" w:color="auto" w:fill="auto"/>
            <w:vAlign w:val="bottom"/>
          </w:tcPr>
          <w:p w14:paraId="442F6AD5" w14:textId="77777777" w:rsidR="00CC25B5" w:rsidRDefault="00CC25B5">
            <w:pPr>
              <w:rPr>
                <w:rFonts w:ascii="宋体"/>
                <w:vanish/>
              </w:rPr>
            </w:pPr>
          </w:p>
        </w:tc>
        <w:tc>
          <w:tcPr>
            <w:tcW w:w="0" w:type="auto"/>
            <w:gridSpan w:val="3"/>
            <w:shd w:val="clear" w:color="auto" w:fill="auto"/>
            <w:vAlign w:val="bottom"/>
          </w:tcPr>
          <w:p w14:paraId="442F6AD6" w14:textId="77777777" w:rsidR="00CC25B5" w:rsidRDefault="00CC25B5">
            <w:pPr>
              <w:rPr>
                <w:rFonts w:ascii="宋体"/>
                <w:vanish/>
              </w:rPr>
            </w:pPr>
          </w:p>
        </w:tc>
        <w:tc>
          <w:tcPr>
            <w:tcW w:w="0" w:type="auto"/>
            <w:shd w:val="clear" w:color="auto" w:fill="auto"/>
            <w:vAlign w:val="bottom"/>
          </w:tcPr>
          <w:p w14:paraId="442F6AD7" w14:textId="77777777" w:rsidR="00CC25B5" w:rsidRDefault="00CC25B5">
            <w:pPr>
              <w:rPr>
                <w:rFonts w:ascii="宋体"/>
                <w:vanish/>
              </w:rPr>
            </w:pPr>
          </w:p>
        </w:tc>
        <w:tc>
          <w:tcPr>
            <w:tcW w:w="0" w:type="auto"/>
            <w:shd w:val="clear" w:color="auto" w:fill="auto"/>
            <w:vAlign w:val="bottom"/>
          </w:tcPr>
          <w:p w14:paraId="442F6AD8" w14:textId="77777777" w:rsidR="00CC25B5" w:rsidRDefault="00CC25B5">
            <w:pPr>
              <w:rPr>
                <w:rFonts w:ascii="宋体"/>
                <w:vanish/>
              </w:rPr>
            </w:pPr>
          </w:p>
        </w:tc>
        <w:tc>
          <w:tcPr>
            <w:tcW w:w="0" w:type="auto"/>
            <w:shd w:val="clear" w:color="auto" w:fill="auto"/>
            <w:vAlign w:val="bottom"/>
          </w:tcPr>
          <w:p w14:paraId="442F6AD9" w14:textId="77777777" w:rsidR="00CC25B5" w:rsidRDefault="00CC25B5">
            <w:pPr>
              <w:rPr>
                <w:rFonts w:ascii="宋体"/>
                <w:vanish/>
              </w:rPr>
            </w:pPr>
          </w:p>
        </w:tc>
      </w:tr>
      <w:tr w:rsidR="00CC25B5" w14:paraId="442F6AEE" w14:textId="77777777">
        <w:trPr>
          <w:hidden/>
        </w:trPr>
        <w:tc>
          <w:tcPr>
            <w:tcW w:w="0" w:type="auto"/>
            <w:gridSpan w:val="3"/>
            <w:shd w:val="clear" w:color="auto" w:fill="auto"/>
            <w:vAlign w:val="bottom"/>
          </w:tcPr>
          <w:p w14:paraId="442F6ADB" w14:textId="77777777" w:rsidR="00CC25B5" w:rsidRDefault="00CC25B5">
            <w:pPr>
              <w:rPr>
                <w:rFonts w:ascii="宋体"/>
                <w:vanish/>
              </w:rPr>
            </w:pPr>
          </w:p>
        </w:tc>
        <w:tc>
          <w:tcPr>
            <w:tcW w:w="0" w:type="auto"/>
            <w:gridSpan w:val="3"/>
            <w:shd w:val="clear" w:color="auto" w:fill="auto"/>
            <w:vAlign w:val="bottom"/>
          </w:tcPr>
          <w:p w14:paraId="442F6ADC" w14:textId="77777777" w:rsidR="00CC25B5" w:rsidRDefault="00CC25B5">
            <w:pPr>
              <w:rPr>
                <w:rFonts w:ascii="宋体"/>
                <w:vanish/>
              </w:rPr>
            </w:pPr>
          </w:p>
        </w:tc>
        <w:tc>
          <w:tcPr>
            <w:tcW w:w="0" w:type="auto"/>
            <w:gridSpan w:val="3"/>
            <w:shd w:val="clear" w:color="auto" w:fill="auto"/>
            <w:vAlign w:val="bottom"/>
          </w:tcPr>
          <w:p w14:paraId="442F6ADD" w14:textId="77777777" w:rsidR="00CC25B5" w:rsidRDefault="00CC25B5">
            <w:pPr>
              <w:rPr>
                <w:rFonts w:ascii="宋体"/>
                <w:vanish/>
              </w:rPr>
            </w:pPr>
          </w:p>
        </w:tc>
        <w:tc>
          <w:tcPr>
            <w:tcW w:w="0" w:type="auto"/>
            <w:gridSpan w:val="3"/>
            <w:shd w:val="clear" w:color="auto" w:fill="auto"/>
            <w:vAlign w:val="bottom"/>
          </w:tcPr>
          <w:p w14:paraId="442F6ADE" w14:textId="77777777" w:rsidR="00CC25B5" w:rsidRDefault="00CC25B5">
            <w:pPr>
              <w:rPr>
                <w:rFonts w:ascii="宋体"/>
                <w:vanish/>
              </w:rPr>
            </w:pPr>
          </w:p>
        </w:tc>
        <w:tc>
          <w:tcPr>
            <w:tcW w:w="0" w:type="auto"/>
            <w:gridSpan w:val="3"/>
            <w:shd w:val="clear" w:color="auto" w:fill="auto"/>
            <w:vAlign w:val="bottom"/>
          </w:tcPr>
          <w:p w14:paraId="442F6ADF" w14:textId="77777777" w:rsidR="00CC25B5" w:rsidRDefault="00CC25B5">
            <w:pPr>
              <w:rPr>
                <w:rFonts w:ascii="宋体"/>
                <w:vanish/>
              </w:rPr>
            </w:pPr>
          </w:p>
        </w:tc>
        <w:tc>
          <w:tcPr>
            <w:tcW w:w="0" w:type="auto"/>
            <w:gridSpan w:val="3"/>
            <w:shd w:val="clear" w:color="auto" w:fill="auto"/>
            <w:vAlign w:val="bottom"/>
          </w:tcPr>
          <w:p w14:paraId="442F6AE0" w14:textId="77777777" w:rsidR="00CC25B5" w:rsidRDefault="00CC25B5">
            <w:pPr>
              <w:rPr>
                <w:rFonts w:ascii="宋体"/>
                <w:vanish/>
              </w:rPr>
            </w:pPr>
          </w:p>
        </w:tc>
        <w:tc>
          <w:tcPr>
            <w:tcW w:w="0" w:type="auto"/>
            <w:gridSpan w:val="3"/>
            <w:shd w:val="clear" w:color="auto" w:fill="auto"/>
            <w:vAlign w:val="bottom"/>
          </w:tcPr>
          <w:p w14:paraId="442F6AE1" w14:textId="77777777" w:rsidR="00CC25B5" w:rsidRDefault="00CC25B5">
            <w:pPr>
              <w:rPr>
                <w:rFonts w:ascii="宋体"/>
                <w:vanish/>
              </w:rPr>
            </w:pPr>
          </w:p>
        </w:tc>
        <w:tc>
          <w:tcPr>
            <w:tcW w:w="0" w:type="auto"/>
            <w:gridSpan w:val="3"/>
            <w:shd w:val="clear" w:color="auto" w:fill="auto"/>
            <w:vAlign w:val="bottom"/>
          </w:tcPr>
          <w:p w14:paraId="442F6AE2" w14:textId="77777777" w:rsidR="00CC25B5" w:rsidRDefault="00CC25B5">
            <w:pPr>
              <w:rPr>
                <w:rFonts w:ascii="宋体"/>
                <w:vanish/>
              </w:rPr>
            </w:pPr>
          </w:p>
        </w:tc>
        <w:tc>
          <w:tcPr>
            <w:tcW w:w="0" w:type="auto"/>
            <w:gridSpan w:val="3"/>
            <w:shd w:val="clear" w:color="auto" w:fill="auto"/>
            <w:vAlign w:val="bottom"/>
          </w:tcPr>
          <w:p w14:paraId="442F6AE3" w14:textId="77777777" w:rsidR="00CC25B5" w:rsidRDefault="00CC25B5">
            <w:pPr>
              <w:rPr>
                <w:rFonts w:ascii="宋体"/>
                <w:vanish/>
              </w:rPr>
            </w:pPr>
          </w:p>
        </w:tc>
        <w:tc>
          <w:tcPr>
            <w:tcW w:w="0" w:type="auto"/>
            <w:gridSpan w:val="3"/>
            <w:shd w:val="clear" w:color="auto" w:fill="auto"/>
            <w:vAlign w:val="bottom"/>
          </w:tcPr>
          <w:p w14:paraId="442F6AE4" w14:textId="77777777" w:rsidR="00CC25B5" w:rsidRDefault="00CC25B5">
            <w:pPr>
              <w:rPr>
                <w:rFonts w:ascii="宋体"/>
                <w:vanish/>
              </w:rPr>
            </w:pPr>
          </w:p>
        </w:tc>
        <w:tc>
          <w:tcPr>
            <w:tcW w:w="0" w:type="auto"/>
            <w:gridSpan w:val="3"/>
            <w:shd w:val="clear" w:color="auto" w:fill="auto"/>
            <w:vAlign w:val="bottom"/>
          </w:tcPr>
          <w:p w14:paraId="442F6AE5" w14:textId="77777777" w:rsidR="00CC25B5" w:rsidRDefault="00CC25B5">
            <w:pPr>
              <w:rPr>
                <w:rFonts w:ascii="宋体"/>
                <w:vanish/>
              </w:rPr>
            </w:pPr>
          </w:p>
        </w:tc>
        <w:tc>
          <w:tcPr>
            <w:tcW w:w="0" w:type="auto"/>
            <w:gridSpan w:val="3"/>
            <w:shd w:val="clear" w:color="auto" w:fill="auto"/>
            <w:vAlign w:val="bottom"/>
          </w:tcPr>
          <w:p w14:paraId="442F6AE6" w14:textId="77777777" w:rsidR="00CC25B5" w:rsidRDefault="00CC25B5">
            <w:pPr>
              <w:rPr>
                <w:rFonts w:ascii="宋体"/>
                <w:vanish/>
              </w:rPr>
            </w:pPr>
          </w:p>
        </w:tc>
        <w:tc>
          <w:tcPr>
            <w:tcW w:w="0" w:type="auto"/>
            <w:gridSpan w:val="3"/>
            <w:shd w:val="clear" w:color="auto" w:fill="auto"/>
            <w:vAlign w:val="bottom"/>
          </w:tcPr>
          <w:p w14:paraId="442F6AE7" w14:textId="77777777" w:rsidR="00CC25B5" w:rsidRDefault="00CC25B5">
            <w:pPr>
              <w:rPr>
                <w:rFonts w:ascii="宋体"/>
                <w:vanish/>
              </w:rPr>
            </w:pPr>
          </w:p>
        </w:tc>
        <w:tc>
          <w:tcPr>
            <w:tcW w:w="0" w:type="auto"/>
            <w:gridSpan w:val="3"/>
            <w:shd w:val="clear" w:color="auto" w:fill="auto"/>
            <w:vAlign w:val="bottom"/>
          </w:tcPr>
          <w:p w14:paraId="442F6AE8" w14:textId="77777777" w:rsidR="00CC25B5" w:rsidRDefault="00CC25B5">
            <w:pPr>
              <w:rPr>
                <w:rFonts w:ascii="宋体"/>
                <w:vanish/>
              </w:rPr>
            </w:pPr>
          </w:p>
        </w:tc>
        <w:tc>
          <w:tcPr>
            <w:tcW w:w="0" w:type="auto"/>
            <w:gridSpan w:val="3"/>
            <w:shd w:val="clear" w:color="auto" w:fill="auto"/>
            <w:vAlign w:val="bottom"/>
          </w:tcPr>
          <w:p w14:paraId="442F6AE9" w14:textId="77777777" w:rsidR="00CC25B5" w:rsidRDefault="00CC25B5">
            <w:pPr>
              <w:rPr>
                <w:rFonts w:ascii="宋体"/>
                <w:vanish/>
              </w:rPr>
            </w:pPr>
          </w:p>
        </w:tc>
        <w:tc>
          <w:tcPr>
            <w:tcW w:w="0" w:type="auto"/>
            <w:gridSpan w:val="3"/>
            <w:shd w:val="clear" w:color="auto" w:fill="auto"/>
            <w:vAlign w:val="bottom"/>
          </w:tcPr>
          <w:p w14:paraId="442F6AEA" w14:textId="77777777" w:rsidR="00CC25B5" w:rsidRDefault="00CC25B5">
            <w:pPr>
              <w:rPr>
                <w:rFonts w:ascii="宋体"/>
                <w:vanish/>
              </w:rPr>
            </w:pPr>
          </w:p>
        </w:tc>
        <w:tc>
          <w:tcPr>
            <w:tcW w:w="0" w:type="auto"/>
            <w:shd w:val="clear" w:color="auto" w:fill="auto"/>
            <w:vAlign w:val="bottom"/>
          </w:tcPr>
          <w:p w14:paraId="442F6AEB" w14:textId="77777777" w:rsidR="00CC25B5" w:rsidRDefault="00CC25B5">
            <w:pPr>
              <w:rPr>
                <w:rFonts w:ascii="宋体"/>
                <w:vanish/>
              </w:rPr>
            </w:pPr>
          </w:p>
        </w:tc>
        <w:tc>
          <w:tcPr>
            <w:tcW w:w="0" w:type="auto"/>
            <w:shd w:val="clear" w:color="auto" w:fill="auto"/>
            <w:vAlign w:val="bottom"/>
          </w:tcPr>
          <w:p w14:paraId="442F6AEC" w14:textId="77777777" w:rsidR="00CC25B5" w:rsidRDefault="00CC25B5">
            <w:pPr>
              <w:rPr>
                <w:rFonts w:ascii="宋体"/>
                <w:vanish/>
              </w:rPr>
            </w:pPr>
          </w:p>
        </w:tc>
        <w:tc>
          <w:tcPr>
            <w:tcW w:w="0" w:type="auto"/>
            <w:shd w:val="clear" w:color="auto" w:fill="auto"/>
            <w:vAlign w:val="bottom"/>
          </w:tcPr>
          <w:p w14:paraId="442F6AED" w14:textId="77777777" w:rsidR="00CC25B5" w:rsidRDefault="00CC25B5">
            <w:pPr>
              <w:rPr>
                <w:rFonts w:ascii="宋体"/>
                <w:vanish/>
              </w:rPr>
            </w:pPr>
          </w:p>
        </w:tc>
      </w:tr>
      <w:tr w:rsidR="00CC25B5" w14:paraId="442F6B02" w14:textId="77777777">
        <w:trPr>
          <w:hidden/>
        </w:trPr>
        <w:tc>
          <w:tcPr>
            <w:tcW w:w="0" w:type="auto"/>
            <w:gridSpan w:val="3"/>
            <w:shd w:val="clear" w:color="auto" w:fill="auto"/>
            <w:vAlign w:val="bottom"/>
          </w:tcPr>
          <w:p w14:paraId="442F6AEF" w14:textId="77777777" w:rsidR="00CC25B5" w:rsidRDefault="00CC25B5">
            <w:pPr>
              <w:rPr>
                <w:rFonts w:ascii="宋体"/>
                <w:vanish/>
              </w:rPr>
            </w:pPr>
          </w:p>
        </w:tc>
        <w:tc>
          <w:tcPr>
            <w:tcW w:w="0" w:type="auto"/>
            <w:gridSpan w:val="3"/>
            <w:shd w:val="clear" w:color="auto" w:fill="auto"/>
            <w:vAlign w:val="bottom"/>
          </w:tcPr>
          <w:p w14:paraId="442F6AF0" w14:textId="77777777" w:rsidR="00CC25B5" w:rsidRDefault="00CC25B5">
            <w:pPr>
              <w:rPr>
                <w:rFonts w:ascii="宋体"/>
                <w:vanish/>
              </w:rPr>
            </w:pPr>
          </w:p>
        </w:tc>
        <w:tc>
          <w:tcPr>
            <w:tcW w:w="0" w:type="auto"/>
            <w:gridSpan w:val="3"/>
            <w:shd w:val="clear" w:color="auto" w:fill="auto"/>
            <w:vAlign w:val="bottom"/>
          </w:tcPr>
          <w:p w14:paraId="442F6AF1" w14:textId="77777777" w:rsidR="00CC25B5" w:rsidRDefault="00CC25B5">
            <w:pPr>
              <w:rPr>
                <w:rFonts w:ascii="宋体"/>
                <w:vanish/>
              </w:rPr>
            </w:pPr>
          </w:p>
        </w:tc>
        <w:tc>
          <w:tcPr>
            <w:tcW w:w="0" w:type="auto"/>
            <w:gridSpan w:val="3"/>
            <w:shd w:val="clear" w:color="auto" w:fill="auto"/>
            <w:vAlign w:val="bottom"/>
          </w:tcPr>
          <w:p w14:paraId="442F6AF2" w14:textId="77777777" w:rsidR="00CC25B5" w:rsidRDefault="00CC25B5">
            <w:pPr>
              <w:rPr>
                <w:rFonts w:ascii="宋体"/>
                <w:vanish/>
              </w:rPr>
            </w:pPr>
          </w:p>
        </w:tc>
        <w:tc>
          <w:tcPr>
            <w:tcW w:w="0" w:type="auto"/>
            <w:gridSpan w:val="3"/>
            <w:shd w:val="clear" w:color="auto" w:fill="auto"/>
            <w:vAlign w:val="bottom"/>
          </w:tcPr>
          <w:p w14:paraId="442F6AF3" w14:textId="77777777" w:rsidR="00CC25B5" w:rsidRDefault="00CC25B5">
            <w:pPr>
              <w:rPr>
                <w:rFonts w:ascii="宋体"/>
                <w:vanish/>
              </w:rPr>
            </w:pPr>
          </w:p>
        </w:tc>
        <w:tc>
          <w:tcPr>
            <w:tcW w:w="0" w:type="auto"/>
            <w:gridSpan w:val="3"/>
            <w:shd w:val="clear" w:color="auto" w:fill="auto"/>
            <w:vAlign w:val="bottom"/>
          </w:tcPr>
          <w:p w14:paraId="442F6AF4" w14:textId="77777777" w:rsidR="00CC25B5" w:rsidRDefault="00CC25B5">
            <w:pPr>
              <w:rPr>
                <w:rFonts w:ascii="宋体"/>
                <w:vanish/>
              </w:rPr>
            </w:pPr>
          </w:p>
        </w:tc>
        <w:tc>
          <w:tcPr>
            <w:tcW w:w="0" w:type="auto"/>
            <w:gridSpan w:val="3"/>
            <w:shd w:val="clear" w:color="auto" w:fill="auto"/>
            <w:vAlign w:val="bottom"/>
          </w:tcPr>
          <w:p w14:paraId="442F6AF5" w14:textId="77777777" w:rsidR="00CC25B5" w:rsidRDefault="00CC25B5">
            <w:pPr>
              <w:rPr>
                <w:rFonts w:ascii="宋体"/>
                <w:vanish/>
              </w:rPr>
            </w:pPr>
          </w:p>
        </w:tc>
        <w:tc>
          <w:tcPr>
            <w:tcW w:w="0" w:type="auto"/>
            <w:gridSpan w:val="3"/>
            <w:shd w:val="clear" w:color="auto" w:fill="auto"/>
            <w:vAlign w:val="bottom"/>
          </w:tcPr>
          <w:p w14:paraId="442F6AF6" w14:textId="77777777" w:rsidR="00CC25B5" w:rsidRDefault="00CC25B5">
            <w:pPr>
              <w:rPr>
                <w:rFonts w:ascii="宋体"/>
                <w:vanish/>
              </w:rPr>
            </w:pPr>
          </w:p>
        </w:tc>
        <w:tc>
          <w:tcPr>
            <w:tcW w:w="0" w:type="auto"/>
            <w:gridSpan w:val="3"/>
            <w:shd w:val="clear" w:color="auto" w:fill="auto"/>
            <w:vAlign w:val="bottom"/>
          </w:tcPr>
          <w:p w14:paraId="442F6AF7" w14:textId="77777777" w:rsidR="00CC25B5" w:rsidRDefault="00CC25B5">
            <w:pPr>
              <w:rPr>
                <w:rFonts w:ascii="宋体"/>
                <w:vanish/>
              </w:rPr>
            </w:pPr>
          </w:p>
        </w:tc>
        <w:tc>
          <w:tcPr>
            <w:tcW w:w="0" w:type="auto"/>
            <w:gridSpan w:val="3"/>
            <w:shd w:val="clear" w:color="auto" w:fill="auto"/>
            <w:vAlign w:val="bottom"/>
          </w:tcPr>
          <w:p w14:paraId="442F6AF8" w14:textId="77777777" w:rsidR="00CC25B5" w:rsidRDefault="00CC25B5">
            <w:pPr>
              <w:rPr>
                <w:rFonts w:ascii="宋体"/>
                <w:vanish/>
              </w:rPr>
            </w:pPr>
          </w:p>
        </w:tc>
        <w:tc>
          <w:tcPr>
            <w:tcW w:w="0" w:type="auto"/>
            <w:gridSpan w:val="3"/>
            <w:shd w:val="clear" w:color="auto" w:fill="auto"/>
            <w:vAlign w:val="bottom"/>
          </w:tcPr>
          <w:p w14:paraId="442F6AF9" w14:textId="77777777" w:rsidR="00CC25B5" w:rsidRDefault="00CC25B5">
            <w:pPr>
              <w:rPr>
                <w:rFonts w:ascii="宋体"/>
                <w:vanish/>
              </w:rPr>
            </w:pPr>
          </w:p>
        </w:tc>
        <w:tc>
          <w:tcPr>
            <w:tcW w:w="0" w:type="auto"/>
            <w:gridSpan w:val="3"/>
            <w:shd w:val="clear" w:color="auto" w:fill="auto"/>
            <w:vAlign w:val="bottom"/>
          </w:tcPr>
          <w:p w14:paraId="442F6AFA" w14:textId="77777777" w:rsidR="00CC25B5" w:rsidRDefault="00CC25B5">
            <w:pPr>
              <w:rPr>
                <w:rFonts w:ascii="宋体"/>
                <w:vanish/>
              </w:rPr>
            </w:pPr>
          </w:p>
        </w:tc>
        <w:tc>
          <w:tcPr>
            <w:tcW w:w="0" w:type="auto"/>
            <w:gridSpan w:val="3"/>
            <w:shd w:val="clear" w:color="auto" w:fill="auto"/>
            <w:vAlign w:val="bottom"/>
          </w:tcPr>
          <w:p w14:paraId="442F6AFB" w14:textId="77777777" w:rsidR="00CC25B5" w:rsidRDefault="00CC25B5">
            <w:pPr>
              <w:rPr>
                <w:rFonts w:ascii="宋体"/>
                <w:vanish/>
              </w:rPr>
            </w:pPr>
          </w:p>
        </w:tc>
        <w:tc>
          <w:tcPr>
            <w:tcW w:w="0" w:type="auto"/>
            <w:gridSpan w:val="3"/>
            <w:shd w:val="clear" w:color="auto" w:fill="auto"/>
            <w:vAlign w:val="bottom"/>
          </w:tcPr>
          <w:p w14:paraId="442F6AFC" w14:textId="77777777" w:rsidR="00CC25B5" w:rsidRDefault="00CC25B5">
            <w:pPr>
              <w:rPr>
                <w:rFonts w:ascii="宋体"/>
                <w:vanish/>
              </w:rPr>
            </w:pPr>
          </w:p>
        </w:tc>
        <w:tc>
          <w:tcPr>
            <w:tcW w:w="0" w:type="auto"/>
            <w:gridSpan w:val="3"/>
            <w:shd w:val="clear" w:color="auto" w:fill="auto"/>
            <w:vAlign w:val="bottom"/>
          </w:tcPr>
          <w:p w14:paraId="442F6AFD" w14:textId="77777777" w:rsidR="00CC25B5" w:rsidRDefault="00CC25B5">
            <w:pPr>
              <w:rPr>
                <w:rFonts w:ascii="宋体"/>
                <w:vanish/>
              </w:rPr>
            </w:pPr>
          </w:p>
        </w:tc>
        <w:tc>
          <w:tcPr>
            <w:tcW w:w="0" w:type="auto"/>
            <w:gridSpan w:val="3"/>
            <w:shd w:val="clear" w:color="auto" w:fill="auto"/>
            <w:vAlign w:val="bottom"/>
          </w:tcPr>
          <w:p w14:paraId="442F6AFE" w14:textId="77777777" w:rsidR="00CC25B5" w:rsidRDefault="00CC25B5">
            <w:pPr>
              <w:rPr>
                <w:rFonts w:ascii="宋体"/>
                <w:vanish/>
              </w:rPr>
            </w:pPr>
          </w:p>
        </w:tc>
        <w:tc>
          <w:tcPr>
            <w:tcW w:w="0" w:type="auto"/>
            <w:shd w:val="clear" w:color="auto" w:fill="auto"/>
            <w:vAlign w:val="bottom"/>
          </w:tcPr>
          <w:p w14:paraId="442F6AFF" w14:textId="77777777" w:rsidR="00CC25B5" w:rsidRDefault="00CC25B5">
            <w:pPr>
              <w:rPr>
                <w:rFonts w:ascii="宋体"/>
                <w:vanish/>
              </w:rPr>
            </w:pPr>
          </w:p>
        </w:tc>
        <w:tc>
          <w:tcPr>
            <w:tcW w:w="0" w:type="auto"/>
            <w:shd w:val="clear" w:color="auto" w:fill="auto"/>
            <w:vAlign w:val="bottom"/>
          </w:tcPr>
          <w:p w14:paraId="442F6B00" w14:textId="77777777" w:rsidR="00CC25B5" w:rsidRDefault="00CC25B5">
            <w:pPr>
              <w:rPr>
                <w:rFonts w:ascii="宋体"/>
                <w:vanish/>
              </w:rPr>
            </w:pPr>
          </w:p>
        </w:tc>
        <w:tc>
          <w:tcPr>
            <w:tcW w:w="0" w:type="auto"/>
            <w:shd w:val="clear" w:color="auto" w:fill="auto"/>
            <w:vAlign w:val="bottom"/>
          </w:tcPr>
          <w:p w14:paraId="442F6B01" w14:textId="77777777" w:rsidR="00CC25B5" w:rsidRDefault="00CC25B5">
            <w:pPr>
              <w:rPr>
                <w:rFonts w:ascii="宋体"/>
                <w:vanish/>
              </w:rPr>
            </w:pPr>
          </w:p>
        </w:tc>
      </w:tr>
      <w:tr w:rsidR="00CC25B5" w14:paraId="442F6B1E" w14:textId="77777777">
        <w:tc>
          <w:tcPr>
            <w:tcW w:w="0" w:type="auto"/>
            <w:gridSpan w:val="3"/>
            <w:shd w:val="clear" w:color="auto" w:fill="CCEEFF"/>
            <w:tcMar>
              <w:top w:w="40" w:type="dxa"/>
              <w:left w:w="20" w:type="dxa"/>
              <w:bottom w:w="40" w:type="dxa"/>
              <w:right w:w="20" w:type="dxa"/>
            </w:tcMar>
            <w:vAlign w:val="center"/>
          </w:tcPr>
          <w:p w14:paraId="442F6B03" w14:textId="77777777" w:rsidR="00CC25B5" w:rsidRDefault="00900968">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42F6B04" w14:textId="77777777" w:rsidR="00CC25B5" w:rsidRDefault="00900968">
            <w:pPr>
              <w:jc w:val="right"/>
              <w:textAlignment w:val="center"/>
            </w:pPr>
            <w:r>
              <w:rPr>
                <w:rFonts w:ascii="Times New Roman" w:eastAsia="宋体" w:hAnsi="Times New Roman"/>
                <w:color w:val="000000"/>
                <w:sz w:val="16"/>
                <w:szCs w:val="16"/>
              </w:rPr>
              <w:t>(17)</w:t>
            </w:r>
          </w:p>
        </w:tc>
        <w:tc>
          <w:tcPr>
            <w:tcW w:w="0" w:type="auto"/>
            <w:shd w:val="clear" w:color="auto" w:fill="CCEEFF"/>
            <w:tcMar>
              <w:top w:w="40" w:type="dxa"/>
              <w:left w:w="0" w:type="dxa"/>
              <w:bottom w:w="40" w:type="dxa"/>
              <w:right w:w="20" w:type="dxa"/>
            </w:tcMar>
            <w:vAlign w:val="center"/>
          </w:tcPr>
          <w:p w14:paraId="442F6B0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0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07" w14:textId="77777777" w:rsidR="00CC25B5" w:rsidRDefault="00900968">
            <w:pPr>
              <w:jc w:val="right"/>
              <w:textAlignment w:val="center"/>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center"/>
          </w:tcPr>
          <w:p w14:paraId="442F6B0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0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0A" w14:textId="77777777" w:rsidR="00CC25B5" w:rsidRDefault="00900968">
            <w:pPr>
              <w:jc w:val="right"/>
              <w:textAlignment w:val="center"/>
            </w:pPr>
            <w:r>
              <w:rPr>
                <w:rFonts w:ascii="Times New Roman" w:eastAsia="宋体" w:hAnsi="Times New Roman"/>
                <w:color w:val="000000"/>
                <w:sz w:val="16"/>
                <w:szCs w:val="16"/>
              </w:rPr>
              <w:t>(94)</w:t>
            </w:r>
          </w:p>
        </w:tc>
        <w:tc>
          <w:tcPr>
            <w:tcW w:w="0" w:type="auto"/>
            <w:shd w:val="clear" w:color="auto" w:fill="CCEEFF"/>
            <w:tcMar>
              <w:top w:w="40" w:type="dxa"/>
              <w:left w:w="0" w:type="dxa"/>
              <w:bottom w:w="40" w:type="dxa"/>
              <w:right w:w="20" w:type="dxa"/>
            </w:tcMar>
            <w:vAlign w:val="center"/>
          </w:tcPr>
          <w:p w14:paraId="442F6B0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0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0D" w14:textId="77777777" w:rsidR="00CC25B5" w:rsidRDefault="00900968">
            <w:pPr>
              <w:jc w:val="right"/>
              <w:textAlignment w:val="center"/>
            </w:pPr>
            <w:r>
              <w:rPr>
                <w:rFonts w:ascii="Times New Roman" w:eastAsia="宋体" w:hAnsi="Times New Roman"/>
                <w:color w:val="000000"/>
                <w:sz w:val="16"/>
                <w:szCs w:val="16"/>
              </w:rPr>
              <w:t>(2,273)</w:t>
            </w:r>
          </w:p>
        </w:tc>
        <w:tc>
          <w:tcPr>
            <w:tcW w:w="0" w:type="auto"/>
            <w:shd w:val="clear" w:color="auto" w:fill="CCEEFF"/>
            <w:tcMar>
              <w:top w:w="40" w:type="dxa"/>
              <w:left w:w="0" w:type="dxa"/>
              <w:bottom w:w="40" w:type="dxa"/>
              <w:right w:w="20" w:type="dxa"/>
            </w:tcMar>
            <w:vAlign w:val="center"/>
          </w:tcPr>
          <w:p w14:paraId="442F6B0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0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1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B1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1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13" w14:textId="77777777" w:rsidR="00CC25B5" w:rsidRDefault="00900968">
            <w:pPr>
              <w:jc w:val="right"/>
              <w:textAlignment w:val="center"/>
            </w:pPr>
            <w:r>
              <w:rPr>
                <w:rFonts w:ascii="Times New Roman" w:eastAsia="宋体" w:hAnsi="Times New Roman"/>
                <w:color w:val="000000"/>
                <w:sz w:val="16"/>
                <w:szCs w:val="16"/>
              </w:rPr>
              <w:t>(2,369)</w:t>
            </w:r>
          </w:p>
        </w:tc>
        <w:tc>
          <w:tcPr>
            <w:tcW w:w="0" w:type="auto"/>
            <w:shd w:val="clear" w:color="auto" w:fill="CCEEFF"/>
            <w:tcMar>
              <w:top w:w="40" w:type="dxa"/>
              <w:left w:w="0" w:type="dxa"/>
              <w:bottom w:w="40" w:type="dxa"/>
              <w:right w:w="20" w:type="dxa"/>
            </w:tcMar>
            <w:vAlign w:val="center"/>
          </w:tcPr>
          <w:p w14:paraId="442F6B1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1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1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B1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1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19" w14:textId="77777777" w:rsidR="00CC25B5" w:rsidRDefault="00900968">
            <w:pPr>
              <w:jc w:val="right"/>
              <w:textAlignment w:val="center"/>
            </w:pPr>
            <w:r>
              <w:rPr>
                <w:rFonts w:ascii="Times New Roman" w:eastAsia="宋体" w:hAnsi="Times New Roman"/>
                <w:color w:val="000000"/>
                <w:sz w:val="16"/>
                <w:szCs w:val="16"/>
              </w:rPr>
              <w:t>(2,369)</w:t>
            </w:r>
          </w:p>
        </w:tc>
        <w:tc>
          <w:tcPr>
            <w:tcW w:w="0" w:type="auto"/>
            <w:shd w:val="clear" w:color="auto" w:fill="CCEEFF"/>
            <w:tcMar>
              <w:top w:w="40" w:type="dxa"/>
              <w:left w:w="0" w:type="dxa"/>
              <w:bottom w:w="40" w:type="dxa"/>
              <w:right w:w="20" w:type="dxa"/>
            </w:tcMar>
            <w:vAlign w:val="center"/>
          </w:tcPr>
          <w:p w14:paraId="442F6B1A" w14:textId="77777777" w:rsidR="00CC25B5" w:rsidRDefault="00CC25B5">
            <w:pPr>
              <w:jc w:val="right"/>
              <w:rPr>
                <w:rFonts w:ascii="宋体"/>
              </w:rPr>
            </w:pPr>
          </w:p>
        </w:tc>
        <w:tc>
          <w:tcPr>
            <w:tcW w:w="0" w:type="auto"/>
            <w:shd w:val="clear" w:color="auto" w:fill="auto"/>
            <w:vAlign w:val="bottom"/>
          </w:tcPr>
          <w:p w14:paraId="442F6B1B" w14:textId="77777777" w:rsidR="00CC25B5" w:rsidRDefault="00CC25B5">
            <w:pPr>
              <w:rPr>
                <w:rFonts w:ascii="宋体"/>
                <w:vanish/>
              </w:rPr>
            </w:pPr>
          </w:p>
        </w:tc>
        <w:tc>
          <w:tcPr>
            <w:tcW w:w="0" w:type="auto"/>
            <w:shd w:val="clear" w:color="auto" w:fill="auto"/>
            <w:vAlign w:val="bottom"/>
          </w:tcPr>
          <w:p w14:paraId="442F6B1C" w14:textId="77777777" w:rsidR="00CC25B5" w:rsidRDefault="00CC25B5">
            <w:pPr>
              <w:rPr>
                <w:rFonts w:ascii="宋体"/>
                <w:vanish/>
              </w:rPr>
            </w:pPr>
          </w:p>
        </w:tc>
        <w:tc>
          <w:tcPr>
            <w:tcW w:w="0" w:type="auto"/>
            <w:shd w:val="clear" w:color="auto" w:fill="auto"/>
            <w:vAlign w:val="bottom"/>
          </w:tcPr>
          <w:p w14:paraId="442F6B1D" w14:textId="77777777" w:rsidR="00CC25B5" w:rsidRDefault="00CC25B5">
            <w:pPr>
              <w:rPr>
                <w:rFonts w:ascii="宋体"/>
                <w:vanish/>
              </w:rPr>
            </w:pPr>
          </w:p>
        </w:tc>
      </w:tr>
      <w:tr w:rsidR="00CC25B5" w14:paraId="442F6B3A" w14:textId="77777777">
        <w:tc>
          <w:tcPr>
            <w:tcW w:w="0" w:type="auto"/>
            <w:gridSpan w:val="3"/>
            <w:shd w:val="clear" w:color="auto" w:fill="FFFFFF"/>
            <w:tcMar>
              <w:top w:w="40" w:type="dxa"/>
              <w:left w:w="20" w:type="dxa"/>
              <w:bottom w:w="40" w:type="dxa"/>
              <w:right w:w="20" w:type="dxa"/>
            </w:tcMar>
            <w:vAlign w:val="center"/>
          </w:tcPr>
          <w:p w14:paraId="442F6B1F" w14:textId="77777777" w:rsidR="00CC25B5" w:rsidRDefault="00900968">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FFFFFF"/>
            <w:tcMar>
              <w:top w:w="40" w:type="dxa"/>
              <w:left w:w="20" w:type="dxa"/>
              <w:bottom w:w="40" w:type="dxa"/>
              <w:right w:w="0" w:type="dxa"/>
            </w:tcMar>
            <w:vAlign w:val="center"/>
          </w:tcPr>
          <w:p w14:paraId="442F6B2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B2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2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2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B2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2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2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B2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2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2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B2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2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2C"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B2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2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2F"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B3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3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32" w14:textId="77777777" w:rsidR="00CC25B5" w:rsidRDefault="00900968">
            <w:pPr>
              <w:jc w:val="right"/>
              <w:textAlignment w:val="center"/>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center"/>
          </w:tcPr>
          <w:p w14:paraId="442F6B3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3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B35" w14:textId="77777777" w:rsidR="00CC25B5" w:rsidRDefault="00900968">
            <w:pPr>
              <w:jc w:val="right"/>
              <w:textAlignment w:val="center"/>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center"/>
          </w:tcPr>
          <w:p w14:paraId="442F6B36" w14:textId="77777777" w:rsidR="00CC25B5" w:rsidRDefault="00CC25B5">
            <w:pPr>
              <w:jc w:val="right"/>
              <w:rPr>
                <w:rFonts w:ascii="宋体"/>
              </w:rPr>
            </w:pPr>
          </w:p>
        </w:tc>
        <w:tc>
          <w:tcPr>
            <w:tcW w:w="0" w:type="auto"/>
            <w:shd w:val="clear" w:color="auto" w:fill="auto"/>
            <w:vAlign w:val="bottom"/>
          </w:tcPr>
          <w:p w14:paraId="442F6B37" w14:textId="77777777" w:rsidR="00CC25B5" w:rsidRDefault="00CC25B5">
            <w:pPr>
              <w:rPr>
                <w:rFonts w:ascii="宋体"/>
                <w:vanish/>
              </w:rPr>
            </w:pPr>
          </w:p>
        </w:tc>
        <w:tc>
          <w:tcPr>
            <w:tcW w:w="0" w:type="auto"/>
            <w:shd w:val="clear" w:color="auto" w:fill="auto"/>
            <w:vAlign w:val="bottom"/>
          </w:tcPr>
          <w:p w14:paraId="442F6B38" w14:textId="77777777" w:rsidR="00CC25B5" w:rsidRDefault="00CC25B5">
            <w:pPr>
              <w:rPr>
                <w:rFonts w:ascii="宋体"/>
                <w:vanish/>
              </w:rPr>
            </w:pPr>
          </w:p>
        </w:tc>
        <w:tc>
          <w:tcPr>
            <w:tcW w:w="0" w:type="auto"/>
            <w:shd w:val="clear" w:color="auto" w:fill="auto"/>
            <w:vAlign w:val="bottom"/>
          </w:tcPr>
          <w:p w14:paraId="442F6B39" w14:textId="77777777" w:rsidR="00CC25B5" w:rsidRDefault="00CC25B5">
            <w:pPr>
              <w:rPr>
                <w:rFonts w:ascii="宋体"/>
                <w:vanish/>
              </w:rPr>
            </w:pPr>
          </w:p>
        </w:tc>
      </w:tr>
      <w:tr w:rsidR="00CC25B5" w14:paraId="442F6B56" w14:textId="77777777">
        <w:tc>
          <w:tcPr>
            <w:tcW w:w="0" w:type="auto"/>
            <w:gridSpan w:val="3"/>
            <w:shd w:val="clear" w:color="auto" w:fill="CCEEFF"/>
            <w:tcMar>
              <w:top w:w="40" w:type="dxa"/>
              <w:left w:w="20" w:type="dxa"/>
              <w:bottom w:w="40" w:type="dxa"/>
              <w:right w:w="20" w:type="dxa"/>
            </w:tcMar>
            <w:vAlign w:val="center"/>
          </w:tcPr>
          <w:p w14:paraId="442F6B3B" w14:textId="77777777" w:rsidR="00CC25B5" w:rsidRDefault="00900968">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42F6B3C" w14:textId="77777777" w:rsidR="00CC25B5" w:rsidRDefault="00900968">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42F6B3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3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3F"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B4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4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42" w14:textId="77777777" w:rsidR="00CC25B5" w:rsidRDefault="00900968">
            <w:pPr>
              <w:jc w:val="right"/>
              <w:textAlignment w:val="center"/>
            </w:pPr>
            <w:r>
              <w:rPr>
                <w:rFonts w:ascii="Times New Roman" w:eastAsia="宋体" w:hAnsi="Times New Roman"/>
                <w:color w:val="000000"/>
                <w:sz w:val="16"/>
                <w:szCs w:val="16"/>
              </w:rPr>
              <w:t>325 </w:t>
            </w:r>
          </w:p>
        </w:tc>
        <w:tc>
          <w:tcPr>
            <w:tcW w:w="0" w:type="auto"/>
            <w:shd w:val="clear" w:color="auto" w:fill="CCEEFF"/>
            <w:tcMar>
              <w:top w:w="40" w:type="dxa"/>
              <w:left w:w="0" w:type="dxa"/>
              <w:bottom w:w="40" w:type="dxa"/>
              <w:right w:w="20" w:type="dxa"/>
            </w:tcMar>
            <w:vAlign w:val="center"/>
          </w:tcPr>
          <w:p w14:paraId="442F6B4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4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45" w14:textId="77777777" w:rsidR="00CC25B5" w:rsidRDefault="00900968">
            <w:pPr>
              <w:jc w:val="right"/>
              <w:textAlignment w:val="center"/>
            </w:pPr>
            <w:r>
              <w:rPr>
                <w:rFonts w:ascii="Times New Roman" w:eastAsia="宋体" w:hAnsi="Times New Roman"/>
                <w:color w:val="000000"/>
                <w:sz w:val="16"/>
                <w:szCs w:val="16"/>
              </w:rPr>
              <w:t>(8)</w:t>
            </w:r>
          </w:p>
        </w:tc>
        <w:tc>
          <w:tcPr>
            <w:tcW w:w="0" w:type="auto"/>
            <w:shd w:val="clear" w:color="auto" w:fill="CCEEFF"/>
            <w:tcMar>
              <w:top w:w="40" w:type="dxa"/>
              <w:left w:w="0" w:type="dxa"/>
              <w:bottom w:w="40" w:type="dxa"/>
              <w:right w:w="20" w:type="dxa"/>
            </w:tcMar>
            <w:vAlign w:val="center"/>
          </w:tcPr>
          <w:p w14:paraId="442F6B4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4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48"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B4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4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4B" w14:textId="77777777" w:rsidR="00CC25B5" w:rsidRDefault="00900968">
            <w:pPr>
              <w:jc w:val="right"/>
              <w:textAlignment w:val="center"/>
            </w:pPr>
            <w:r>
              <w:rPr>
                <w:rFonts w:ascii="Times New Roman" w:eastAsia="宋体" w:hAnsi="Times New Roman"/>
                <w:color w:val="000000"/>
                <w:sz w:val="16"/>
                <w:szCs w:val="16"/>
              </w:rPr>
              <w:t>317 </w:t>
            </w:r>
          </w:p>
        </w:tc>
        <w:tc>
          <w:tcPr>
            <w:tcW w:w="0" w:type="auto"/>
            <w:shd w:val="clear" w:color="auto" w:fill="CCEEFF"/>
            <w:tcMar>
              <w:top w:w="40" w:type="dxa"/>
              <w:left w:w="0" w:type="dxa"/>
              <w:bottom w:w="40" w:type="dxa"/>
              <w:right w:w="20" w:type="dxa"/>
            </w:tcMar>
            <w:vAlign w:val="center"/>
          </w:tcPr>
          <w:p w14:paraId="442F6B4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4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4E" w14:textId="77777777" w:rsidR="00CC25B5" w:rsidRDefault="00900968">
            <w:pPr>
              <w:jc w:val="right"/>
              <w:textAlignment w:val="center"/>
            </w:pPr>
            <w:r>
              <w:rPr>
                <w:rFonts w:ascii="Times New Roman" w:eastAsia="宋体" w:hAnsi="Times New Roman"/>
                <w:color w:val="000000"/>
                <w:sz w:val="16"/>
                <w:szCs w:val="16"/>
              </w:rPr>
              <w:t>185 </w:t>
            </w:r>
          </w:p>
        </w:tc>
        <w:tc>
          <w:tcPr>
            <w:tcW w:w="0" w:type="auto"/>
            <w:shd w:val="clear" w:color="auto" w:fill="CCEEFF"/>
            <w:tcMar>
              <w:top w:w="40" w:type="dxa"/>
              <w:left w:w="0" w:type="dxa"/>
              <w:bottom w:w="40" w:type="dxa"/>
              <w:right w:w="20" w:type="dxa"/>
            </w:tcMar>
            <w:vAlign w:val="center"/>
          </w:tcPr>
          <w:p w14:paraId="442F6B4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B5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B51" w14:textId="77777777" w:rsidR="00CC25B5" w:rsidRDefault="00900968">
            <w:pPr>
              <w:jc w:val="right"/>
              <w:textAlignment w:val="center"/>
            </w:pPr>
            <w:r>
              <w:rPr>
                <w:rFonts w:ascii="Times New Roman" w:eastAsia="宋体" w:hAnsi="Times New Roman"/>
                <w:color w:val="000000"/>
                <w:sz w:val="16"/>
                <w:szCs w:val="16"/>
              </w:rPr>
              <w:t>502 </w:t>
            </w:r>
          </w:p>
        </w:tc>
        <w:tc>
          <w:tcPr>
            <w:tcW w:w="0" w:type="auto"/>
            <w:shd w:val="clear" w:color="auto" w:fill="CCEEFF"/>
            <w:tcMar>
              <w:top w:w="40" w:type="dxa"/>
              <w:left w:w="0" w:type="dxa"/>
              <w:bottom w:w="40" w:type="dxa"/>
              <w:right w:w="20" w:type="dxa"/>
            </w:tcMar>
            <w:vAlign w:val="center"/>
          </w:tcPr>
          <w:p w14:paraId="442F6B52" w14:textId="77777777" w:rsidR="00CC25B5" w:rsidRDefault="00CC25B5">
            <w:pPr>
              <w:jc w:val="right"/>
              <w:rPr>
                <w:rFonts w:ascii="宋体"/>
              </w:rPr>
            </w:pPr>
          </w:p>
        </w:tc>
        <w:tc>
          <w:tcPr>
            <w:tcW w:w="0" w:type="auto"/>
            <w:shd w:val="clear" w:color="auto" w:fill="auto"/>
            <w:vAlign w:val="bottom"/>
          </w:tcPr>
          <w:p w14:paraId="442F6B53" w14:textId="77777777" w:rsidR="00CC25B5" w:rsidRDefault="00CC25B5">
            <w:pPr>
              <w:rPr>
                <w:rFonts w:ascii="宋体"/>
                <w:vanish/>
              </w:rPr>
            </w:pPr>
          </w:p>
        </w:tc>
        <w:tc>
          <w:tcPr>
            <w:tcW w:w="0" w:type="auto"/>
            <w:shd w:val="clear" w:color="auto" w:fill="auto"/>
            <w:vAlign w:val="bottom"/>
          </w:tcPr>
          <w:p w14:paraId="442F6B54" w14:textId="77777777" w:rsidR="00CC25B5" w:rsidRDefault="00CC25B5">
            <w:pPr>
              <w:rPr>
                <w:rFonts w:ascii="宋体"/>
                <w:vanish/>
              </w:rPr>
            </w:pPr>
          </w:p>
        </w:tc>
        <w:tc>
          <w:tcPr>
            <w:tcW w:w="0" w:type="auto"/>
            <w:shd w:val="clear" w:color="auto" w:fill="auto"/>
            <w:vAlign w:val="bottom"/>
          </w:tcPr>
          <w:p w14:paraId="442F6B55" w14:textId="77777777" w:rsidR="00CC25B5" w:rsidRDefault="00CC25B5">
            <w:pPr>
              <w:rPr>
                <w:rFonts w:ascii="宋体"/>
                <w:vanish/>
              </w:rPr>
            </w:pPr>
          </w:p>
        </w:tc>
      </w:tr>
      <w:tr w:rsidR="00900968" w14:paraId="442F6B79" w14:textId="77777777">
        <w:tc>
          <w:tcPr>
            <w:tcW w:w="0" w:type="auto"/>
            <w:gridSpan w:val="3"/>
            <w:shd w:val="clear" w:color="auto" w:fill="FFFFFF"/>
            <w:tcMar>
              <w:top w:w="40" w:type="dxa"/>
              <w:left w:w="20" w:type="dxa"/>
              <w:bottom w:w="40" w:type="dxa"/>
              <w:right w:w="20" w:type="dxa"/>
            </w:tcMar>
            <w:vAlign w:val="center"/>
          </w:tcPr>
          <w:p w14:paraId="442F6B57" w14:textId="77777777" w:rsidR="00CC25B5" w:rsidRDefault="00900968">
            <w:pPr>
              <w:textAlignment w:val="center"/>
            </w:pPr>
            <w:r>
              <w:rPr>
                <w:rFonts w:ascii="Times New Roman" w:eastAsia="宋体" w:hAnsi="Times New Roman"/>
                <w:b/>
                <w:bCs/>
                <w:color w:val="000000"/>
                <w:sz w:val="16"/>
                <w:szCs w:val="16"/>
              </w:rPr>
              <w:t>Balances as of July 31,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58" w14:textId="77777777" w:rsidR="00CC25B5" w:rsidRDefault="00900968">
            <w:pPr>
              <w:jc w:val="right"/>
              <w:textAlignment w:val="center"/>
            </w:pPr>
            <w:r>
              <w:rPr>
                <w:rFonts w:ascii="Times New Roman" w:eastAsia="宋体" w:hAnsi="Times New Roman"/>
                <w:color w:val="000000"/>
                <w:sz w:val="16"/>
                <w:szCs w:val="16"/>
              </w:rPr>
              <w:t>2,791 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5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5A"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5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5C" w14:textId="77777777" w:rsidR="00CC25B5" w:rsidRDefault="00900968">
            <w:pPr>
              <w:jc w:val="right"/>
              <w:textAlignment w:val="center"/>
            </w:pPr>
            <w:r>
              <w:rPr>
                <w:rFonts w:ascii="Times New Roman" w:eastAsia="宋体" w:hAnsi="Times New Roman"/>
                <w:color w:val="000000"/>
                <w:sz w:val="16"/>
                <w:szCs w:val="16"/>
              </w:rPr>
              <w:t>278 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5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5E"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5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60" w14:textId="77777777" w:rsidR="00CC25B5" w:rsidRDefault="00900968">
            <w:pPr>
              <w:jc w:val="right"/>
              <w:textAlignment w:val="center"/>
            </w:pPr>
            <w:r>
              <w:rPr>
                <w:rFonts w:ascii="Times New Roman" w:eastAsia="宋体" w:hAnsi="Times New Roman"/>
                <w:color w:val="000000"/>
                <w:sz w:val="16"/>
                <w:szCs w:val="16"/>
              </w:rPr>
              <w:t>3,655 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6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62"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6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64" w14:textId="77777777" w:rsidR="00CC25B5" w:rsidRDefault="00900968">
            <w:pPr>
              <w:jc w:val="right"/>
              <w:textAlignment w:val="center"/>
            </w:pPr>
            <w:r>
              <w:rPr>
                <w:rFonts w:ascii="Times New Roman" w:eastAsia="宋体" w:hAnsi="Times New Roman"/>
                <w:color w:val="000000"/>
                <w:sz w:val="16"/>
                <w:szCs w:val="16"/>
              </w:rPr>
              <w:t>84,572 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6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66"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6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68" w14:textId="77777777" w:rsidR="00CC25B5" w:rsidRDefault="00900968">
            <w:pPr>
              <w:jc w:val="right"/>
              <w:textAlignment w:val="center"/>
            </w:pPr>
            <w:r>
              <w:rPr>
                <w:rFonts w:ascii="Times New Roman" w:eastAsia="宋体" w:hAnsi="Times New Roman"/>
                <w:color w:val="000000"/>
                <w:sz w:val="16"/>
                <w:szCs w:val="16"/>
              </w:rPr>
              <w:t>(7,976)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6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6A"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6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6C" w14:textId="77777777" w:rsidR="00CC25B5" w:rsidRDefault="00900968">
            <w:pPr>
              <w:jc w:val="right"/>
              <w:textAlignment w:val="center"/>
            </w:pPr>
            <w:r>
              <w:rPr>
                <w:rFonts w:ascii="Times New Roman" w:eastAsia="宋体" w:hAnsi="Times New Roman"/>
                <w:color w:val="000000"/>
                <w:sz w:val="16"/>
                <w:szCs w:val="16"/>
              </w:rPr>
              <w:t>80,529 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6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6E"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6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70" w14:textId="77777777" w:rsidR="00CC25B5" w:rsidRDefault="00900968">
            <w:pPr>
              <w:jc w:val="right"/>
              <w:textAlignment w:val="center"/>
            </w:pPr>
            <w:r>
              <w:rPr>
                <w:rFonts w:ascii="Times New Roman" w:eastAsia="宋体" w:hAnsi="Times New Roman"/>
                <w:color w:val="000000"/>
                <w:sz w:val="16"/>
                <w:szCs w:val="16"/>
              </w:rPr>
              <w:t>6,598 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7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B72"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6B7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6B74" w14:textId="77777777" w:rsidR="00CC25B5" w:rsidRDefault="00900968">
            <w:pPr>
              <w:jc w:val="right"/>
              <w:textAlignment w:val="center"/>
            </w:pPr>
            <w:r>
              <w:rPr>
                <w:rFonts w:ascii="Times New Roman" w:eastAsia="宋体" w:hAnsi="Times New Roman"/>
                <w:color w:val="000000"/>
                <w:sz w:val="16"/>
                <w:szCs w:val="16"/>
              </w:rPr>
              <w:t>87,127 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6B75" w14:textId="77777777" w:rsidR="00CC25B5" w:rsidRDefault="00CC25B5">
            <w:pPr>
              <w:jc w:val="right"/>
              <w:rPr>
                <w:rFonts w:ascii="宋体"/>
              </w:rPr>
            </w:pPr>
          </w:p>
        </w:tc>
        <w:tc>
          <w:tcPr>
            <w:tcW w:w="0" w:type="auto"/>
            <w:shd w:val="clear" w:color="auto" w:fill="auto"/>
            <w:vAlign w:val="bottom"/>
          </w:tcPr>
          <w:p w14:paraId="442F6B76" w14:textId="77777777" w:rsidR="00CC25B5" w:rsidRDefault="00CC25B5">
            <w:pPr>
              <w:rPr>
                <w:rFonts w:ascii="宋体"/>
                <w:vanish/>
              </w:rPr>
            </w:pPr>
          </w:p>
        </w:tc>
        <w:tc>
          <w:tcPr>
            <w:tcW w:w="0" w:type="auto"/>
            <w:shd w:val="clear" w:color="auto" w:fill="auto"/>
            <w:vAlign w:val="bottom"/>
          </w:tcPr>
          <w:p w14:paraId="442F6B77" w14:textId="77777777" w:rsidR="00CC25B5" w:rsidRDefault="00CC25B5">
            <w:pPr>
              <w:rPr>
                <w:rFonts w:ascii="宋体"/>
                <w:vanish/>
              </w:rPr>
            </w:pPr>
          </w:p>
        </w:tc>
        <w:tc>
          <w:tcPr>
            <w:tcW w:w="0" w:type="auto"/>
            <w:shd w:val="clear" w:color="auto" w:fill="auto"/>
            <w:vAlign w:val="bottom"/>
          </w:tcPr>
          <w:p w14:paraId="442F6B78" w14:textId="77777777" w:rsidR="00CC25B5" w:rsidRDefault="00CC25B5">
            <w:pPr>
              <w:rPr>
                <w:rFonts w:ascii="宋体"/>
                <w:vanish/>
              </w:rPr>
            </w:pPr>
          </w:p>
        </w:tc>
      </w:tr>
      <w:tr w:rsidR="00CC25B5" w14:paraId="442F6B8D" w14:textId="77777777">
        <w:trPr>
          <w:hidden/>
        </w:trPr>
        <w:tc>
          <w:tcPr>
            <w:tcW w:w="0" w:type="auto"/>
            <w:gridSpan w:val="3"/>
            <w:shd w:val="clear" w:color="auto" w:fill="auto"/>
            <w:vAlign w:val="bottom"/>
          </w:tcPr>
          <w:p w14:paraId="442F6B7A" w14:textId="77777777" w:rsidR="00CC25B5" w:rsidRDefault="00CC25B5">
            <w:pPr>
              <w:rPr>
                <w:rFonts w:ascii="宋体"/>
                <w:vanish/>
              </w:rPr>
            </w:pPr>
          </w:p>
        </w:tc>
        <w:tc>
          <w:tcPr>
            <w:tcW w:w="0" w:type="auto"/>
            <w:gridSpan w:val="3"/>
            <w:shd w:val="clear" w:color="auto" w:fill="auto"/>
            <w:vAlign w:val="bottom"/>
          </w:tcPr>
          <w:p w14:paraId="442F6B7B" w14:textId="77777777" w:rsidR="00CC25B5" w:rsidRDefault="00CC25B5">
            <w:pPr>
              <w:rPr>
                <w:rFonts w:ascii="宋体"/>
                <w:vanish/>
              </w:rPr>
            </w:pPr>
          </w:p>
        </w:tc>
        <w:tc>
          <w:tcPr>
            <w:tcW w:w="0" w:type="auto"/>
            <w:gridSpan w:val="3"/>
            <w:shd w:val="clear" w:color="auto" w:fill="auto"/>
            <w:vAlign w:val="bottom"/>
          </w:tcPr>
          <w:p w14:paraId="442F6B7C" w14:textId="77777777" w:rsidR="00CC25B5" w:rsidRDefault="00CC25B5">
            <w:pPr>
              <w:rPr>
                <w:rFonts w:ascii="宋体"/>
                <w:vanish/>
              </w:rPr>
            </w:pPr>
          </w:p>
        </w:tc>
        <w:tc>
          <w:tcPr>
            <w:tcW w:w="0" w:type="auto"/>
            <w:gridSpan w:val="3"/>
            <w:shd w:val="clear" w:color="auto" w:fill="auto"/>
            <w:vAlign w:val="bottom"/>
          </w:tcPr>
          <w:p w14:paraId="442F6B7D" w14:textId="77777777" w:rsidR="00CC25B5" w:rsidRDefault="00CC25B5">
            <w:pPr>
              <w:rPr>
                <w:rFonts w:ascii="宋体"/>
                <w:vanish/>
              </w:rPr>
            </w:pPr>
          </w:p>
        </w:tc>
        <w:tc>
          <w:tcPr>
            <w:tcW w:w="0" w:type="auto"/>
            <w:gridSpan w:val="3"/>
            <w:shd w:val="clear" w:color="auto" w:fill="auto"/>
            <w:vAlign w:val="bottom"/>
          </w:tcPr>
          <w:p w14:paraId="442F6B7E" w14:textId="77777777" w:rsidR="00CC25B5" w:rsidRDefault="00CC25B5">
            <w:pPr>
              <w:rPr>
                <w:rFonts w:ascii="宋体"/>
                <w:vanish/>
              </w:rPr>
            </w:pPr>
          </w:p>
        </w:tc>
        <w:tc>
          <w:tcPr>
            <w:tcW w:w="0" w:type="auto"/>
            <w:gridSpan w:val="3"/>
            <w:shd w:val="clear" w:color="auto" w:fill="auto"/>
            <w:vAlign w:val="bottom"/>
          </w:tcPr>
          <w:p w14:paraId="442F6B7F" w14:textId="77777777" w:rsidR="00CC25B5" w:rsidRDefault="00CC25B5">
            <w:pPr>
              <w:rPr>
                <w:rFonts w:ascii="宋体"/>
                <w:vanish/>
              </w:rPr>
            </w:pPr>
          </w:p>
        </w:tc>
        <w:tc>
          <w:tcPr>
            <w:tcW w:w="0" w:type="auto"/>
            <w:gridSpan w:val="3"/>
            <w:shd w:val="clear" w:color="auto" w:fill="auto"/>
            <w:vAlign w:val="bottom"/>
          </w:tcPr>
          <w:p w14:paraId="442F6B80" w14:textId="77777777" w:rsidR="00CC25B5" w:rsidRDefault="00CC25B5">
            <w:pPr>
              <w:rPr>
                <w:rFonts w:ascii="宋体"/>
                <w:vanish/>
              </w:rPr>
            </w:pPr>
          </w:p>
        </w:tc>
        <w:tc>
          <w:tcPr>
            <w:tcW w:w="0" w:type="auto"/>
            <w:gridSpan w:val="3"/>
            <w:shd w:val="clear" w:color="auto" w:fill="auto"/>
            <w:vAlign w:val="bottom"/>
          </w:tcPr>
          <w:p w14:paraId="442F6B81" w14:textId="77777777" w:rsidR="00CC25B5" w:rsidRDefault="00CC25B5">
            <w:pPr>
              <w:rPr>
                <w:rFonts w:ascii="宋体"/>
                <w:vanish/>
              </w:rPr>
            </w:pPr>
          </w:p>
        </w:tc>
        <w:tc>
          <w:tcPr>
            <w:tcW w:w="0" w:type="auto"/>
            <w:gridSpan w:val="3"/>
            <w:shd w:val="clear" w:color="auto" w:fill="auto"/>
            <w:vAlign w:val="bottom"/>
          </w:tcPr>
          <w:p w14:paraId="442F6B82" w14:textId="77777777" w:rsidR="00CC25B5" w:rsidRDefault="00CC25B5">
            <w:pPr>
              <w:rPr>
                <w:rFonts w:ascii="宋体"/>
                <w:vanish/>
              </w:rPr>
            </w:pPr>
          </w:p>
        </w:tc>
        <w:tc>
          <w:tcPr>
            <w:tcW w:w="0" w:type="auto"/>
            <w:gridSpan w:val="3"/>
            <w:shd w:val="clear" w:color="auto" w:fill="auto"/>
            <w:vAlign w:val="bottom"/>
          </w:tcPr>
          <w:p w14:paraId="442F6B83" w14:textId="77777777" w:rsidR="00CC25B5" w:rsidRDefault="00CC25B5">
            <w:pPr>
              <w:rPr>
                <w:rFonts w:ascii="宋体"/>
                <w:vanish/>
              </w:rPr>
            </w:pPr>
          </w:p>
        </w:tc>
        <w:tc>
          <w:tcPr>
            <w:tcW w:w="0" w:type="auto"/>
            <w:gridSpan w:val="3"/>
            <w:shd w:val="clear" w:color="auto" w:fill="auto"/>
            <w:vAlign w:val="bottom"/>
          </w:tcPr>
          <w:p w14:paraId="442F6B84" w14:textId="77777777" w:rsidR="00CC25B5" w:rsidRDefault="00CC25B5">
            <w:pPr>
              <w:rPr>
                <w:rFonts w:ascii="宋体"/>
                <w:vanish/>
              </w:rPr>
            </w:pPr>
          </w:p>
        </w:tc>
        <w:tc>
          <w:tcPr>
            <w:tcW w:w="0" w:type="auto"/>
            <w:gridSpan w:val="3"/>
            <w:shd w:val="clear" w:color="auto" w:fill="auto"/>
            <w:vAlign w:val="bottom"/>
          </w:tcPr>
          <w:p w14:paraId="442F6B85" w14:textId="77777777" w:rsidR="00CC25B5" w:rsidRDefault="00CC25B5">
            <w:pPr>
              <w:rPr>
                <w:rFonts w:ascii="宋体"/>
                <w:vanish/>
              </w:rPr>
            </w:pPr>
          </w:p>
        </w:tc>
        <w:tc>
          <w:tcPr>
            <w:tcW w:w="0" w:type="auto"/>
            <w:gridSpan w:val="3"/>
            <w:shd w:val="clear" w:color="auto" w:fill="auto"/>
            <w:vAlign w:val="bottom"/>
          </w:tcPr>
          <w:p w14:paraId="442F6B86" w14:textId="77777777" w:rsidR="00CC25B5" w:rsidRDefault="00CC25B5">
            <w:pPr>
              <w:rPr>
                <w:rFonts w:ascii="宋体"/>
                <w:vanish/>
              </w:rPr>
            </w:pPr>
          </w:p>
        </w:tc>
        <w:tc>
          <w:tcPr>
            <w:tcW w:w="0" w:type="auto"/>
            <w:gridSpan w:val="3"/>
            <w:shd w:val="clear" w:color="auto" w:fill="auto"/>
            <w:vAlign w:val="bottom"/>
          </w:tcPr>
          <w:p w14:paraId="442F6B87" w14:textId="77777777" w:rsidR="00CC25B5" w:rsidRDefault="00CC25B5">
            <w:pPr>
              <w:rPr>
                <w:rFonts w:ascii="宋体"/>
                <w:vanish/>
              </w:rPr>
            </w:pPr>
          </w:p>
        </w:tc>
        <w:tc>
          <w:tcPr>
            <w:tcW w:w="0" w:type="auto"/>
            <w:gridSpan w:val="3"/>
            <w:shd w:val="clear" w:color="auto" w:fill="auto"/>
            <w:vAlign w:val="bottom"/>
          </w:tcPr>
          <w:p w14:paraId="442F6B88" w14:textId="77777777" w:rsidR="00CC25B5" w:rsidRDefault="00CC25B5">
            <w:pPr>
              <w:rPr>
                <w:rFonts w:ascii="宋体"/>
                <w:vanish/>
              </w:rPr>
            </w:pPr>
          </w:p>
        </w:tc>
        <w:tc>
          <w:tcPr>
            <w:tcW w:w="0" w:type="auto"/>
            <w:gridSpan w:val="3"/>
            <w:shd w:val="clear" w:color="auto" w:fill="auto"/>
            <w:vAlign w:val="bottom"/>
          </w:tcPr>
          <w:p w14:paraId="442F6B89" w14:textId="77777777" w:rsidR="00CC25B5" w:rsidRDefault="00CC25B5">
            <w:pPr>
              <w:rPr>
                <w:rFonts w:ascii="宋体"/>
                <w:vanish/>
              </w:rPr>
            </w:pPr>
          </w:p>
        </w:tc>
        <w:tc>
          <w:tcPr>
            <w:tcW w:w="0" w:type="auto"/>
            <w:shd w:val="clear" w:color="auto" w:fill="auto"/>
            <w:vAlign w:val="bottom"/>
          </w:tcPr>
          <w:p w14:paraId="442F6B8A" w14:textId="77777777" w:rsidR="00CC25B5" w:rsidRDefault="00CC25B5">
            <w:pPr>
              <w:rPr>
                <w:rFonts w:ascii="宋体"/>
                <w:vanish/>
              </w:rPr>
            </w:pPr>
          </w:p>
        </w:tc>
        <w:tc>
          <w:tcPr>
            <w:tcW w:w="0" w:type="auto"/>
            <w:shd w:val="clear" w:color="auto" w:fill="auto"/>
            <w:vAlign w:val="bottom"/>
          </w:tcPr>
          <w:p w14:paraId="442F6B8B" w14:textId="77777777" w:rsidR="00CC25B5" w:rsidRDefault="00CC25B5">
            <w:pPr>
              <w:rPr>
                <w:rFonts w:ascii="宋体"/>
                <w:vanish/>
              </w:rPr>
            </w:pPr>
          </w:p>
        </w:tc>
        <w:tc>
          <w:tcPr>
            <w:tcW w:w="0" w:type="auto"/>
            <w:shd w:val="clear" w:color="auto" w:fill="auto"/>
            <w:vAlign w:val="bottom"/>
          </w:tcPr>
          <w:p w14:paraId="442F6B8C" w14:textId="77777777" w:rsidR="00CC25B5" w:rsidRDefault="00CC25B5">
            <w:pPr>
              <w:rPr>
                <w:rFonts w:ascii="宋体"/>
                <w:vanish/>
              </w:rPr>
            </w:pPr>
          </w:p>
        </w:tc>
      </w:tr>
      <w:tr w:rsidR="00CC25B5" w14:paraId="442F6BA1" w14:textId="77777777">
        <w:trPr>
          <w:hidden/>
        </w:trPr>
        <w:tc>
          <w:tcPr>
            <w:tcW w:w="0" w:type="auto"/>
            <w:gridSpan w:val="3"/>
            <w:shd w:val="clear" w:color="auto" w:fill="auto"/>
            <w:vAlign w:val="bottom"/>
          </w:tcPr>
          <w:p w14:paraId="442F6B8E" w14:textId="77777777" w:rsidR="00CC25B5" w:rsidRDefault="00CC25B5">
            <w:pPr>
              <w:rPr>
                <w:rFonts w:ascii="宋体"/>
                <w:vanish/>
              </w:rPr>
            </w:pPr>
          </w:p>
        </w:tc>
        <w:tc>
          <w:tcPr>
            <w:tcW w:w="0" w:type="auto"/>
            <w:gridSpan w:val="3"/>
            <w:shd w:val="clear" w:color="auto" w:fill="auto"/>
            <w:vAlign w:val="bottom"/>
          </w:tcPr>
          <w:p w14:paraId="442F6B8F" w14:textId="77777777" w:rsidR="00CC25B5" w:rsidRDefault="00CC25B5">
            <w:pPr>
              <w:rPr>
                <w:rFonts w:ascii="宋体"/>
                <w:vanish/>
              </w:rPr>
            </w:pPr>
          </w:p>
        </w:tc>
        <w:tc>
          <w:tcPr>
            <w:tcW w:w="0" w:type="auto"/>
            <w:gridSpan w:val="3"/>
            <w:shd w:val="clear" w:color="auto" w:fill="auto"/>
            <w:vAlign w:val="bottom"/>
          </w:tcPr>
          <w:p w14:paraId="442F6B90" w14:textId="77777777" w:rsidR="00CC25B5" w:rsidRDefault="00CC25B5">
            <w:pPr>
              <w:rPr>
                <w:rFonts w:ascii="宋体"/>
                <w:vanish/>
              </w:rPr>
            </w:pPr>
          </w:p>
        </w:tc>
        <w:tc>
          <w:tcPr>
            <w:tcW w:w="0" w:type="auto"/>
            <w:gridSpan w:val="3"/>
            <w:shd w:val="clear" w:color="auto" w:fill="auto"/>
            <w:vAlign w:val="bottom"/>
          </w:tcPr>
          <w:p w14:paraId="442F6B91" w14:textId="77777777" w:rsidR="00CC25B5" w:rsidRDefault="00CC25B5">
            <w:pPr>
              <w:rPr>
                <w:rFonts w:ascii="宋体"/>
                <w:vanish/>
              </w:rPr>
            </w:pPr>
          </w:p>
        </w:tc>
        <w:tc>
          <w:tcPr>
            <w:tcW w:w="0" w:type="auto"/>
            <w:gridSpan w:val="3"/>
            <w:shd w:val="clear" w:color="auto" w:fill="auto"/>
            <w:vAlign w:val="bottom"/>
          </w:tcPr>
          <w:p w14:paraId="442F6B92" w14:textId="77777777" w:rsidR="00CC25B5" w:rsidRDefault="00CC25B5">
            <w:pPr>
              <w:rPr>
                <w:rFonts w:ascii="宋体"/>
                <w:vanish/>
              </w:rPr>
            </w:pPr>
          </w:p>
        </w:tc>
        <w:tc>
          <w:tcPr>
            <w:tcW w:w="0" w:type="auto"/>
            <w:gridSpan w:val="3"/>
            <w:shd w:val="clear" w:color="auto" w:fill="auto"/>
            <w:vAlign w:val="bottom"/>
          </w:tcPr>
          <w:p w14:paraId="442F6B93" w14:textId="77777777" w:rsidR="00CC25B5" w:rsidRDefault="00CC25B5">
            <w:pPr>
              <w:rPr>
                <w:rFonts w:ascii="宋体"/>
                <w:vanish/>
              </w:rPr>
            </w:pPr>
          </w:p>
        </w:tc>
        <w:tc>
          <w:tcPr>
            <w:tcW w:w="0" w:type="auto"/>
            <w:gridSpan w:val="3"/>
            <w:shd w:val="clear" w:color="auto" w:fill="auto"/>
            <w:vAlign w:val="bottom"/>
          </w:tcPr>
          <w:p w14:paraId="442F6B94" w14:textId="77777777" w:rsidR="00CC25B5" w:rsidRDefault="00CC25B5">
            <w:pPr>
              <w:rPr>
                <w:rFonts w:ascii="宋体"/>
                <w:vanish/>
              </w:rPr>
            </w:pPr>
          </w:p>
        </w:tc>
        <w:tc>
          <w:tcPr>
            <w:tcW w:w="0" w:type="auto"/>
            <w:gridSpan w:val="3"/>
            <w:shd w:val="clear" w:color="auto" w:fill="auto"/>
            <w:vAlign w:val="bottom"/>
          </w:tcPr>
          <w:p w14:paraId="442F6B95" w14:textId="77777777" w:rsidR="00CC25B5" w:rsidRDefault="00CC25B5">
            <w:pPr>
              <w:rPr>
                <w:rFonts w:ascii="宋体"/>
                <w:vanish/>
              </w:rPr>
            </w:pPr>
          </w:p>
        </w:tc>
        <w:tc>
          <w:tcPr>
            <w:tcW w:w="0" w:type="auto"/>
            <w:gridSpan w:val="3"/>
            <w:shd w:val="clear" w:color="auto" w:fill="auto"/>
            <w:vAlign w:val="bottom"/>
          </w:tcPr>
          <w:p w14:paraId="442F6B96" w14:textId="77777777" w:rsidR="00CC25B5" w:rsidRDefault="00CC25B5">
            <w:pPr>
              <w:rPr>
                <w:rFonts w:ascii="宋体"/>
                <w:vanish/>
              </w:rPr>
            </w:pPr>
          </w:p>
        </w:tc>
        <w:tc>
          <w:tcPr>
            <w:tcW w:w="0" w:type="auto"/>
            <w:gridSpan w:val="3"/>
            <w:shd w:val="clear" w:color="auto" w:fill="auto"/>
            <w:vAlign w:val="bottom"/>
          </w:tcPr>
          <w:p w14:paraId="442F6B97" w14:textId="77777777" w:rsidR="00CC25B5" w:rsidRDefault="00CC25B5">
            <w:pPr>
              <w:rPr>
                <w:rFonts w:ascii="宋体"/>
                <w:vanish/>
              </w:rPr>
            </w:pPr>
          </w:p>
        </w:tc>
        <w:tc>
          <w:tcPr>
            <w:tcW w:w="0" w:type="auto"/>
            <w:gridSpan w:val="3"/>
            <w:shd w:val="clear" w:color="auto" w:fill="auto"/>
            <w:vAlign w:val="bottom"/>
          </w:tcPr>
          <w:p w14:paraId="442F6B98" w14:textId="77777777" w:rsidR="00CC25B5" w:rsidRDefault="00CC25B5">
            <w:pPr>
              <w:rPr>
                <w:rFonts w:ascii="宋体"/>
                <w:vanish/>
              </w:rPr>
            </w:pPr>
          </w:p>
        </w:tc>
        <w:tc>
          <w:tcPr>
            <w:tcW w:w="0" w:type="auto"/>
            <w:gridSpan w:val="3"/>
            <w:shd w:val="clear" w:color="auto" w:fill="auto"/>
            <w:vAlign w:val="bottom"/>
          </w:tcPr>
          <w:p w14:paraId="442F6B99" w14:textId="77777777" w:rsidR="00CC25B5" w:rsidRDefault="00CC25B5">
            <w:pPr>
              <w:rPr>
                <w:rFonts w:ascii="宋体"/>
                <w:vanish/>
              </w:rPr>
            </w:pPr>
          </w:p>
        </w:tc>
        <w:tc>
          <w:tcPr>
            <w:tcW w:w="0" w:type="auto"/>
            <w:gridSpan w:val="3"/>
            <w:shd w:val="clear" w:color="auto" w:fill="auto"/>
            <w:vAlign w:val="bottom"/>
          </w:tcPr>
          <w:p w14:paraId="442F6B9A" w14:textId="77777777" w:rsidR="00CC25B5" w:rsidRDefault="00CC25B5">
            <w:pPr>
              <w:rPr>
                <w:rFonts w:ascii="宋体"/>
                <w:vanish/>
              </w:rPr>
            </w:pPr>
          </w:p>
        </w:tc>
        <w:tc>
          <w:tcPr>
            <w:tcW w:w="0" w:type="auto"/>
            <w:gridSpan w:val="3"/>
            <w:shd w:val="clear" w:color="auto" w:fill="auto"/>
            <w:vAlign w:val="bottom"/>
          </w:tcPr>
          <w:p w14:paraId="442F6B9B" w14:textId="77777777" w:rsidR="00CC25B5" w:rsidRDefault="00CC25B5">
            <w:pPr>
              <w:rPr>
                <w:rFonts w:ascii="宋体"/>
                <w:vanish/>
              </w:rPr>
            </w:pPr>
          </w:p>
        </w:tc>
        <w:tc>
          <w:tcPr>
            <w:tcW w:w="0" w:type="auto"/>
            <w:gridSpan w:val="3"/>
            <w:shd w:val="clear" w:color="auto" w:fill="auto"/>
            <w:vAlign w:val="bottom"/>
          </w:tcPr>
          <w:p w14:paraId="442F6B9C" w14:textId="77777777" w:rsidR="00CC25B5" w:rsidRDefault="00CC25B5">
            <w:pPr>
              <w:rPr>
                <w:rFonts w:ascii="宋体"/>
                <w:vanish/>
              </w:rPr>
            </w:pPr>
          </w:p>
        </w:tc>
        <w:tc>
          <w:tcPr>
            <w:tcW w:w="0" w:type="auto"/>
            <w:gridSpan w:val="3"/>
            <w:shd w:val="clear" w:color="auto" w:fill="auto"/>
            <w:vAlign w:val="bottom"/>
          </w:tcPr>
          <w:p w14:paraId="442F6B9D" w14:textId="77777777" w:rsidR="00CC25B5" w:rsidRDefault="00CC25B5">
            <w:pPr>
              <w:rPr>
                <w:rFonts w:ascii="宋体"/>
                <w:vanish/>
              </w:rPr>
            </w:pPr>
          </w:p>
        </w:tc>
        <w:tc>
          <w:tcPr>
            <w:tcW w:w="0" w:type="auto"/>
            <w:shd w:val="clear" w:color="auto" w:fill="auto"/>
            <w:vAlign w:val="bottom"/>
          </w:tcPr>
          <w:p w14:paraId="442F6B9E" w14:textId="77777777" w:rsidR="00CC25B5" w:rsidRDefault="00CC25B5">
            <w:pPr>
              <w:rPr>
                <w:rFonts w:ascii="宋体"/>
                <w:vanish/>
              </w:rPr>
            </w:pPr>
          </w:p>
        </w:tc>
        <w:tc>
          <w:tcPr>
            <w:tcW w:w="0" w:type="auto"/>
            <w:shd w:val="clear" w:color="auto" w:fill="auto"/>
            <w:vAlign w:val="bottom"/>
          </w:tcPr>
          <w:p w14:paraId="442F6B9F" w14:textId="77777777" w:rsidR="00CC25B5" w:rsidRDefault="00CC25B5">
            <w:pPr>
              <w:rPr>
                <w:rFonts w:ascii="宋体"/>
                <w:vanish/>
              </w:rPr>
            </w:pPr>
          </w:p>
        </w:tc>
        <w:tc>
          <w:tcPr>
            <w:tcW w:w="0" w:type="auto"/>
            <w:shd w:val="clear" w:color="auto" w:fill="auto"/>
            <w:vAlign w:val="bottom"/>
          </w:tcPr>
          <w:p w14:paraId="442F6BA0" w14:textId="77777777" w:rsidR="00CC25B5" w:rsidRDefault="00CC25B5">
            <w:pPr>
              <w:rPr>
                <w:rFonts w:ascii="宋体"/>
                <w:vanish/>
              </w:rPr>
            </w:pPr>
          </w:p>
        </w:tc>
      </w:tr>
      <w:tr w:rsidR="00CC25B5" w14:paraId="442F6BB5" w14:textId="77777777">
        <w:trPr>
          <w:hidden/>
        </w:trPr>
        <w:tc>
          <w:tcPr>
            <w:tcW w:w="0" w:type="auto"/>
            <w:gridSpan w:val="3"/>
            <w:shd w:val="clear" w:color="auto" w:fill="auto"/>
            <w:vAlign w:val="bottom"/>
          </w:tcPr>
          <w:p w14:paraId="442F6BA2" w14:textId="77777777" w:rsidR="00CC25B5" w:rsidRDefault="00CC25B5">
            <w:pPr>
              <w:rPr>
                <w:rFonts w:ascii="宋体"/>
                <w:vanish/>
              </w:rPr>
            </w:pPr>
          </w:p>
        </w:tc>
        <w:tc>
          <w:tcPr>
            <w:tcW w:w="0" w:type="auto"/>
            <w:gridSpan w:val="3"/>
            <w:shd w:val="clear" w:color="auto" w:fill="auto"/>
            <w:vAlign w:val="bottom"/>
          </w:tcPr>
          <w:p w14:paraId="442F6BA3" w14:textId="77777777" w:rsidR="00CC25B5" w:rsidRDefault="00CC25B5">
            <w:pPr>
              <w:rPr>
                <w:rFonts w:ascii="宋体"/>
                <w:vanish/>
              </w:rPr>
            </w:pPr>
          </w:p>
        </w:tc>
        <w:tc>
          <w:tcPr>
            <w:tcW w:w="0" w:type="auto"/>
            <w:gridSpan w:val="3"/>
            <w:shd w:val="clear" w:color="auto" w:fill="auto"/>
            <w:vAlign w:val="bottom"/>
          </w:tcPr>
          <w:p w14:paraId="442F6BA4" w14:textId="77777777" w:rsidR="00CC25B5" w:rsidRDefault="00CC25B5">
            <w:pPr>
              <w:rPr>
                <w:rFonts w:ascii="宋体"/>
                <w:vanish/>
              </w:rPr>
            </w:pPr>
          </w:p>
        </w:tc>
        <w:tc>
          <w:tcPr>
            <w:tcW w:w="0" w:type="auto"/>
            <w:gridSpan w:val="3"/>
            <w:shd w:val="clear" w:color="auto" w:fill="auto"/>
            <w:vAlign w:val="bottom"/>
          </w:tcPr>
          <w:p w14:paraId="442F6BA5" w14:textId="77777777" w:rsidR="00CC25B5" w:rsidRDefault="00CC25B5">
            <w:pPr>
              <w:rPr>
                <w:rFonts w:ascii="宋体"/>
                <w:vanish/>
              </w:rPr>
            </w:pPr>
          </w:p>
        </w:tc>
        <w:tc>
          <w:tcPr>
            <w:tcW w:w="0" w:type="auto"/>
            <w:gridSpan w:val="3"/>
            <w:shd w:val="clear" w:color="auto" w:fill="auto"/>
            <w:vAlign w:val="bottom"/>
          </w:tcPr>
          <w:p w14:paraId="442F6BA6" w14:textId="77777777" w:rsidR="00CC25B5" w:rsidRDefault="00CC25B5">
            <w:pPr>
              <w:rPr>
                <w:rFonts w:ascii="宋体"/>
                <w:vanish/>
              </w:rPr>
            </w:pPr>
          </w:p>
        </w:tc>
        <w:tc>
          <w:tcPr>
            <w:tcW w:w="0" w:type="auto"/>
            <w:gridSpan w:val="3"/>
            <w:shd w:val="clear" w:color="auto" w:fill="auto"/>
            <w:vAlign w:val="bottom"/>
          </w:tcPr>
          <w:p w14:paraId="442F6BA7" w14:textId="77777777" w:rsidR="00CC25B5" w:rsidRDefault="00CC25B5">
            <w:pPr>
              <w:rPr>
                <w:rFonts w:ascii="宋体"/>
                <w:vanish/>
              </w:rPr>
            </w:pPr>
          </w:p>
        </w:tc>
        <w:tc>
          <w:tcPr>
            <w:tcW w:w="0" w:type="auto"/>
            <w:gridSpan w:val="3"/>
            <w:shd w:val="clear" w:color="auto" w:fill="auto"/>
            <w:vAlign w:val="bottom"/>
          </w:tcPr>
          <w:p w14:paraId="442F6BA8" w14:textId="77777777" w:rsidR="00CC25B5" w:rsidRDefault="00CC25B5">
            <w:pPr>
              <w:rPr>
                <w:rFonts w:ascii="宋体"/>
                <w:vanish/>
              </w:rPr>
            </w:pPr>
          </w:p>
        </w:tc>
        <w:tc>
          <w:tcPr>
            <w:tcW w:w="0" w:type="auto"/>
            <w:gridSpan w:val="3"/>
            <w:shd w:val="clear" w:color="auto" w:fill="auto"/>
            <w:vAlign w:val="bottom"/>
          </w:tcPr>
          <w:p w14:paraId="442F6BA9" w14:textId="77777777" w:rsidR="00CC25B5" w:rsidRDefault="00CC25B5">
            <w:pPr>
              <w:rPr>
                <w:rFonts w:ascii="宋体"/>
                <w:vanish/>
              </w:rPr>
            </w:pPr>
          </w:p>
        </w:tc>
        <w:tc>
          <w:tcPr>
            <w:tcW w:w="0" w:type="auto"/>
            <w:gridSpan w:val="3"/>
            <w:shd w:val="clear" w:color="auto" w:fill="auto"/>
            <w:vAlign w:val="bottom"/>
          </w:tcPr>
          <w:p w14:paraId="442F6BAA" w14:textId="77777777" w:rsidR="00CC25B5" w:rsidRDefault="00CC25B5">
            <w:pPr>
              <w:rPr>
                <w:rFonts w:ascii="宋体"/>
                <w:vanish/>
              </w:rPr>
            </w:pPr>
          </w:p>
        </w:tc>
        <w:tc>
          <w:tcPr>
            <w:tcW w:w="0" w:type="auto"/>
            <w:gridSpan w:val="3"/>
            <w:shd w:val="clear" w:color="auto" w:fill="auto"/>
            <w:vAlign w:val="bottom"/>
          </w:tcPr>
          <w:p w14:paraId="442F6BAB" w14:textId="77777777" w:rsidR="00CC25B5" w:rsidRDefault="00CC25B5">
            <w:pPr>
              <w:rPr>
                <w:rFonts w:ascii="宋体"/>
                <w:vanish/>
              </w:rPr>
            </w:pPr>
          </w:p>
        </w:tc>
        <w:tc>
          <w:tcPr>
            <w:tcW w:w="0" w:type="auto"/>
            <w:gridSpan w:val="3"/>
            <w:shd w:val="clear" w:color="auto" w:fill="auto"/>
            <w:vAlign w:val="bottom"/>
          </w:tcPr>
          <w:p w14:paraId="442F6BAC" w14:textId="77777777" w:rsidR="00CC25B5" w:rsidRDefault="00CC25B5">
            <w:pPr>
              <w:rPr>
                <w:rFonts w:ascii="宋体"/>
                <w:vanish/>
              </w:rPr>
            </w:pPr>
          </w:p>
        </w:tc>
        <w:tc>
          <w:tcPr>
            <w:tcW w:w="0" w:type="auto"/>
            <w:gridSpan w:val="3"/>
            <w:shd w:val="clear" w:color="auto" w:fill="auto"/>
            <w:vAlign w:val="bottom"/>
          </w:tcPr>
          <w:p w14:paraId="442F6BAD" w14:textId="77777777" w:rsidR="00CC25B5" w:rsidRDefault="00CC25B5">
            <w:pPr>
              <w:rPr>
                <w:rFonts w:ascii="宋体"/>
                <w:vanish/>
              </w:rPr>
            </w:pPr>
          </w:p>
        </w:tc>
        <w:tc>
          <w:tcPr>
            <w:tcW w:w="0" w:type="auto"/>
            <w:gridSpan w:val="3"/>
            <w:shd w:val="clear" w:color="auto" w:fill="auto"/>
            <w:vAlign w:val="bottom"/>
          </w:tcPr>
          <w:p w14:paraId="442F6BAE" w14:textId="77777777" w:rsidR="00CC25B5" w:rsidRDefault="00CC25B5">
            <w:pPr>
              <w:rPr>
                <w:rFonts w:ascii="宋体"/>
                <w:vanish/>
              </w:rPr>
            </w:pPr>
          </w:p>
        </w:tc>
        <w:tc>
          <w:tcPr>
            <w:tcW w:w="0" w:type="auto"/>
            <w:gridSpan w:val="3"/>
            <w:shd w:val="clear" w:color="auto" w:fill="auto"/>
            <w:vAlign w:val="bottom"/>
          </w:tcPr>
          <w:p w14:paraId="442F6BAF" w14:textId="77777777" w:rsidR="00CC25B5" w:rsidRDefault="00CC25B5">
            <w:pPr>
              <w:rPr>
                <w:rFonts w:ascii="宋体"/>
                <w:vanish/>
              </w:rPr>
            </w:pPr>
          </w:p>
        </w:tc>
        <w:tc>
          <w:tcPr>
            <w:tcW w:w="0" w:type="auto"/>
            <w:gridSpan w:val="3"/>
            <w:shd w:val="clear" w:color="auto" w:fill="auto"/>
            <w:vAlign w:val="bottom"/>
          </w:tcPr>
          <w:p w14:paraId="442F6BB0" w14:textId="77777777" w:rsidR="00CC25B5" w:rsidRDefault="00CC25B5">
            <w:pPr>
              <w:rPr>
                <w:rFonts w:ascii="宋体"/>
                <w:vanish/>
              </w:rPr>
            </w:pPr>
          </w:p>
        </w:tc>
        <w:tc>
          <w:tcPr>
            <w:tcW w:w="0" w:type="auto"/>
            <w:gridSpan w:val="3"/>
            <w:shd w:val="clear" w:color="auto" w:fill="auto"/>
            <w:vAlign w:val="bottom"/>
          </w:tcPr>
          <w:p w14:paraId="442F6BB1" w14:textId="77777777" w:rsidR="00CC25B5" w:rsidRDefault="00CC25B5">
            <w:pPr>
              <w:rPr>
                <w:rFonts w:ascii="宋体"/>
                <w:vanish/>
              </w:rPr>
            </w:pPr>
          </w:p>
        </w:tc>
        <w:tc>
          <w:tcPr>
            <w:tcW w:w="0" w:type="auto"/>
            <w:shd w:val="clear" w:color="auto" w:fill="auto"/>
            <w:vAlign w:val="bottom"/>
          </w:tcPr>
          <w:p w14:paraId="442F6BB2" w14:textId="77777777" w:rsidR="00CC25B5" w:rsidRDefault="00CC25B5">
            <w:pPr>
              <w:rPr>
                <w:rFonts w:ascii="宋体"/>
                <w:vanish/>
              </w:rPr>
            </w:pPr>
          </w:p>
        </w:tc>
        <w:tc>
          <w:tcPr>
            <w:tcW w:w="0" w:type="auto"/>
            <w:shd w:val="clear" w:color="auto" w:fill="auto"/>
            <w:vAlign w:val="bottom"/>
          </w:tcPr>
          <w:p w14:paraId="442F6BB3" w14:textId="77777777" w:rsidR="00CC25B5" w:rsidRDefault="00CC25B5">
            <w:pPr>
              <w:rPr>
                <w:rFonts w:ascii="宋体"/>
                <w:vanish/>
              </w:rPr>
            </w:pPr>
          </w:p>
        </w:tc>
        <w:tc>
          <w:tcPr>
            <w:tcW w:w="0" w:type="auto"/>
            <w:shd w:val="clear" w:color="auto" w:fill="auto"/>
            <w:vAlign w:val="bottom"/>
          </w:tcPr>
          <w:p w14:paraId="442F6BB4" w14:textId="77777777" w:rsidR="00CC25B5" w:rsidRDefault="00CC25B5">
            <w:pPr>
              <w:rPr>
                <w:rFonts w:ascii="宋体"/>
                <w:vanish/>
              </w:rPr>
            </w:pPr>
          </w:p>
        </w:tc>
      </w:tr>
      <w:tr w:rsidR="00CC25B5" w14:paraId="442F6BC9" w14:textId="77777777">
        <w:trPr>
          <w:hidden/>
        </w:trPr>
        <w:tc>
          <w:tcPr>
            <w:tcW w:w="0" w:type="auto"/>
            <w:gridSpan w:val="3"/>
            <w:shd w:val="clear" w:color="auto" w:fill="auto"/>
            <w:vAlign w:val="bottom"/>
          </w:tcPr>
          <w:p w14:paraId="442F6BB6" w14:textId="77777777" w:rsidR="00CC25B5" w:rsidRDefault="00CC25B5">
            <w:pPr>
              <w:rPr>
                <w:rFonts w:ascii="宋体"/>
                <w:vanish/>
              </w:rPr>
            </w:pPr>
          </w:p>
        </w:tc>
        <w:tc>
          <w:tcPr>
            <w:tcW w:w="0" w:type="auto"/>
            <w:gridSpan w:val="3"/>
            <w:shd w:val="clear" w:color="auto" w:fill="auto"/>
            <w:vAlign w:val="bottom"/>
          </w:tcPr>
          <w:p w14:paraId="442F6BB7" w14:textId="77777777" w:rsidR="00CC25B5" w:rsidRDefault="00CC25B5">
            <w:pPr>
              <w:rPr>
                <w:rFonts w:ascii="宋体"/>
                <w:vanish/>
              </w:rPr>
            </w:pPr>
          </w:p>
        </w:tc>
        <w:tc>
          <w:tcPr>
            <w:tcW w:w="0" w:type="auto"/>
            <w:gridSpan w:val="3"/>
            <w:shd w:val="clear" w:color="auto" w:fill="auto"/>
            <w:vAlign w:val="bottom"/>
          </w:tcPr>
          <w:p w14:paraId="442F6BB8" w14:textId="77777777" w:rsidR="00CC25B5" w:rsidRDefault="00CC25B5">
            <w:pPr>
              <w:rPr>
                <w:rFonts w:ascii="宋体"/>
                <w:vanish/>
              </w:rPr>
            </w:pPr>
          </w:p>
        </w:tc>
        <w:tc>
          <w:tcPr>
            <w:tcW w:w="0" w:type="auto"/>
            <w:gridSpan w:val="3"/>
            <w:shd w:val="clear" w:color="auto" w:fill="auto"/>
            <w:vAlign w:val="bottom"/>
          </w:tcPr>
          <w:p w14:paraId="442F6BB9" w14:textId="77777777" w:rsidR="00CC25B5" w:rsidRDefault="00CC25B5">
            <w:pPr>
              <w:rPr>
                <w:rFonts w:ascii="宋体"/>
                <w:vanish/>
              </w:rPr>
            </w:pPr>
          </w:p>
        </w:tc>
        <w:tc>
          <w:tcPr>
            <w:tcW w:w="0" w:type="auto"/>
            <w:gridSpan w:val="3"/>
            <w:shd w:val="clear" w:color="auto" w:fill="auto"/>
            <w:vAlign w:val="bottom"/>
          </w:tcPr>
          <w:p w14:paraId="442F6BBA" w14:textId="77777777" w:rsidR="00CC25B5" w:rsidRDefault="00CC25B5">
            <w:pPr>
              <w:rPr>
                <w:rFonts w:ascii="宋体"/>
                <w:vanish/>
              </w:rPr>
            </w:pPr>
          </w:p>
        </w:tc>
        <w:tc>
          <w:tcPr>
            <w:tcW w:w="0" w:type="auto"/>
            <w:gridSpan w:val="3"/>
            <w:shd w:val="clear" w:color="auto" w:fill="auto"/>
            <w:vAlign w:val="bottom"/>
          </w:tcPr>
          <w:p w14:paraId="442F6BBB" w14:textId="77777777" w:rsidR="00CC25B5" w:rsidRDefault="00CC25B5">
            <w:pPr>
              <w:rPr>
                <w:rFonts w:ascii="宋体"/>
                <w:vanish/>
              </w:rPr>
            </w:pPr>
          </w:p>
        </w:tc>
        <w:tc>
          <w:tcPr>
            <w:tcW w:w="0" w:type="auto"/>
            <w:gridSpan w:val="3"/>
            <w:shd w:val="clear" w:color="auto" w:fill="auto"/>
            <w:vAlign w:val="bottom"/>
          </w:tcPr>
          <w:p w14:paraId="442F6BBC" w14:textId="77777777" w:rsidR="00CC25B5" w:rsidRDefault="00CC25B5">
            <w:pPr>
              <w:rPr>
                <w:rFonts w:ascii="宋体"/>
                <w:vanish/>
              </w:rPr>
            </w:pPr>
          </w:p>
        </w:tc>
        <w:tc>
          <w:tcPr>
            <w:tcW w:w="0" w:type="auto"/>
            <w:gridSpan w:val="3"/>
            <w:shd w:val="clear" w:color="auto" w:fill="auto"/>
            <w:vAlign w:val="bottom"/>
          </w:tcPr>
          <w:p w14:paraId="442F6BBD" w14:textId="77777777" w:rsidR="00CC25B5" w:rsidRDefault="00CC25B5">
            <w:pPr>
              <w:rPr>
                <w:rFonts w:ascii="宋体"/>
                <w:vanish/>
              </w:rPr>
            </w:pPr>
          </w:p>
        </w:tc>
        <w:tc>
          <w:tcPr>
            <w:tcW w:w="0" w:type="auto"/>
            <w:gridSpan w:val="3"/>
            <w:shd w:val="clear" w:color="auto" w:fill="auto"/>
            <w:vAlign w:val="bottom"/>
          </w:tcPr>
          <w:p w14:paraId="442F6BBE" w14:textId="77777777" w:rsidR="00CC25B5" w:rsidRDefault="00CC25B5">
            <w:pPr>
              <w:rPr>
                <w:rFonts w:ascii="宋体"/>
                <w:vanish/>
              </w:rPr>
            </w:pPr>
          </w:p>
        </w:tc>
        <w:tc>
          <w:tcPr>
            <w:tcW w:w="0" w:type="auto"/>
            <w:gridSpan w:val="3"/>
            <w:shd w:val="clear" w:color="auto" w:fill="auto"/>
            <w:vAlign w:val="bottom"/>
          </w:tcPr>
          <w:p w14:paraId="442F6BBF" w14:textId="77777777" w:rsidR="00CC25B5" w:rsidRDefault="00CC25B5">
            <w:pPr>
              <w:rPr>
                <w:rFonts w:ascii="宋体"/>
                <w:vanish/>
              </w:rPr>
            </w:pPr>
          </w:p>
        </w:tc>
        <w:tc>
          <w:tcPr>
            <w:tcW w:w="0" w:type="auto"/>
            <w:gridSpan w:val="3"/>
            <w:shd w:val="clear" w:color="auto" w:fill="auto"/>
            <w:vAlign w:val="bottom"/>
          </w:tcPr>
          <w:p w14:paraId="442F6BC0" w14:textId="77777777" w:rsidR="00CC25B5" w:rsidRDefault="00CC25B5">
            <w:pPr>
              <w:rPr>
                <w:rFonts w:ascii="宋体"/>
                <w:vanish/>
              </w:rPr>
            </w:pPr>
          </w:p>
        </w:tc>
        <w:tc>
          <w:tcPr>
            <w:tcW w:w="0" w:type="auto"/>
            <w:gridSpan w:val="3"/>
            <w:shd w:val="clear" w:color="auto" w:fill="auto"/>
            <w:vAlign w:val="bottom"/>
          </w:tcPr>
          <w:p w14:paraId="442F6BC1" w14:textId="77777777" w:rsidR="00CC25B5" w:rsidRDefault="00CC25B5">
            <w:pPr>
              <w:rPr>
                <w:rFonts w:ascii="宋体"/>
                <w:vanish/>
              </w:rPr>
            </w:pPr>
          </w:p>
        </w:tc>
        <w:tc>
          <w:tcPr>
            <w:tcW w:w="0" w:type="auto"/>
            <w:gridSpan w:val="3"/>
            <w:shd w:val="clear" w:color="auto" w:fill="auto"/>
            <w:vAlign w:val="bottom"/>
          </w:tcPr>
          <w:p w14:paraId="442F6BC2" w14:textId="77777777" w:rsidR="00CC25B5" w:rsidRDefault="00CC25B5">
            <w:pPr>
              <w:rPr>
                <w:rFonts w:ascii="宋体"/>
                <w:vanish/>
              </w:rPr>
            </w:pPr>
          </w:p>
        </w:tc>
        <w:tc>
          <w:tcPr>
            <w:tcW w:w="0" w:type="auto"/>
            <w:gridSpan w:val="3"/>
            <w:shd w:val="clear" w:color="auto" w:fill="auto"/>
            <w:vAlign w:val="bottom"/>
          </w:tcPr>
          <w:p w14:paraId="442F6BC3" w14:textId="77777777" w:rsidR="00CC25B5" w:rsidRDefault="00CC25B5">
            <w:pPr>
              <w:rPr>
                <w:rFonts w:ascii="宋体"/>
                <w:vanish/>
              </w:rPr>
            </w:pPr>
          </w:p>
        </w:tc>
        <w:tc>
          <w:tcPr>
            <w:tcW w:w="0" w:type="auto"/>
            <w:gridSpan w:val="3"/>
            <w:shd w:val="clear" w:color="auto" w:fill="auto"/>
            <w:vAlign w:val="bottom"/>
          </w:tcPr>
          <w:p w14:paraId="442F6BC4" w14:textId="77777777" w:rsidR="00CC25B5" w:rsidRDefault="00CC25B5">
            <w:pPr>
              <w:rPr>
                <w:rFonts w:ascii="宋体"/>
                <w:vanish/>
              </w:rPr>
            </w:pPr>
          </w:p>
        </w:tc>
        <w:tc>
          <w:tcPr>
            <w:tcW w:w="0" w:type="auto"/>
            <w:gridSpan w:val="3"/>
            <w:shd w:val="clear" w:color="auto" w:fill="auto"/>
            <w:vAlign w:val="bottom"/>
          </w:tcPr>
          <w:p w14:paraId="442F6BC5" w14:textId="77777777" w:rsidR="00CC25B5" w:rsidRDefault="00CC25B5">
            <w:pPr>
              <w:rPr>
                <w:rFonts w:ascii="宋体"/>
                <w:vanish/>
              </w:rPr>
            </w:pPr>
          </w:p>
        </w:tc>
        <w:tc>
          <w:tcPr>
            <w:tcW w:w="0" w:type="auto"/>
            <w:shd w:val="clear" w:color="auto" w:fill="auto"/>
            <w:vAlign w:val="bottom"/>
          </w:tcPr>
          <w:p w14:paraId="442F6BC6" w14:textId="77777777" w:rsidR="00CC25B5" w:rsidRDefault="00CC25B5">
            <w:pPr>
              <w:rPr>
                <w:rFonts w:ascii="宋体"/>
                <w:vanish/>
              </w:rPr>
            </w:pPr>
          </w:p>
        </w:tc>
        <w:tc>
          <w:tcPr>
            <w:tcW w:w="0" w:type="auto"/>
            <w:shd w:val="clear" w:color="auto" w:fill="auto"/>
            <w:vAlign w:val="bottom"/>
          </w:tcPr>
          <w:p w14:paraId="442F6BC7" w14:textId="77777777" w:rsidR="00CC25B5" w:rsidRDefault="00CC25B5">
            <w:pPr>
              <w:rPr>
                <w:rFonts w:ascii="宋体"/>
                <w:vanish/>
              </w:rPr>
            </w:pPr>
          </w:p>
        </w:tc>
        <w:tc>
          <w:tcPr>
            <w:tcW w:w="0" w:type="auto"/>
            <w:shd w:val="clear" w:color="auto" w:fill="auto"/>
            <w:vAlign w:val="bottom"/>
          </w:tcPr>
          <w:p w14:paraId="442F6BC8" w14:textId="77777777" w:rsidR="00CC25B5" w:rsidRDefault="00CC25B5">
            <w:pPr>
              <w:rPr>
                <w:rFonts w:ascii="宋体"/>
                <w:vanish/>
              </w:rPr>
            </w:pPr>
          </w:p>
        </w:tc>
      </w:tr>
      <w:tr w:rsidR="00CC25B5" w14:paraId="442F6BDD" w14:textId="77777777">
        <w:trPr>
          <w:hidden/>
        </w:trPr>
        <w:tc>
          <w:tcPr>
            <w:tcW w:w="0" w:type="auto"/>
            <w:gridSpan w:val="3"/>
            <w:shd w:val="clear" w:color="auto" w:fill="auto"/>
            <w:vAlign w:val="bottom"/>
          </w:tcPr>
          <w:p w14:paraId="442F6BCA" w14:textId="77777777" w:rsidR="00CC25B5" w:rsidRDefault="00CC25B5">
            <w:pPr>
              <w:rPr>
                <w:rFonts w:ascii="宋体"/>
                <w:vanish/>
              </w:rPr>
            </w:pPr>
          </w:p>
        </w:tc>
        <w:tc>
          <w:tcPr>
            <w:tcW w:w="0" w:type="auto"/>
            <w:gridSpan w:val="3"/>
            <w:shd w:val="clear" w:color="auto" w:fill="auto"/>
            <w:vAlign w:val="bottom"/>
          </w:tcPr>
          <w:p w14:paraId="442F6BCB" w14:textId="77777777" w:rsidR="00CC25B5" w:rsidRDefault="00CC25B5">
            <w:pPr>
              <w:rPr>
                <w:rFonts w:ascii="宋体"/>
                <w:vanish/>
              </w:rPr>
            </w:pPr>
          </w:p>
        </w:tc>
        <w:tc>
          <w:tcPr>
            <w:tcW w:w="0" w:type="auto"/>
            <w:gridSpan w:val="3"/>
            <w:shd w:val="clear" w:color="auto" w:fill="auto"/>
            <w:vAlign w:val="bottom"/>
          </w:tcPr>
          <w:p w14:paraId="442F6BCC" w14:textId="77777777" w:rsidR="00CC25B5" w:rsidRDefault="00CC25B5">
            <w:pPr>
              <w:rPr>
                <w:rFonts w:ascii="宋体"/>
                <w:vanish/>
              </w:rPr>
            </w:pPr>
          </w:p>
        </w:tc>
        <w:tc>
          <w:tcPr>
            <w:tcW w:w="0" w:type="auto"/>
            <w:gridSpan w:val="3"/>
            <w:shd w:val="clear" w:color="auto" w:fill="auto"/>
            <w:vAlign w:val="bottom"/>
          </w:tcPr>
          <w:p w14:paraId="442F6BCD" w14:textId="77777777" w:rsidR="00CC25B5" w:rsidRDefault="00CC25B5">
            <w:pPr>
              <w:rPr>
                <w:rFonts w:ascii="宋体"/>
                <w:vanish/>
              </w:rPr>
            </w:pPr>
          </w:p>
        </w:tc>
        <w:tc>
          <w:tcPr>
            <w:tcW w:w="0" w:type="auto"/>
            <w:gridSpan w:val="3"/>
            <w:shd w:val="clear" w:color="auto" w:fill="auto"/>
            <w:vAlign w:val="bottom"/>
          </w:tcPr>
          <w:p w14:paraId="442F6BCE" w14:textId="77777777" w:rsidR="00CC25B5" w:rsidRDefault="00CC25B5">
            <w:pPr>
              <w:rPr>
                <w:rFonts w:ascii="宋体"/>
                <w:vanish/>
              </w:rPr>
            </w:pPr>
          </w:p>
        </w:tc>
        <w:tc>
          <w:tcPr>
            <w:tcW w:w="0" w:type="auto"/>
            <w:gridSpan w:val="3"/>
            <w:shd w:val="clear" w:color="auto" w:fill="auto"/>
            <w:vAlign w:val="bottom"/>
          </w:tcPr>
          <w:p w14:paraId="442F6BCF" w14:textId="77777777" w:rsidR="00CC25B5" w:rsidRDefault="00CC25B5">
            <w:pPr>
              <w:rPr>
                <w:rFonts w:ascii="宋体"/>
                <w:vanish/>
              </w:rPr>
            </w:pPr>
          </w:p>
        </w:tc>
        <w:tc>
          <w:tcPr>
            <w:tcW w:w="0" w:type="auto"/>
            <w:gridSpan w:val="3"/>
            <w:shd w:val="clear" w:color="auto" w:fill="auto"/>
            <w:vAlign w:val="bottom"/>
          </w:tcPr>
          <w:p w14:paraId="442F6BD0" w14:textId="77777777" w:rsidR="00CC25B5" w:rsidRDefault="00CC25B5">
            <w:pPr>
              <w:rPr>
                <w:rFonts w:ascii="宋体"/>
                <w:vanish/>
              </w:rPr>
            </w:pPr>
          </w:p>
        </w:tc>
        <w:tc>
          <w:tcPr>
            <w:tcW w:w="0" w:type="auto"/>
            <w:gridSpan w:val="3"/>
            <w:shd w:val="clear" w:color="auto" w:fill="auto"/>
            <w:vAlign w:val="bottom"/>
          </w:tcPr>
          <w:p w14:paraId="442F6BD1" w14:textId="77777777" w:rsidR="00CC25B5" w:rsidRDefault="00CC25B5">
            <w:pPr>
              <w:rPr>
                <w:rFonts w:ascii="宋体"/>
                <w:vanish/>
              </w:rPr>
            </w:pPr>
          </w:p>
        </w:tc>
        <w:tc>
          <w:tcPr>
            <w:tcW w:w="0" w:type="auto"/>
            <w:gridSpan w:val="3"/>
            <w:shd w:val="clear" w:color="auto" w:fill="auto"/>
            <w:vAlign w:val="bottom"/>
          </w:tcPr>
          <w:p w14:paraId="442F6BD2" w14:textId="77777777" w:rsidR="00CC25B5" w:rsidRDefault="00CC25B5">
            <w:pPr>
              <w:rPr>
                <w:rFonts w:ascii="宋体"/>
                <w:vanish/>
              </w:rPr>
            </w:pPr>
          </w:p>
        </w:tc>
        <w:tc>
          <w:tcPr>
            <w:tcW w:w="0" w:type="auto"/>
            <w:gridSpan w:val="3"/>
            <w:shd w:val="clear" w:color="auto" w:fill="auto"/>
            <w:vAlign w:val="bottom"/>
          </w:tcPr>
          <w:p w14:paraId="442F6BD3" w14:textId="77777777" w:rsidR="00CC25B5" w:rsidRDefault="00CC25B5">
            <w:pPr>
              <w:rPr>
                <w:rFonts w:ascii="宋体"/>
                <w:vanish/>
              </w:rPr>
            </w:pPr>
          </w:p>
        </w:tc>
        <w:tc>
          <w:tcPr>
            <w:tcW w:w="0" w:type="auto"/>
            <w:gridSpan w:val="3"/>
            <w:shd w:val="clear" w:color="auto" w:fill="auto"/>
            <w:vAlign w:val="bottom"/>
          </w:tcPr>
          <w:p w14:paraId="442F6BD4" w14:textId="77777777" w:rsidR="00CC25B5" w:rsidRDefault="00CC25B5">
            <w:pPr>
              <w:rPr>
                <w:rFonts w:ascii="宋体"/>
                <w:vanish/>
              </w:rPr>
            </w:pPr>
          </w:p>
        </w:tc>
        <w:tc>
          <w:tcPr>
            <w:tcW w:w="0" w:type="auto"/>
            <w:gridSpan w:val="3"/>
            <w:shd w:val="clear" w:color="auto" w:fill="auto"/>
            <w:vAlign w:val="bottom"/>
          </w:tcPr>
          <w:p w14:paraId="442F6BD5" w14:textId="77777777" w:rsidR="00CC25B5" w:rsidRDefault="00CC25B5">
            <w:pPr>
              <w:rPr>
                <w:rFonts w:ascii="宋体"/>
                <w:vanish/>
              </w:rPr>
            </w:pPr>
          </w:p>
        </w:tc>
        <w:tc>
          <w:tcPr>
            <w:tcW w:w="0" w:type="auto"/>
            <w:gridSpan w:val="3"/>
            <w:shd w:val="clear" w:color="auto" w:fill="auto"/>
            <w:vAlign w:val="bottom"/>
          </w:tcPr>
          <w:p w14:paraId="442F6BD6" w14:textId="77777777" w:rsidR="00CC25B5" w:rsidRDefault="00CC25B5">
            <w:pPr>
              <w:rPr>
                <w:rFonts w:ascii="宋体"/>
                <w:vanish/>
              </w:rPr>
            </w:pPr>
          </w:p>
        </w:tc>
        <w:tc>
          <w:tcPr>
            <w:tcW w:w="0" w:type="auto"/>
            <w:gridSpan w:val="3"/>
            <w:shd w:val="clear" w:color="auto" w:fill="auto"/>
            <w:vAlign w:val="bottom"/>
          </w:tcPr>
          <w:p w14:paraId="442F6BD7" w14:textId="77777777" w:rsidR="00CC25B5" w:rsidRDefault="00CC25B5">
            <w:pPr>
              <w:rPr>
                <w:rFonts w:ascii="宋体"/>
                <w:vanish/>
              </w:rPr>
            </w:pPr>
          </w:p>
        </w:tc>
        <w:tc>
          <w:tcPr>
            <w:tcW w:w="0" w:type="auto"/>
            <w:gridSpan w:val="3"/>
            <w:shd w:val="clear" w:color="auto" w:fill="auto"/>
            <w:vAlign w:val="bottom"/>
          </w:tcPr>
          <w:p w14:paraId="442F6BD8" w14:textId="77777777" w:rsidR="00CC25B5" w:rsidRDefault="00CC25B5">
            <w:pPr>
              <w:rPr>
                <w:rFonts w:ascii="宋体"/>
                <w:vanish/>
              </w:rPr>
            </w:pPr>
          </w:p>
        </w:tc>
        <w:tc>
          <w:tcPr>
            <w:tcW w:w="0" w:type="auto"/>
            <w:gridSpan w:val="3"/>
            <w:shd w:val="clear" w:color="auto" w:fill="auto"/>
            <w:vAlign w:val="bottom"/>
          </w:tcPr>
          <w:p w14:paraId="442F6BD9" w14:textId="77777777" w:rsidR="00CC25B5" w:rsidRDefault="00CC25B5">
            <w:pPr>
              <w:rPr>
                <w:rFonts w:ascii="宋体"/>
                <w:vanish/>
              </w:rPr>
            </w:pPr>
          </w:p>
        </w:tc>
        <w:tc>
          <w:tcPr>
            <w:tcW w:w="0" w:type="auto"/>
            <w:shd w:val="clear" w:color="auto" w:fill="auto"/>
            <w:vAlign w:val="bottom"/>
          </w:tcPr>
          <w:p w14:paraId="442F6BDA" w14:textId="77777777" w:rsidR="00CC25B5" w:rsidRDefault="00CC25B5">
            <w:pPr>
              <w:rPr>
                <w:rFonts w:ascii="宋体"/>
                <w:vanish/>
              </w:rPr>
            </w:pPr>
          </w:p>
        </w:tc>
        <w:tc>
          <w:tcPr>
            <w:tcW w:w="0" w:type="auto"/>
            <w:shd w:val="clear" w:color="auto" w:fill="auto"/>
            <w:vAlign w:val="bottom"/>
          </w:tcPr>
          <w:p w14:paraId="442F6BDB" w14:textId="77777777" w:rsidR="00CC25B5" w:rsidRDefault="00CC25B5">
            <w:pPr>
              <w:rPr>
                <w:rFonts w:ascii="宋体"/>
                <w:vanish/>
              </w:rPr>
            </w:pPr>
          </w:p>
        </w:tc>
        <w:tc>
          <w:tcPr>
            <w:tcW w:w="0" w:type="auto"/>
            <w:shd w:val="clear" w:color="auto" w:fill="auto"/>
            <w:vAlign w:val="bottom"/>
          </w:tcPr>
          <w:p w14:paraId="442F6BDC" w14:textId="77777777" w:rsidR="00CC25B5" w:rsidRDefault="00CC25B5">
            <w:pPr>
              <w:rPr>
                <w:rFonts w:ascii="宋体"/>
                <w:vanish/>
              </w:rPr>
            </w:pPr>
          </w:p>
        </w:tc>
      </w:tr>
      <w:tr w:rsidR="00CC25B5" w14:paraId="442F6BF1" w14:textId="77777777">
        <w:trPr>
          <w:hidden/>
        </w:trPr>
        <w:tc>
          <w:tcPr>
            <w:tcW w:w="0" w:type="auto"/>
            <w:gridSpan w:val="3"/>
            <w:shd w:val="clear" w:color="auto" w:fill="auto"/>
            <w:vAlign w:val="bottom"/>
          </w:tcPr>
          <w:p w14:paraId="442F6BDE" w14:textId="77777777" w:rsidR="00CC25B5" w:rsidRDefault="00CC25B5">
            <w:pPr>
              <w:rPr>
                <w:rFonts w:ascii="宋体"/>
                <w:vanish/>
              </w:rPr>
            </w:pPr>
          </w:p>
        </w:tc>
        <w:tc>
          <w:tcPr>
            <w:tcW w:w="0" w:type="auto"/>
            <w:gridSpan w:val="3"/>
            <w:shd w:val="clear" w:color="auto" w:fill="auto"/>
            <w:vAlign w:val="bottom"/>
          </w:tcPr>
          <w:p w14:paraId="442F6BDF" w14:textId="77777777" w:rsidR="00CC25B5" w:rsidRDefault="00CC25B5">
            <w:pPr>
              <w:rPr>
                <w:rFonts w:ascii="宋体"/>
                <w:vanish/>
              </w:rPr>
            </w:pPr>
          </w:p>
        </w:tc>
        <w:tc>
          <w:tcPr>
            <w:tcW w:w="0" w:type="auto"/>
            <w:gridSpan w:val="3"/>
            <w:shd w:val="clear" w:color="auto" w:fill="auto"/>
            <w:vAlign w:val="bottom"/>
          </w:tcPr>
          <w:p w14:paraId="442F6BE0" w14:textId="77777777" w:rsidR="00CC25B5" w:rsidRDefault="00CC25B5">
            <w:pPr>
              <w:rPr>
                <w:rFonts w:ascii="宋体"/>
                <w:vanish/>
              </w:rPr>
            </w:pPr>
          </w:p>
        </w:tc>
        <w:tc>
          <w:tcPr>
            <w:tcW w:w="0" w:type="auto"/>
            <w:gridSpan w:val="3"/>
            <w:shd w:val="clear" w:color="auto" w:fill="auto"/>
            <w:vAlign w:val="bottom"/>
          </w:tcPr>
          <w:p w14:paraId="442F6BE1" w14:textId="77777777" w:rsidR="00CC25B5" w:rsidRDefault="00CC25B5">
            <w:pPr>
              <w:rPr>
                <w:rFonts w:ascii="宋体"/>
                <w:vanish/>
              </w:rPr>
            </w:pPr>
          </w:p>
        </w:tc>
        <w:tc>
          <w:tcPr>
            <w:tcW w:w="0" w:type="auto"/>
            <w:gridSpan w:val="3"/>
            <w:shd w:val="clear" w:color="auto" w:fill="auto"/>
            <w:vAlign w:val="bottom"/>
          </w:tcPr>
          <w:p w14:paraId="442F6BE2" w14:textId="77777777" w:rsidR="00CC25B5" w:rsidRDefault="00CC25B5">
            <w:pPr>
              <w:rPr>
                <w:rFonts w:ascii="宋体"/>
                <w:vanish/>
              </w:rPr>
            </w:pPr>
          </w:p>
        </w:tc>
        <w:tc>
          <w:tcPr>
            <w:tcW w:w="0" w:type="auto"/>
            <w:gridSpan w:val="3"/>
            <w:shd w:val="clear" w:color="auto" w:fill="auto"/>
            <w:vAlign w:val="bottom"/>
          </w:tcPr>
          <w:p w14:paraId="442F6BE3" w14:textId="77777777" w:rsidR="00CC25B5" w:rsidRDefault="00CC25B5">
            <w:pPr>
              <w:rPr>
                <w:rFonts w:ascii="宋体"/>
                <w:vanish/>
              </w:rPr>
            </w:pPr>
          </w:p>
        </w:tc>
        <w:tc>
          <w:tcPr>
            <w:tcW w:w="0" w:type="auto"/>
            <w:gridSpan w:val="3"/>
            <w:shd w:val="clear" w:color="auto" w:fill="auto"/>
            <w:vAlign w:val="bottom"/>
          </w:tcPr>
          <w:p w14:paraId="442F6BE4" w14:textId="77777777" w:rsidR="00CC25B5" w:rsidRDefault="00CC25B5">
            <w:pPr>
              <w:rPr>
                <w:rFonts w:ascii="宋体"/>
                <w:vanish/>
              </w:rPr>
            </w:pPr>
          </w:p>
        </w:tc>
        <w:tc>
          <w:tcPr>
            <w:tcW w:w="0" w:type="auto"/>
            <w:gridSpan w:val="3"/>
            <w:shd w:val="clear" w:color="auto" w:fill="auto"/>
            <w:vAlign w:val="bottom"/>
          </w:tcPr>
          <w:p w14:paraId="442F6BE5" w14:textId="77777777" w:rsidR="00CC25B5" w:rsidRDefault="00CC25B5">
            <w:pPr>
              <w:rPr>
                <w:rFonts w:ascii="宋体"/>
                <w:vanish/>
              </w:rPr>
            </w:pPr>
          </w:p>
        </w:tc>
        <w:tc>
          <w:tcPr>
            <w:tcW w:w="0" w:type="auto"/>
            <w:gridSpan w:val="3"/>
            <w:shd w:val="clear" w:color="auto" w:fill="auto"/>
            <w:vAlign w:val="bottom"/>
          </w:tcPr>
          <w:p w14:paraId="442F6BE6" w14:textId="77777777" w:rsidR="00CC25B5" w:rsidRDefault="00CC25B5">
            <w:pPr>
              <w:rPr>
                <w:rFonts w:ascii="宋体"/>
                <w:vanish/>
              </w:rPr>
            </w:pPr>
          </w:p>
        </w:tc>
        <w:tc>
          <w:tcPr>
            <w:tcW w:w="0" w:type="auto"/>
            <w:gridSpan w:val="3"/>
            <w:shd w:val="clear" w:color="auto" w:fill="auto"/>
            <w:vAlign w:val="bottom"/>
          </w:tcPr>
          <w:p w14:paraId="442F6BE7" w14:textId="77777777" w:rsidR="00CC25B5" w:rsidRDefault="00CC25B5">
            <w:pPr>
              <w:rPr>
                <w:rFonts w:ascii="宋体"/>
                <w:vanish/>
              </w:rPr>
            </w:pPr>
          </w:p>
        </w:tc>
        <w:tc>
          <w:tcPr>
            <w:tcW w:w="0" w:type="auto"/>
            <w:gridSpan w:val="3"/>
            <w:shd w:val="clear" w:color="auto" w:fill="auto"/>
            <w:vAlign w:val="bottom"/>
          </w:tcPr>
          <w:p w14:paraId="442F6BE8" w14:textId="77777777" w:rsidR="00CC25B5" w:rsidRDefault="00CC25B5">
            <w:pPr>
              <w:rPr>
                <w:rFonts w:ascii="宋体"/>
                <w:vanish/>
              </w:rPr>
            </w:pPr>
          </w:p>
        </w:tc>
        <w:tc>
          <w:tcPr>
            <w:tcW w:w="0" w:type="auto"/>
            <w:gridSpan w:val="3"/>
            <w:shd w:val="clear" w:color="auto" w:fill="auto"/>
            <w:vAlign w:val="bottom"/>
          </w:tcPr>
          <w:p w14:paraId="442F6BE9" w14:textId="77777777" w:rsidR="00CC25B5" w:rsidRDefault="00CC25B5">
            <w:pPr>
              <w:rPr>
                <w:rFonts w:ascii="宋体"/>
                <w:vanish/>
              </w:rPr>
            </w:pPr>
          </w:p>
        </w:tc>
        <w:tc>
          <w:tcPr>
            <w:tcW w:w="0" w:type="auto"/>
            <w:gridSpan w:val="3"/>
            <w:shd w:val="clear" w:color="auto" w:fill="auto"/>
            <w:vAlign w:val="bottom"/>
          </w:tcPr>
          <w:p w14:paraId="442F6BEA" w14:textId="77777777" w:rsidR="00CC25B5" w:rsidRDefault="00CC25B5">
            <w:pPr>
              <w:rPr>
                <w:rFonts w:ascii="宋体"/>
                <w:vanish/>
              </w:rPr>
            </w:pPr>
          </w:p>
        </w:tc>
        <w:tc>
          <w:tcPr>
            <w:tcW w:w="0" w:type="auto"/>
            <w:gridSpan w:val="3"/>
            <w:shd w:val="clear" w:color="auto" w:fill="auto"/>
            <w:vAlign w:val="bottom"/>
          </w:tcPr>
          <w:p w14:paraId="442F6BEB" w14:textId="77777777" w:rsidR="00CC25B5" w:rsidRDefault="00CC25B5">
            <w:pPr>
              <w:rPr>
                <w:rFonts w:ascii="宋体"/>
                <w:vanish/>
              </w:rPr>
            </w:pPr>
          </w:p>
        </w:tc>
        <w:tc>
          <w:tcPr>
            <w:tcW w:w="0" w:type="auto"/>
            <w:gridSpan w:val="3"/>
            <w:shd w:val="clear" w:color="auto" w:fill="auto"/>
            <w:vAlign w:val="bottom"/>
          </w:tcPr>
          <w:p w14:paraId="442F6BEC" w14:textId="77777777" w:rsidR="00CC25B5" w:rsidRDefault="00CC25B5">
            <w:pPr>
              <w:rPr>
                <w:rFonts w:ascii="宋体"/>
                <w:vanish/>
              </w:rPr>
            </w:pPr>
          </w:p>
        </w:tc>
        <w:tc>
          <w:tcPr>
            <w:tcW w:w="0" w:type="auto"/>
            <w:gridSpan w:val="3"/>
            <w:shd w:val="clear" w:color="auto" w:fill="auto"/>
            <w:vAlign w:val="bottom"/>
          </w:tcPr>
          <w:p w14:paraId="442F6BED" w14:textId="77777777" w:rsidR="00CC25B5" w:rsidRDefault="00CC25B5">
            <w:pPr>
              <w:rPr>
                <w:rFonts w:ascii="宋体"/>
                <w:vanish/>
              </w:rPr>
            </w:pPr>
          </w:p>
        </w:tc>
        <w:tc>
          <w:tcPr>
            <w:tcW w:w="0" w:type="auto"/>
            <w:shd w:val="clear" w:color="auto" w:fill="auto"/>
            <w:vAlign w:val="bottom"/>
          </w:tcPr>
          <w:p w14:paraId="442F6BEE" w14:textId="77777777" w:rsidR="00CC25B5" w:rsidRDefault="00CC25B5">
            <w:pPr>
              <w:rPr>
                <w:rFonts w:ascii="宋体"/>
                <w:vanish/>
              </w:rPr>
            </w:pPr>
          </w:p>
        </w:tc>
        <w:tc>
          <w:tcPr>
            <w:tcW w:w="0" w:type="auto"/>
            <w:shd w:val="clear" w:color="auto" w:fill="auto"/>
            <w:vAlign w:val="bottom"/>
          </w:tcPr>
          <w:p w14:paraId="442F6BEF" w14:textId="77777777" w:rsidR="00CC25B5" w:rsidRDefault="00CC25B5">
            <w:pPr>
              <w:rPr>
                <w:rFonts w:ascii="宋体"/>
                <w:vanish/>
              </w:rPr>
            </w:pPr>
          </w:p>
        </w:tc>
        <w:tc>
          <w:tcPr>
            <w:tcW w:w="0" w:type="auto"/>
            <w:shd w:val="clear" w:color="auto" w:fill="auto"/>
            <w:vAlign w:val="bottom"/>
          </w:tcPr>
          <w:p w14:paraId="442F6BF0" w14:textId="77777777" w:rsidR="00CC25B5" w:rsidRDefault="00CC25B5">
            <w:pPr>
              <w:rPr>
                <w:rFonts w:ascii="宋体"/>
                <w:vanish/>
              </w:rPr>
            </w:pPr>
          </w:p>
        </w:tc>
      </w:tr>
      <w:tr w:rsidR="00CC25B5" w14:paraId="442F6C05" w14:textId="77777777">
        <w:trPr>
          <w:hidden/>
        </w:trPr>
        <w:tc>
          <w:tcPr>
            <w:tcW w:w="0" w:type="auto"/>
            <w:gridSpan w:val="3"/>
            <w:shd w:val="clear" w:color="auto" w:fill="auto"/>
            <w:vAlign w:val="bottom"/>
          </w:tcPr>
          <w:p w14:paraId="442F6BF2" w14:textId="77777777" w:rsidR="00CC25B5" w:rsidRDefault="00CC25B5">
            <w:pPr>
              <w:rPr>
                <w:rFonts w:ascii="宋体"/>
                <w:vanish/>
              </w:rPr>
            </w:pPr>
          </w:p>
        </w:tc>
        <w:tc>
          <w:tcPr>
            <w:tcW w:w="0" w:type="auto"/>
            <w:gridSpan w:val="3"/>
            <w:shd w:val="clear" w:color="auto" w:fill="auto"/>
            <w:vAlign w:val="bottom"/>
          </w:tcPr>
          <w:p w14:paraId="442F6BF3" w14:textId="77777777" w:rsidR="00CC25B5" w:rsidRDefault="00CC25B5">
            <w:pPr>
              <w:rPr>
                <w:rFonts w:ascii="宋体"/>
                <w:vanish/>
              </w:rPr>
            </w:pPr>
          </w:p>
        </w:tc>
        <w:tc>
          <w:tcPr>
            <w:tcW w:w="0" w:type="auto"/>
            <w:gridSpan w:val="3"/>
            <w:shd w:val="clear" w:color="auto" w:fill="auto"/>
            <w:vAlign w:val="bottom"/>
          </w:tcPr>
          <w:p w14:paraId="442F6BF4" w14:textId="77777777" w:rsidR="00CC25B5" w:rsidRDefault="00CC25B5">
            <w:pPr>
              <w:rPr>
                <w:rFonts w:ascii="宋体"/>
                <w:vanish/>
              </w:rPr>
            </w:pPr>
          </w:p>
        </w:tc>
        <w:tc>
          <w:tcPr>
            <w:tcW w:w="0" w:type="auto"/>
            <w:gridSpan w:val="3"/>
            <w:shd w:val="clear" w:color="auto" w:fill="auto"/>
            <w:vAlign w:val="bottom"/>
          </w:tcPr>
          <w:p w14:paraId="442F6BF5" w14:textId="77777777" w:rsidR="00CC25B5" w:rsidRDefault="00CC25B5">
            <w:pPr>
              <w:rPr>
                <w:rFonts w:ascii="宋体"/>
                <w:vanish/>
              </w:rPr>
            </w:pPr>
          </w:p>
        </w:tc>
        <w:tc>
          <w:tcPr>
            <w:tcW w:w="0" w:type="auto"/>
            <w:gridSpan w:val="3"/>
            <w:shd w:val="clear" w:color="auto" w:fill="auto"/>
            <w:vAlign w:val="bottom"/>
          </w:tcPr>
          <w:p w14:paraId="442F6BF6" w14:textId="77777777" w:rsidR="00CC25B5" w:rsidRDefault="00CC25B5">
            <w:pPr>
              <w:rPr>
                <w:rFonts w:ascii="宋体"/>
                <w:vanish/>
              </w:rPr>
            </w:pPr>
          </w:p>
        </w:tc>
        <w:tc>
          <w:tcPr>
            <w:tcW w:w="0" w:type="auto"/>
            <w:gridSpan w:val="3"/>
            <w:shd w:val="clear" w:color="auto" w:fill="auto"/>
            <w:vAlign w:val="bottom"/>
          </w:tcPr>
          <w:p w14:paraId="442F6BF7" w14:textId="77777777" w:rsidR="00CC25B5" w:rsidRDefault="00CC25B5">
            <w:pPr>
              <w:rPr>
                <w:rFonts w:ascii="宋体"/>
                <w:vanish/>
              </w:rPr>
            </w:pPr>
          </w:p>
        </w:tc>
        <w:tc>
          <w:tcPr>
            <w:tcW w:w="0" w:type="auto"/>
            <w:gridSpan w:val="3"/>
            <w:shd w:val="clear" w:color="auto" w:fill="auto"/>
            <w:vAlign w:val="bottom"/>
          </w:tcPr>
          <w:p w14:paraId="442F6BF8" w14:textId="77777777" w:rsidR="00CC25B5" w:rsidRDefault="00CC25B5">
            <w:pPr>
              <w:rPr>
                <w:rFonts w:ascii="宋体"/>
                <w:vanish/>
              </w:rPr>
            </w:pPr>
          </w:p>
        </w:tc>
        <w:tc>
          <w:tcPr>
            <w:tcW w:w="0" w:type="auto"/>
            <w:gridSpan w:val="3"/>
            <w:shd w:val="clear" w:color="auto" w:fill="auto"/>
            <w:vAlign w:val="bottom"/>
          </w:tcPr>
          <w:p w14:paraId="442F6BF9" w14:textId="77777777" w:rsidR="00CC25B5" w:rsidRDefault="00CC25B5">
            <w:pPr>
              <w:rPr>
                <w:rFonts w:ascii="宋体"/>
                <w:vanish/>
              </w:rPr>
            </w:pPr>
          </w:p>
        </w:tc>
        <w:tc>
          <w:tcPr>
            <w:tcW w:w="0" w:type="auto"/>
            <w:gridSpan w:val="3"/>
            <w:shd w:val="clear" w:color="auto" w:fill="auto"/>
            <w:vAlign w:val="bottom"/>
          </w:tcPr>
          <w:p w14:paraId="442F6BFA" w14:textId="77777777" w:rsidR="00CC25B5" w:rsidRDefault="00CC25B5">
            <w:pPr>
              <w:rPr>
                <w:rFonts w:ascii="宋体"/>
                <w:vanish/>
              </w:rPr>
            </w:pPr>
          </w:p>
        </w:tc>
        <w:tc>
          <w:tcPr>
            <w:tcW w:w="0" w:type="auto"/>
            <w:gridSpan w:val="3"/>
            <w:shd w:val="clear" w:color="auto" w:fill="auto"/>
            <w:vAlign w:val="bottom"/>
          </w:tcPr>
          <w:p w14:paraId="442F6BFB" w14:textId="77777777" w:rsidR="00CC25B5" w:rsidRDefault="00CC25B5">
            <w:pPr>
              <w:rPr>
                <w:rFonts w:ascii="宋体"/>
                <w:vanish/>
              </w:rPr>
            </w:pPr>
          </w:p>
        </w:tc>
        <w:tc>
          <w:tcPr>
            <w:tcW w:w="0" w:type="auto"/>
            <w:gridSpan w:val="3"/>
            <w:shd w:val="clear" w:color="auto" w:fill="auto"/>
            <w:vAlign w:val="bottom"/>
          </w:tcPr>
          <w:p w14:paraId="442F6BFC" w14:textId="77777777" w:rsidR="00CC25B5" w:rsidRDefault="00CC25B5">
            <w:pPr>
              <w:rPr>
                <w:rFonts w:ascii="宋体"/>
                <w:vanish/>
              </w:rPr>
            </w:pPr>
          </w:p>
        </w:tc>
        <w:tc>
          <w:tcPr>
            <w:tcW w:w="0" w:type="auto"/>
            <w:gridSpan w:val="3"/>
            <w:shd w:val="clear" w:color="auto" w:fill="auto"/>
            <w:vAlign w:val="bottom"/>
          </w:tcPr>
          <w:p w14:paraId="442F6BFD" w14:textId="77777777" w:rsidR="00CC25B5" w:rsidRDefault="00CC25B5">
            <w:pPr>
              <w:rPr>
                <w:rFonts w:ascii="宋体"/>
                <w:vanish/>
              </w:rPr>
            </w:pPr>
          </w:p>
        </w:tc>
        <w:tc>
          <w:tcPr>
            <w:tcW w:w="0" w:type="auto"/>
            <w:gridSpan w:val="3"/>
            <w:shd w:val="clear" w:color="auto" w:fill="auto"/>
            <w:vAlign w:val="bottom"/>
          </w:tcPr>
          <w:p w14:paraId="442F6BFE" w14:textId="77777777" w:rsidR="00CC25B5" w:rsidRDefault="00CC25B5">
            <w:pPr>
              <w:rPr>
                <w:rFonts w:ascii="宋体"/>
                <w:vanish/>
              </w:rPr>
            </w:pPr>
          </w:p>
        </w:tc>
        <w:tc>
          <w:tcPr>
            <w:tcW w:w="0" w:type="auto"/>
            <w:gridSpan w:val="3"/>
            <w:shd w:val="clear" w:color="auto" w:fill="auto"/>
            <w:vAlign w:val="bottom"/>
          </w:tcPr>
          <w:p w14:paraId="442F6BFF" w14:textId="77777777" w:rsidR="00CC25B5" w:rsidRDefault="00CC25B5">
            <w:pPr>
              <w:rPr>
                <w:rFonts w:ascii="宋体"/>
                <w:vanish/>
              </w:rPr>
            </w:pPr>
          </w:p>
        </w:tc>
        <w:tc>
          <w:tcPr>
            <w:tcW w:w="0" w:type="auto"/>
            <w:gridSpan w:val="3"/>
            <w:shd w:val="clear" w:color="auto" w:fill="auto"/>
            <w:vAlign w:val="bottom"/>
          </w:tcPr>
          <w:p w14:paraId="442F6C00" w14:textId="77777777" w:rsidR="00CC25B5" w:rsidRDefault="00CC25B5">
            <w:pPr>
              <w:rPr>
                <w:rFonts w:ascii="宋体"/>
                <w:vanish/>
              </w:rPr>
            </w:pPr>
          </w:p>
        </w:tc>
        <w:tc>
          <w:tcPr>
            <w:tcW w:w="0" w:type="auto"/>
            <w:gridSpan w:val="3"/>
            <w:shd w:val="clear" w:color="auto" w:fill="auto"/>
            <w:vAlign w:val="bottom"/>
          </w:tcPr>
          <w:p w14:paraId="442F6C01" w14:textId="77777777" w:rsidR="00CC25B5" w:rsidRDefault="00CC25B5">
            <w:pPr>
              <w:rPr>
                <w:rFonts w:ascii="宋体"/>
                <w:vanish/>
              </w:rPr>
            </w:pPr>
          </w:p>
        </w:tc>
        <w:tc>
          <w:tcPr>
            <w:tcW w:w="0" w:type="auto"/>
            <w:shd w:val="clear" w:color="auto" w:fill="auto"/>
            <w:vAlign w:val="bottom"/>
          </w:tcPr>
          <w:p w14:paraId="442F6C02" w14:textId="77777777" w:rsidR="00CC25B5" w:rsidRDefault="00CC25B5">
            <w:pPr>
              <w:rPr>
                <w:rFonts w:ascii="宋体"/>
                <w:vanish/>
              </w:rPr>
            </w:pPr>
          </w:p>
        </w:tc>
        <w:tc>
          <w:tcPr>
            <w:tcW w:w="0" w:type="auto"/>
            <w:shd w:val="clear" w:color="auto" w:fill="auto"/>
            <w:vAlign w:val="bottom"/>
          </w:tcPr>
          <w:p w14:paraId="442F6C03" w14:textId="77777777" w:rsidR="00CC25B5" w:rsidRDefault="00CC25B5">
            <w:pPr>
              <w:rPr>
                <w:rFonts w:ascii="宋体"/>
                <w:vanish/>
              </w:rPr>
            </w:pPr>
          </w:p>
        </w:tc>
        <w:tc>
          <w:tcPr>
            <w:tcW w:w="0" w:type="auto"/>
            <w:shd w:val="clear" w:color="auto" w:fill="auto"/>
            <w:vAlign w:val="bottom"/>
          </w:tcPr>
          <w:p w14:paraId="442F6C04" w14:textId="77777777" w:rsidR="00CC25B5" w:rsidRDefault="00CC25B5">
            <w:pPr>
              <w:rPr>
                <w:rFonts w:ascii="宋体"/>
                <w:vanish/>
              </w:rPr>
            </w:pPr>
          </w:p>
        </w:tc>
      </w:tr>
      <w:tr w:rsidR="00CC25B5" w14:paraId="442F6C19" w14:textId="77777777">
        <w:trPr>
          <w:hidden/>
        </w:trPr>
        <w:tc>
          <w:tcPr>
            <w:tcW w:w="0" w:type="auto"/>
            <w:gridSpan w:val="3"/>
            <w:shd w:val="clear" w:color="auto" w:fill="auto"/>
            <w:vAlign w:val="bottom"/>
          </w:tcPr>
          <w:p w14:paraId="442F6C06" w14:textId="77777777" w:rsidR="00CC25B5" w:rsidRDefault="00CC25B5">
            <w:pPr>
              <w:rPr>
                <w:rFonts w:ascii="宋体"/>
                <w:vanish/>
              </w:rPr>
            </w:pPr>
          </w:p>
        </w:tc>
        <w:tc>
          <w:tcPr>
            <w:tcW w:w="0" w:type="auto"/>
            <w:gridSpan w:val="3"/>
            <w:shd w:val="clear" w:color="auto" w:fill="auto"/>
            <w:vAlign w:val="bottom"/>
          </w:tcPr>
          <w:p w14:paraId="442F6C07" w14:textId="77777777" w:rsidR="00CC25B5" w:rsidRDefault="00CC25B5">
            <w:pPr>
              <w:rPr>
                <w:rFonts w:ascii="宋体"/>
                <w:vanish/>
              </w:rPr>
            </w:pPr>
          </w:p>
        </w:tc>
        <w:tc>
          <w:tcPr>
            <w:tcW w:w="0" w:type="auto"/>
            <w:gridSpan w:val="3"/>
            <w:shd w:val="clear" w:color="auto" w:fill="auto"/>
            <w:vAlign w:val="bottom"/>
          </w:tcPr>
          <w:p w14:paraId="442F6C08" w14:textId="77777777" w:rsidR="00CC25B5" w:rsidRDefault="00CC25B5">
            <w:pPr>
              <w:rPr>
                <w:rFonts w:ascii="宋体"/>
                <w:vanish/>
              </w:rPr>
            </w:pPr>
          </w:p>
        </w:tc>
        <w:tc>
          <w:tcPr>
            <w:tcW w:w="0" w:type="auto"/>
            <w:gridSpan w:val="3"/>
            <w:shd w:val="clear" w:color="auto" w:fill="auto"/>
            <w:vAlign w:val="bottom"/>
          </w:tcPr>
          <w:p w14:paraId="442F6C09" w14:textId="77777777" w:rsidR="00CC25B5" w:rsidRDefault="00CC25B5">
            <w:pPr>
              <w:rPr>
                <w:rFonts w:ascii="宋体"/>
                <w:vanish/>
              </w:rPr>
            </w:pPr>
          </w:p>
        </w:tc>
        <w:tc>
          <w:tcPr>
            <w:tcW w:w="0" w:type="auto"/>
            <w:gridSpan w:val="3"/>
            <w:shd w:val="clear" w:color="auto" w:fill="auto"/>
            <w:vAlign w:val="bottom"/>
          </w:tcPr>
          <w:p w14:paraId="442F6C0A" w14:textId="77777777" w:rsidR="00CC25B5" w:rsidRDefault="00CC25B5">
            <w:pPr>
              <w:rPr>
                <w:rFonts w:ascii="宋体"/>
                <w:vanish/>
              </w:rPr>
            </w:pPr>
          </w:p>
        </w:tc>
        <w:tc>
          <w:tcPr>
            <w:tcW w:w="0" w:type="auto"/>
            <w:gridSpan w:val="3"/>
            <w:shd w:val="clear" w:color="auto" w:fill="auto"/>
            <w:vAlign w:val="bottom"/>
          </w:tcPr>
          <w:p w14:paraId="442F6C0B" w14:textId="77777777" w:rsidR="00CC25B5" w:rsidRDefault="00CC25B5">
            <w:pPr>
              <w:rPr>
                <w:rFonts w:ascii="宋体"/>
                <w:vanish/>
              </w:rPr>
            </w:pPr>
          </w:p>
        </w:tc>
        <w:tc>
          <w:tcPr>
            <w:tcW w:w="0" w:type="auto"/>
            <w:gridSpan w:val="3"/>
            <w:shd w:val="clear" w:color="auto" w:fill="auto"/>
            <w:vAlign w:val="bottom"/>
          </w:tcPr>
          <w:p w14:paraId="442F6C0C" w14:textId="77777777" w:rsidR="00CC25B5" w:rsidRDefault="00CC25B5">
            <w:pPr>
              <w:rPr>
                <w:rFonts w:ascii="宋体"/>
                <w:vanish/>
              </w:rPr>
            </w:pPr>
          </w:p>
        </w:tc>
        <w:tc>
          <w:tcPr>
            <w:tcW w:w="0" w:type="auto"/>
            <w:gridSpan w:val="3"/>
            <w:shd w:val="clear" w:color="auto" w:fill="auto"/>
            <w:vAlign w:val="bottom"/>
          </w:tcPr>
          <w:p w14:paraId="442F6C0D" w14:textId="77777777" w:rsidR="00CC25B5" w:rsidRDefault="00CC25B5">
            <w:pPr>
              <w:rPr>
                <w:rFonts w:ascii="宋体"/>
                <w:vanish/>
              </w:rPr>
            </w:pPr>
          </w:p>
        </w:tc>
        <w:tc>
          <w:tcPr>
            <w:tcW w:w="0" w:type="auto"/>
            <w:gridSpan w:val="3"/>
            <w:shd w:val="clear" w:color="auto" w:fill="auto"/>
            <w:vAlign w:val="bottom"/>
          </w:tcPr>
          <w:p w14:paraId="442F6C0E" w14:textId="77777777" w:rsidR="00CC25B5" w:rsidRDefault="00CC25B5">
            <w:pPr>
              <w:rPr>
                <w:rFonts w:ascii="宋体"/>
                <w:vanish/>
              </w:rPr>
            </w:pPr>
          </w:p>
        </w:tc>
        <w:tc>
          <w:tcPr>
            <w:tcW w:w="0" w:type="auto"/>
            <w:gridSpan w:val="3"/>
            <w:shd w:val="clear" w:color="auto" w:fill="auto"/>
            <w:vAlign w:val="bottom"/>
          </w:tcPr>
          <w:p w14:paraId="442F6C0F" w14:textId="77777777" w:rsidR="00CC25B5" w:rsidRDefault="00CC25B5">
            <w:pPr>
              <w:rPr>
                <w:rFonts w:ascii="宋体"/>
                <w:vanish/>
              </w:rPr>
            </w:pPr>
          </w:p>
        </w:tc>
        <w:tc>
          <w:tcPr>
            <w:tcW w:w="0" w:type="auto"/>
            <w:gridSpan w:val="3"/>
            <w:shd w:val="clear" w:color="auto" w:fill="auto"/>
            <w:vAlign w:val="bottom"/>
          </w:tcPr>
          <w:p w14:paraId="442F6C10" w14:textId="77777777" w:rsidR="00CC25B5" w:rsidRDefault="00CC25B5">
            <w:pPr>
              <w:rPr>
                <w:rFonts w:ascii="宋体"/>
                <w:vanish/>
              </w:rPr>
            </w:pPr>
          </w:p>
        </w:tc>
        <w:tc>
          <w:tcPr>
            <w:tcW w:w="0" w:type="auto"/>
            <w:gridSpan w:val="3"/>
            <w:shd w:val="clear" w:color="auto" w:fill="auto"/>
            <w:vAlign w:val="bottom"/>
          </w:tcPr>
          <w:p w14:paraId="442F6C11" w14:textId="77777777" w:rsidR="00CC25B5" w:rsidRDefault="00CC25B5">
            <w:pPr>
              <w:rPr>
                <w:rFonts w:ascii="宋体"/>
                <w:vanish/>
              </w:rPr>
            </w:pPr>
          </w:p>
        </w:tc>
        <w:tc>
          <w:tcPr>
            <w:tcW w:w="0" w:type="auto"/>
            <w:gridSpan w:val="3"/>
            <w:shd w:val="clear" w:color="auto" w:fill="auto"/>
            <w:vAlign w:val="bottom"/>
          </w:tcPr>
          <w:p w14:paraId="442F6C12" w14:textId="77777777" w:rsidR="00CC25B5" w:rsidRDefault="00CC25B5">
            <w:pPr>
              <w:rPr>
                <w:rFonts w:ascii="宋体"/>
                <w:vanish/>
              </w:rPr>
            </w:pPr>
          </w:p>
        </w:tc>
        <w:tc>
          <w:tcPr>
            <w:tcW w:w="0" w:type="auto"/>
            <w:gridSpan w:val="3"/>
            <w:shd w:val="clear" w:color="auto" w:fill="auto"/>
            <w:vAlign w:val="bottom"/>
          </w:tcPr>
          <w:p w14:paraId="442F6C13" w14:textId="77777777" w:rsidR="00CC25B5" w:rsidRDefault="00CC25B5">
            <w:pPr>
              <w:rPr>
                <w:rFonts w:ascii="宋体"/>
                <w:vanish/>
              </w:rPr>
            </w:pPr>
          </w:p>
        </w:tc>
        <w:tc>
          <w:tcPr>
            <w:tcW w:w="0" w:type="auto"/>
            <w:gridSpan w:val="3"/>
            <w:shd w:val="clear" w:color="auto" w:fill="auto"/>
            <w:vAlign w:val="bottom"/>
          </w:tcPr>
          <w:p w14:paraId="442F6C14" w14:textId="77777777" w:rsidR="00CC25B5" w:rsidRDefault="00CC25B5">
            <w:pPr>
              <w:rPr>
                <w:rFonts w:ascii="宋体"/>
                <w:vanish/>
              </w:rPr>
            </w:pPr>
          </w:p>
        </w:tc>
        <w:tc>
          <w:tcPr>
            <w:tcW w:w="0" w:type="auto"/>
            <w:gridSpan w:val="3"/>
            <w:shd w:val="clear" w:color="auto" w:fill="auto"/>
            <w:vAlign w:val="bottom"/>
          </w:tcPr>
          <w:p w14:paraId="442F6C15" w14:textId="77777777" w:rsidR="00CC25B5" w:rsidRDefault="00CC25B5">
            <w:pPr>
              <w:rPr>
                <w:rFonts w:ascii="宋体"/>
                <w:vanish/>
              </w:rPr>
            </w:pPr>
          </w:p>
        </w:tc>
        <w:tc>
          <w:tcPr>
            <w:tcW w:w="0" w:type="auto"/>
            <w:shd w:val="clear" w:color="auto" w:fill="auto"/>
            <w:vAlign w:val="bottom"/>
          </w:tcPr>
          <w:p w14:paraId="442F6C16" w14:textId="77777777" w:rsidR="00CC25B5" w:rsidRDefault="00CC25B5">
            <w:pPr>
              <w:rPr>
                <w:rFonts w:ascii="宋体"/>
                <w:vanish/>
              </w:rPr>
            </w:pPr>
          </w:p>
        </w:tc>
        <w:tc>
          <w:tcPr>
            <w:tcW w:w="0" w:type="auto"/>
            <w:shd w:val="clear" w:color="auto" w:fill="auto"/>
            <w:vAlign w:val="bottom"/>
          </w:tcPr>
          <w:p w14:paraId="442F6C17" w14:textId="77777777" w:rsidR="00CC25B5" w:rsidRDefault="00CC25B5">
            <w:pPr>
              <w:rPr>
                <w:rFonts w:ascii="宋体"/>
                <w:vanish/>
              </w:rPr>
            </w:pPr>
          </w:p>
        </w:tc>
        <w:tc>
          <w:tcPr>
            <w:tcW w:w="0" w:type="auto"/>
            <w:shd w:val="clear" w:color="auto" w:fill="auto"/>
            <w:vAlign w:val="bottom"/>
          </w:tcPr>
          <w:p w14:paraId="442F6C18" w14:textId="77777777" w:rsidR="00CC25B5" w:rsidRDefault="00CC25B5">
            <w:pPr>
              <w:rPr>
                <w:rFonts w:ascii="宋体"/>
                <w:vanish/>
              </w:rPr>
            </w:pPr>
          </w:p>
        </w:tc>
      </w:tr>
      <w:tr w:rsidR="00CC25B5" w14:paraId="442F6C2D" w14:textId="77777777">
        <w:trPr>
          <w:hidden/>
        </w:trPr>
        <w:tc>
          <w:tcPr>
            <w:tcW w:w="0" w:type="auto"/>
            <w:gridSpan w:val="3"/>
            <w:shd w:val="clear" w:color="auto" w:fill="auto"/>
            <w:vAlign w:val="bottom"/>
          </w:tcPr>
          <w:p w14:paraId="442F6C1A" w14:textId="77777777" w:rsidR="00CC25B5" w:rsidRDefault="00CC25B5">
            <w:pPr>
              <w:rPr>
                <w:rFonts w:ascii="宋体"/>
                <w:vanish/>
              </w:rPr>
            </w:pPr>
          </w:p>
        </w:tc>
        <w:tc>
          <w:tcPr>
            <w:tcW w:w="0" w:type="auto"/>
            <w:gridSpan w:val="3"/>
            <w:shd w:val="clear" w:color="auto" w:fill="auto"/>
            <w:vAlign w:val="bottom"/>
          </w:tcPr>
          <w:p w14:paraId="442F6C1B" w14:textId="77777777" w:rsidR="00CC25B5" w:rsidRDefault="00CC25B5">
            <w:pPr>
              <w:rPr>
                <w:rFonts w:ascii="宋体"/>
                <w:vanish/>
              </w:rPr>
            </w:pPr>
          </w:p>
        </w:tc>
        <w:tc>
          <w:tcPr>
            <w:tcW w:w="0" w:type="auto"/>
            <w:gridSpan w:val="3"/>
            <w:shd w:val="clear" w:color="auto" w:fill="auto"/>
            <w:vAlign w:val="bottom"/>
          </w:tcPr>
          <w:p w14:paraId="442F6C1C" w14:textId="77777777" w:rsidR="00CC25B5" w:rsidRDefault="00CC25B5">
            <w:pPr>
              <w:rPr>
                <w:rFonts w:ascii="宋体"/>
                <w:vanish/>
              </w:rPr>
            </w:pPr>
          </w:p>
        </w:tc>
        <w:tc>
          <w:tcPr>
            <w:tcW w:w="0" w:type="auto"/>
            <w:gridSpan w:val="3"/>
            <w:shd w:val="clear" w:color="auto" w:fill="auto"/>
            <w:vAlign w:val="bottom"/>
          </w:tcPr>
          <w:p w14:paraId="442F6C1D" w14:textId="77777777" w:rsidR="00CC25B5" w:rsidRDefault="00CC25B5">
            <w:pPr>
              <w:rPr>
                <w:rFonts w:ascii="宋体"/>
                <w:vanish/>
              </w:rPr>
            </w:pPr>
          </w:p>
        </w:tc>
        <w:tc>
          <w:tcPr>
            <w:tcW w:w="0" w:type="auto"/>
            <w:gridSpan w:val="3"/>
            <w:shd w:val="clear" w:color="auto" w:fill="auto"/>
            <w:vAlign w:val="bottom"/>
          </w:tcPr>
          <w:p w14:paraId="442F6C1E" w14:textId="77777777" w:rsidR="00CC25B5" w:rsidRDefault="00CC25B5">
            <w:pPr>
              <w:rPr>
                <w:rFonts w:ascii="宋体"/>
                <w:vanish/>
              </w:rPr>
            </w:pPr>
          </w:p>
        </w:tc>
        <w:tc>
          <w:tcPr>
            <w:tcW w:w="0" w:type="auto"/>
            <w:gridSpan w:val="3"/>
            <w:shd w:val="clear" w:color="auto" w:fill="auto"/>
            <w:vAlign w:val="bottom"/>
          </w:tcPr>
          <w:p w14:paraId="442F6C1F" w14:textId="77777777" w:rsidR="00CC25B5" w:rsidRDefault="00CC25B5">
            <w:pPr>
              <w:rPr>
                <w:rFonts w:ascii="宋体"/>
                <w:vanish/>
              </w:rPr>
            </w:pPr>
          </w:p>
        </w:tc>
        <w:tc>
          <w:tcPr>
            <w:tcW w:w="0" w:type="auto"/>
            <w:gridSpan w:val="3"/>
            <w:shd w:val="clear" w:color="auto" w:fill="auto"/>
            <w:vAlign w:val="bottom"/>
          </w:tcPr>
          <w:p w14:paraId="442F6C20" w14:textId="77777777" w:rsidR="00CC25B5" w:rsidRDefault="00CC25B5">
            <w:pPr>
              <w:rPr>
                <w:rFonts w:ascii="宋体"/>
                <w:vanish/>
              </w:rPr>
            </w:pPr>
          </w:p>
        </w:tc>
        <w:tc>
          <w:tcPr>
            <w:tcW w:w="0" w:type="auto"/>
            <w:gridSpan w:val="3"/>
            <w:shd w:val="clear" w:color="auto" w:fill="auto"/>
            <w:vAlign w:val="bottom"/>
          </w:tcPr>
          <w:p w14:paraId="442F6C21" w14:textId="77777777" w:rsidR="00CC25B5" w:rsidRDefault="00CC25B5">
            <w:pPr>
              <w:rPr>
                <w:rFonts w:ascii="宋体"/>
                <w:vanish/>
              </w:rPr>
            </w:pPr>
          </w:p>
        </w:tc>
        <w:tc>
          <w:tcPr>
            <w:tcW w:w="0" w:type="auto"/>
            <w:gridSpan w:val="3"/>
            <w:shd w:val="clear" w:color="auto" w:fill="auto"/>
            <w:vAlign w:val="bottom"/>
          </w:tcPr>
          <w:p w14:paraId="442F6C22" w14:textId="77777777" w:rsidR="00CC25B5" w:rsidRDefault="00CC25B5">
            <w:pPr>
              <w:rPr>
                <w:rFonts w:ascii="宋体"/>
                <w:vanish/>
              </w:rPr>
            </w:pPr>
          </w:p>
        </w:tc>
        <w:tc>
          <w:tcPr>
            <w:tcW w:w="0" w:type="auto"/>
            <w:gridSpan w:val="3"/>
            <w:shd w:val="clear" w:color="auto" w:fill="auto"/>
            <w:vAlign w:val="bottom"/>
          </w:tcPr>
          <w:p w14:paraId="442F6C23" w14:textId="77777777" w:rsidR="00CC25B5" w:rsidRDefault="00CC25B5">
            <w:pPr>
              <w:rPr>
                <w:rFonts w:ascii="宋体"/>
                <w:vanish/>
              </w:rPr>
            </w:pPr>
          </w:p>
        </w:tc>
        <w:tc>
          <w:tcPr>
            <w:tcW w:w="0" w:type="auto"/>
            <w:gridSpan w:val="3"/>
            <w:shd w:val="clear" w:color="auto" w:fill="auto"/>
            <w:vAlign w:val="bottom"/>
          </w:tcPr>
          <w:p w14:paraId="442F6C24" w14:textId="77777777" w:rsidR="00CC25B5" w:rsidRDefault="00CC25B5">
            <w:pPr>
              <w:rPr>
                <w:rFonts w:ascii="宋体"/>
                <w:vanish/>
              </w:rPr>
            </w:pPr>
          </w:p>
        </w:tc>
        <w:tc>
          <w:tcPr>
            <w:tcW w:w="0" w:type="auto"/>
            <w:gridSpan w:val="3"/>
            <w:shd w:val="clear" w:color="auto" w:fill="auto"/>
            <w:vAlign w:val="bottom"/>
          </w:tcPr>
          <w:p w14:paraId="442F6C25" w14:textId="77777777" w:rsidR="00CC25B5" w:rsidRDefault="00CC25B5">
            <w:pPr>
              <w:rPr>
                <w:rFonts w:ascii="宋体"/>
                <w:vanish/>
              </w:rPr>
            </w:pPr>
          </w:p>
        </w:tc>
        <w:tc>
          <w:tcPr>
            <w:tcW w:w="0" w:type="auto"/>
            <w:gridSpan w:val="3"/>
            <w:shd w:val="clear" w:color="auto" w:fill="auto"/>
            <w:vAlign w:val="bottom"/>
          </w:tcPr>
          <w:p w14:paraId="442F6C26" w14:textId="77777777" w:rsidR="00CC25B5" w:rsidRDefault="00CC25B5">
            <w:pPr>
              <w:rPr>
                <w:rFonts w:ascii="宋体"/>
                <w:vanish/>
              </w:rPr>
            </w:pPr>
          </w:p>
        </w:tc>
        <w:tc>
          <w:tcPr>
            <w:tcW w:w="0" w:type="auto"/>
            <w:gridSpan w:val="3"/>
            <w:shd w:val="clear" w:color="auto" w:fill="auto"/>
            <w:vAlign w:val="bottom"/>
          </w:tcPr>
          <w:p w14:paraId="442F6C27" w14:textId="77777777" w:rsidR="00CC25B5" w:rsidRDefault="00CC25B5">
            <w:pPr>
              <w:rPr>
                <w:rFonts w:ascii="宋体"/>
                <w:vanish/>
              </w:rPr>
            </w:pPr>
          </w:p>
        </w:tc>
        <w:tc>
          <w:tcPr>
            <w:tcW w:w="0" w:type="auto"/>
            <w:gridSpan w:val="3"/>
            <w:shd w:val="clear" w:color="auto" w:fill="auto"/>
            <w:vAlign w:val="bottom"/>
          </w:tcPr>
          <w:p w14:paraId="442F6C28" w14:textId="77777777" w:rsidR="00CC25B5" w:rsidRDefault="00CC25B5">
            <w:pPr>
              <w:rPr>
                <w:rFonts w:ascii="宋体"/>
                <w:vanish/>
              </w:rPr>
            </w:pPr>
          </w:p>
        </w:tc>
        <w:tc>
          <w:tcPr>
            <w:tcW w:w="0" w:type="auto"/>
            <w:gridSpan w:val="3"/>
            <w:shd w:val="clear" w:color="auto" w:fill="auto"/>
            <w:vAlign w:val="bottom"/>
          </w:tcPr>
          <w:p w14:paraId="442F6C29" w14:textId="77777777" w:rsidR="00CC25B5" w:rsidRDefault="00CC25B5">
            <w:pPr>
              <w:rPr>
                <w:rFonts w:ascii="宋体"/>
                <w:vanish/>
              </w:rPr>
            </w:pPr>
          </w:p>
        </w:tc>
        <w:tc>
          <w:tcPr>
            <w:tcW w:w="0" w:type="auto"/>
            <w:shd w:val="clear" w:color="auto" w:fill="auto"/>
            <w:vAlign w:val="bottom"/>
          </w:tcPr>
          <w:p w14:paraId="442F6C2A" w14:textId="77777777" w:rsidR="00CC25B5" w:rsidRDefault="00CC25B5">
            <w:pPr>
              <w:rPr>
                <w:rFonts w:ascii="宋体"/>
                <w:vanish/>
              </w:rPr>
            </w:pPr>
          </w:p>
        </w:tc>
        <w:tc>
          <w:tcPr>
            <w:tcW w:w="0" w:type="auto"/>
            <w:shd w:val="clear" w:color="auto" w:fill="auto"/>
            <w:vAlign w:val="bottom"/>
          </w:tcPr>
          <w:p w14:paraId="442F6C2B" w14:textId="77777777" w:rsidR="00CC25B5" w:rsidRDefault="00CC25B5">
            <w:pPr>
              <w:rPr>
                <w:rFonts w:ascii="宋体"/>
                <w:vanish/>
              </w:rPr>
            </w:pPr>
          </w:p>
        </w:tc>
        <w:tc>
          <w:tcPr>
            <w:tcW w:w="0" w:type="auto"/>
            <w:shd w:val="clear" w:color="auto" w:fill="auto"/>
            <w:vAlign w:val="bottom"/>
          </w:tcPr>
          <w:p w14:paraId="442F6C2C" w14:textId="77777777" w:rsidR="00CC25B5" w:rsidRDefault="00CC25B5">
            <w:pPr>
              <w:rPr>
                <w:rFonts w:ascii="宋体"/>
                <w:vanish/>
              </w:rPr>
            </w:pPr>
          </w:p>
        </w:tc>
      </w:tr>
      <w:tr w:rsidR="00CC25B5" w14:paraId="442F6C41" w14:textId="77777777">
        <w:trPr>
          <w:hidden/>
        </w:trPr>
        <w:tc>
          <w:tcPr>
            <w:tcW w:w="0" w:type="auto"/>
            <w:gridSpan w:val="3"/>
            <w:shd w:val="clear" w:color="auto" w:fill="auto"/>
            <w:vAlign w:val="bottom"/>
          </w:tcPr>
          <w:p w14:paraId="442F6C2E" w14:textId="77777777" w:rsidR="00CC25B5" w:rsidRDefault="00CC25B5">
            <w:pPr>
              <w:rPr>
                <w:rFonts w:ascii="宋体"/>
                <w:vanish/>
              </w:rPr>
            </w:pPr>
          </w:p>
        </w:tc>
        <w:tc>
          <w:tcPr>
            <w:tcW w:w="0" w:type="auto"/>
            <w:gridSpan w:val="3"/>
            <w:shd w:val="clear" w:color="auto" w:fill="auto"/>
            <w:vAlign w:val="bottom"/>
          </w:tcPr>
          <w:p w14:paraId="442F6C2F" w14:textId="77777777" w:rsidR="00CC25B5" w:rsidRDefault="00CC25B5">
            <w:pPr>
              <w:rPr>
                <w:rFonts w:ascii="宋体"/>
                <w:vanish/>
              </w:rPr>
            </w:pPr>
          </w:p>
        </w:tc>
        <w:tc>
          <w:tcPr>
            <w:tcW w:w="0" w:type="auto"/>
            <w:gridSpan w:val="3"/>
            <w:shd w:val="clear" w:color="auto" w:fill="auto"/>
            <w:vAlign w:val="bottom"/>
          </w:tcPr>
          <w:p w14:paraId="442F6C30" w14:textId="77777777" w:rsidR="00CC25B5" w:rsidRDefault="00CC25B5">
            <w:pPr>
              <w:rPr>
                <w:rFonts w:ascii="宋体"/>
                <w:vanish/>
              </w:rPr>
            </w:pPr>
          </w:p>
        </w:tc>
        <w:tc>
          <w:tcPr>
            <w:tcW w:w="0" w:type="auto"/>
            <w:gridSpan w:val="3"/>
            <w:shd w:val="clear" w:color="auto" w:fill="auto"/>
            <w:vAlign w:val="bottom"/>
          </w:tcPr>
          <w:p w14:paraId="442F6C31" w14:textId="77777777" w:rsidR="00CC25B5" w:rsidRDefault="00CC25B5">
            <w:pPr>
              <w:rPr>
                <w:rFonts w:ascii="宋体"/>
                <w:vanish/>
              </w:rPr>
            </w:pPr>
          </w:p>
        </w:tc>
        <w:tc>
          <w:tcPr>
            <w:tcW w:w="0" w:type="auto"/>
            <w:gridSpan w:val="3"/>
            <w:shd w:val="clear" w:color="auto" w:fill="auto"/>
            <w:vAlign w:val="bottom"/>
          </w:tcPr>
          <w:p w14:paraId="442F6C32" w14:textId="77777777" w:rsidR="00CC25B5" w:rsidRDefault="00CC25B5">
            <w:pPr>
              <w:rPr>
                <w:rFonts w:ascii="宋体"/>
                <w:vanish/>
              </w:rPr>
            </w:pPr>
          </w:p>
        </w:tc>
        <w:tc>
          <w:tcPr>
            <w:tcW w:w="0" w:type="auto"/>
            <w:gridSpan w:val="3"/>
            <w:shd w:val="clear" w:color="auto" w:fill="auto"/>
            <w:vAlign w:val="bottom"/>
          </w:tcPr>
          <w:p w14:paraId="442F6C33" w14:textId="77777777" w:rsidR="00CC25B5" w:rsidRDefault="00CC25B5">
            <w:pPr>
              <w:rPr>
                <w:rFonts w:ascii="宋体"/>
                <w:vanish/>
              </w:rPr>
            </w:pPr>
          </w:p>
        </w:tc>
        <w:tc>
          <w:tcPr>
            <w:tcW w:w="0" w:type="auto"/>
            <w:gridSpan w:val="3"/>
            <w:shd w:val="clear" w:color="auto" w:fill="auto"/>
            <w:vAlign w:val="bottom"/>
          </w:tcPr>
          <w:p w14:paraId="442F6C34" w14:textId="77777777" w:rsidR="00CC25B5" w:rsidRDefault="00CC25B5">
            <w:pPr>
              <w:rPr>
                <w:rFonts w:ascii="宋体"/>
                <w:vanish/>
              </w:rPr>
            </w:pPr>
          </w:p>
        </w:tc>
        <w:tc>
          <w:tcPr>
            <w:tcW w:w="0" w:type="auto"/>
            <w:gridSpan w:val="3"/>
            <w:shd w:val="clear" w:color="auto" w:fill="auto"/>
            <w:vAlign w:val="bottom"/>
          </w:tcPr>
          <w:p w14:paraId="442F6C35" w14:textId="77777777" w:rsidR="00CC25B5" w:rsidRDefault="00CC25B5">
            <w:pPr>
              <w:rPr>
                <w:rFonts w:ascii="宋体"/>
                <w:vanish/>
              </w:rPr>
            </w:pPr>
          </w:p>
        </w:tc>
        <w:tc>
          <w:tcPr>
            <w:tcW w:w="0" w:type="auto"/>
            <w:gridSpan w:val="3"/>
            <w:shd w:val="clear" w:color="auto" w:fill="auto"/>
            <w:vAlign w:val="bottom"/>
          </w:tcPr>
          <w:p w14:paraId="442F6C36" w14:textId="77777777" w:rsidR="00CC25B5" w:rsidRDefault="00CC25B5">
            <w:pPr>
              <w:rPr>
                <w:rFonts w:ascii="宋体"/>
                <w:vanish/>
              </w:rPr>
            </w:pPr>
          </w:p>
        </w:tc>
        <w:tc>
          <w:tcPr>
            <w:tcW w:w="0" w:type="auto"/>
            <w:gridSpan w:val="3"/>
            <w:shd w:val="clear" w:color="auto" w:fill="auto"/>
            <w:vAlign w:val="bottom"/>
          </w:tcPr>
          <w:p w14:paraId="442F6C37" w14:textId="77777777" w:rsidR="00CC25B5" w:rsidRDefault="00CC25B5">
            <w:pPr>
              <w:rPr>
                <w:rFonts w:ascii="宋体"/>
                <w:vanish/>
              </w:rPr>
            </w:pPr>
          </w:p>
        </w:tc>
        <w:tc>
          <w:tcPr>
            <w:tcW w:w="0" w:type="auto"/>
            <w:gridSpan w:val="3"/>
            <w:shd w:val="clear" w:color="auto" w:fill="auto"/>
            <w:vAlign w:val="bottom"/>
          </w:tcPr>
          <w:p w14:paraId="442F6C38" w14:textId="77777777" w:rsidR="00CC25B5" w:rsidRDefault="00CC25B5">
            <w:pPr>
              <w:rPr>
                <w:rFonts w:ascii="宋体"/>
                <w:vanish/>
              </w:rPr>
            </w:pPr>
          </w:p>
        </w:tc>
        <w:tc>
          <w:tcPr>
            <w:tcW w:w="0" w:type="auto"/>
            <w:gridSpan w:val="3"/>
            <w:shd w:val="clear" w:color="auto" w:fill="auto"/>
            <w:vAlign w:val="bottom"/>
          </w:tcPr>
          <w:p w14:paraId="442F6C39" w14:textId="77777777" w:rsidR="00CC25B5" w:rsidRDefault="00CC25B5">
            <w:pPr>
              <w:rPr>
                <w:rFonts w:ascii="宋体"/>
                <w:vanish/>
              </w:rPr>
            </w:pPr>
          </w:p>
        </w:tc>
        <w:tc>
          <w:tcPr>
            <w:tcW w:w="0" w:type="auto"/>
            <w:gridSpan w:val="3"/>
            <w:shd w:val="clear" w:color="auto" w:fill="auto"/>
            <w:vAlign w:val="bottom"/>
          </w:tcPr>
          <w:p w14:paraId="442F6C3A" w14:textId="77777777" w:rsidR="00CC25B5" w:rsidRDefault="00CC25B5">
            <w:pPr>
              <w:rPr>
                <w:rFonts w:ascii="宋体"/>
                <w:vanish/>
              </w:rPr>
            </w:pPr>
          </w:p>
        </w:tc>
        <w:tc>
          <w:tcPr>
            <w:tcW w:w="0" w:type="auto"/>
            <w:gridSpan w:val="3"/>
            <w:shd w:val="clear" w:color="auto" w:fill="auto"/>
            <w:vAlign w:val="bottom"/>
          </w:tcPr>
          <w:p w14:paraId="442F6C3B" w14:textId="77777777" w:rsidR="00CC25B5" w:rsidRDefault="00CC25B5">
            <w:pPr>
              <w:rPr>
                <w:rFonts w:ascii="宋体"/>
                <w:vanish/>
              </w:rPr>
            </w:pPr>
          </w:p>
        </w:tc>
        <w:tc>
          <w:tcPr>
            <w:tcW w:w="0" w:type="auto"/>
            <w:gridSpan w:val="3"/>
            <w:shd w:val="clear" w:color="auto" w:fill="auto"/>
            <w:vAlign w:val="bottom"/>
          </w:tcPr>
          <w:p w14:paraId="442F6C3C" w14:textId="77777777" w:rsidR="00CC25B5" w:rsidRDefault="00CC25B5">
            <w:pPr>
              <w:rPr>
                <w:rFonts w:ascii="宋体"/>
                <w:vanish/>
              </w:rPr>
            </w:pPr>
          </w:p>
        </w:tc>
        <w:tc>
          <w:tcPr>
            <w:tcW w:w="0" w:type="auto"/>
            <w:gridSpan w:val="3"/>
            <w:shd w:val="clear" w:color="auto" w:fill="auto"/>
            <w:vAlign w:val="bottom"/>
          </w:tcPr>
          <w:p w14:paraId="442F6C3D" w14:textId="77777777" w:rsidR="00CC25B5" w:rsidRDefault="00CC25B5">
            <w:pPr>
              <w:rPr>
                <w:rFonts w:ascii="宋体"/>
                <w:vanish/>
              </w:rPr>
            </w:pPr>
          </w:p>
        </w:tc>
        <w:tc>
          <w:tcPr>
            <w:tcW w:w="0" w:type="auto"/>
            <w:shd w:val="clear" w:color="auto" w:fill="auto"/>
            <w:vAlign w:val="bottom"/>
          </w:tcPr>
          <w:p w14:paraId="442F6C3E" w14:textId="77777777" w:rsidR="00CC25B5" w:rsidRDefault="00CC25B5">
            <w:pPr>
              <w:rPr>
                <w:rFonts w:ascii="宋体"/>
                <w:vanish/>
              </w:rPr>
            </w:pPr>
          </w:p>
        </w:tc>
        <w:tc>
          <w:tcPr>
            <w:tcW w:w="0" w:type="auto"/>
            <w:shd w:val="clear" w:color="auto" w:fill="auto"/>
            <w:vAlign w:val="bottom"/>
          </w:tcPr>
          <w:p w14:paraId="442F6C3F" w14:textId="77777777" w:rsidR="00CC25B5" w:rsidRDefault="00CC25B5">
            <w:pPr>
              <w:rPr>
                <w:rFonts w:ascii="宋体"/>
                <w:vanish/>
              </w:rPr>
            </w:pPr>
          </w:p>
        </w:tc>
        <w:tc>
          <w:tcPr>
            <w:tcW w:w="0" w:type="auto"/>
            <w:shd w:val="clear" w:color="auto" w:fill="auto"/>
            <w:vAlign w:val="bottom"/>
          </w:tcPr>
          <w:p w14:paraId="442F6C40" w14:textId="77777777" w:rsidR="00CC25B5" w:rsidRDefault="00CC25B5">
            <w:pPr>
              <w:rPr>
                <w:rFonts w:ascii="宋体"/>
                <w:vanish/>
              </w:rPr>
            </w:pPr>
          </w:p>
        </w:tc>
      </w:tr>
      <w:tr w:rsidR="00CC25B5" w14:paraId="442F6C55" w14:textId="77777777">
        <w:trPr>
          <w:hidden/>
        </w:trPr>
        <w:tc>
          <w:tcPr>
            <w:tcW w:w="0" w:type="auto"/>
            <w:gridSpan w:val="3"/>
            <w:shd w:val="clear" w:color="auto" w:fill="auto"/>
            <w:vAlign w:val="bottom"/>
          </w:tcPr>
          <w:p w14:paraId="442F6C42" w14:textId="77777777" w:rsidR="00CC25B5" w:rsidRDefault="00CC25B5">
            <w:pPr>
              <w:rPr>
                <w:rFonts w:ascii="宋体"/>
                <w:vanish/>
              </w:rPr>
            </w:pPr>
          </w:p>
        </w:tc>
        <w:tc>
          <w:tcPr>
            <w:tcW w:w="0" w:type="auto"/>
            <w:gridSpan w:val="3"/>
            <w:shd w:val="clear" w:color="auto" w:fill="auto"/>
            <w:vAlign w:val="bottom"/>
          </w:tcPr>
          <w:p w14:paraId="442F6C43" w14:textId="77777777" w:rsidR="00CC25B5" w:rsidRDefault="00CC25B5">
            <w:pPr>
              <w:rPr>
                <w:rFonts w:ascii="宋体"/>
                <w:vanish/>
              </w:rPr>
            </w:pPr>
          </w:p>
        </w:tc>
        <w:tc>
          <w:tcPr>
            <w:tcW w:w="0" w:type="auto"/>
            <w:gridSpan w:val="3"/>
            <w:shd w:val="clear" w:color="auto" w:fill="auto"/>
            <w:vAlign w:val="bottom"/>
          </w:tcPr>
          <w:p w14:paraId="442F6C44" w14:textId="77777777" w:rsidR="00CC25B5" w:rsidRDefault="00CC25B5">
            <w:pPr>
              <w:rPr>
                <w:rFonts w:ascii="宋体"/>
                <w:vanish/>
              </w:rPr>
            </w:pPr>
          </w:p>
        </w:tc>
        <w:tc>
          <w:tcPr>
            <w:tcW w:w="0" w:type="auto"/>
            <w:gridSpan w:val="3"/>
            <w:shd w:val="clear" w:color="auto" w:fill="auto"/>
            <w:vAlign w:val="bottom"/>
          </w:tcPr>
          <w:p w14:paraId="442F6C45" w14:textId="77777777" w:rsidR="00CC25B5" w:rsidRDefault="00CC25B5">
            <w:pPr>
              <w:rPr>
                <w:rFonts w:ascii="宋体"/>
                <w:vanish/>
              </w:rPr>
            </w:pPr>
          </w:p>
        </w:tc>
        <w:tc>
          <w:tcPr>
            <w:tcW w:w="0" w:type="auto"/>
            <w:gridSpan w:val="3"/>
            <w:shd w:val="clear" w:color="auto" w:fill="auto"/>
            <w:vAlign w:val="bottom"/>
          </w:tcPr>
          <w:p w14:paraId="442F6C46" w14:textId="77777777" w:rsidR="00CC25B5" w:rsidRDefault="00CC25B5">
            <w:pPr>
              <w:rPr>
                <w:rFonts w:ascii="宋体"/>
                <w:vanish/>
              </w:rPr>
            </w:pPr>
          </w:p>
        </w:tc>
        <w:tc>
          <w:tcPr>
            <w:tcW w:w="0" w:type="auto"/>
            <w:gridSpan w:val="3"/>
            <w:shd w:val="clear" w:color="auto" w:fill="auto"/>
            <w:vAlign w:val="bottom"/>
          </w:tcPr>
          <w:p w14:paraId="442F6C47" w14:textId="77777777" w:rsidR="00CC25B5" w:rsidRDefault="00CC25B5">
            <w:pPr>
              <w:rPr>
                <w:rFonts w:ascii="宋体"/>
                <w:vanish/>
              </w:rPr>
            </w:pPr>
          </w:p>
        </w:tc>
        <w:tc>
          <w:tcPr>
            <w:tcW w:w="0" w:type="auto"/>
            <w:gridSpan w:val="3"/>
            <w:shd w:val="clear" w:color="auto" w:fill="auto"/>
            <w:vAlign w:val="bottom"/>
          </w:tcPr>
          <w:p w14:paraId="442F6C48" w14:textId="77777777" w:rsidR="00CC25B5" w:rsidRDefault="00CC25B5">
            <w:pPr>
              <w:rPr>
                <w:rFonts w:ascii="宋体"/>
                <w:vanish/>
              </w:rPr>
            </w:pPr>
          </w:p>
        </w:tc>
        <w:tc>
          <w:tcPr>
            <w:tcW w:w="0" w:type="auto"/>
            <w:gridSpan w:val="3"/>
            <w:shd w:val="clear" w:color="auto" w:fill="auto"/>
            <w:vAlign w:val="bottom"/>
          </w:tcPr>
          <w:p w14:paraId="442F6C49" w14:textId="77777777" w:rsidR="00CC25B5" w:rsidRDefault="00CC25B5">
            <w:pPr>
              <w:rPr>
                <w:rFonts w:ascii="宋体"/>
                <w:vanish/>
              </w:rPr>
            </w:pPr>
          </w:p>
        </w:tc>
        <w:tc>
          <w:tcPr>
            <w:tcW w:w="0" w:type="auto"/>
            <w:gridSpan w:val="3"/>
            <w:shd w:val="clear" w:color="auto" w:fill="auto"/>
            <w:vAlign w:val="bottom"/>
          </w:tcPr>
          <w:p w14:paraId="442F6C4A" w14:textId="77777777" w:rsidR="00CC25B5" w:rsidRDefault="00CC25B5">
            <w:pPr>
              <w:rPr>
                <w:rFonts w:ascii="宋体"/>
                <w:vanish/>
              </w:rPr>
            </w:pPr>
          </w:p>
        </w:tc>
        <w:tc>
          <w:tcPr>
            <w:tcW w:w="0" w:type="auto"/>
            <w:gridSpan w:val="3"/>
            <w:shd w:val="clear" w:color="auto" w:fill="auto"/>
            <w:vAlign w:val="bottom"/>
          </w:tcPr>
          <w:p w14:paraId="442F6C4B" w14:textId="77777777" w:rsidR="00CC25B5" w:rsidRDefault="00CC25B5">
            <w:pPr>
              <w:rPr>
                <w:rFonts w:ascii="宋体"/>
                <w:vanish/>
              </w:rPr>
            </w:pPr>
          </w:p>
        </w:tc>
        <w:tc>
          <w:tcPr>
            <w:tcW w:w="0" w:type="auto"/>
            <w:gridSpan w:val="3"/>
            <w:shd w:val="clear" w:color="auto" w:fill="auto"/>
            <w:vAlign w:val="bottom"/>
          </w:tcPr>
          <w:p w14:paraId="442F6C4C" w14:textId="77777777" w:rsidR="00CC25B5" w:rsidRDefault="00CC25B5">
            <w:pPr>
              <w:rPr>
                <w:rFonts w:ascii="宋体"/>
                <w:vanish/>
              </w:rPr>
            </w:pPr>
          </w:p>
        </w:tc>
        <w:tc>
          <w:tcPr>
            <w:tcW w:w="0" w:type="auto"/>
            <w:gridSpan w:val="3"/>
            <w:shd w:val="clear" w:color="auto" w:fill="auto"/>
            <w:vAlign w:val="bottom"/>
          </w:tcPr>
          <w:p w14:paraId="442F6C4D" w14:textId="77777777" w:rsidR="00CC25B5" w:rsidRDefault="00CC25B5">
            <w:pPr>
              <w:rPr>
                <w:rFonts w:ascii="宋体"/>
                <w:vanish/>
              </w:rPr>
            </w:pPr>
          </w:p>
        </w:tc>
        <w:tc>
          <w:tcPr>
            <w:tcW w:w="0" w:type="auto"/>
            <w:gridSpan w:val="3"/>
            <w:shd w:val="clear" w:color="auto" w:fill="auto"/>
            <w:vAlign w:val="bottom"/>
          </w:tcPr>
          <w:p w14:paraId="442F6C4E" w14:textId="77777777" w:rsidR="00CC25B5" w:rsidRDefault="00CC25B5">
            <w:pPr>
              <w:rPr>
                <w:rFonts w:ascii="宋体"/>
                <w:vanish/>
              </w:rPr>
            </w:pPr>
          </w:p>
        </w:tc>
        <w:tc>
          <w:tcPr>
            <w:tcW w:w="0" w:type="auto"/>
            <w:gridSpan w:val="3"/>
            <w:shd w:val="clear" w:color="auto" w:fill="auto"/>
            <w:vAlign w:val="bottom"/>
          </w:tcPr>
          <w:p w14:paraId="442F6C4F" w14:textId="77777777" w:rsidR="00CC25B5" w:rsidRDefault="00CC25B5">
            <w:pPr>
              <w:rPr>
                <w:rFonts w:ascii="宋体"/>
                <w:vanish/>
              </w:rPr>
            </w:pPr>
          </w:p>
        </w:tc>
        <w:tc>
          <w:tcPr>
            <w:tcW w:w="0" w:type="auto"/>
            <w:gridSpan w:val="3"/>
            <w:shd w:val="clear" w:color="auto" w:fill="auto"/>
            <w:vAlign w:val="bottom"/>
          </w:tcPr>
          <w:p w14:paraId="442F6C50" w14:textId="77777777" w:rsidR="00CC25B5" w:rsidRDefault="00CC25B5">
            <w:pPr>
              <w:rPr>
                <w:rFonts w:ascii="宋体"/>
                <w:vanish/>
              </w:rPr>
            </w:pPr>
          </w:p>
        </w:tc>
        <w:tc>
          <w:tcPr>
            <w:tcW w:w="0" w:type="auto"/>
            <w:gridSpan w:val="3"/>
            <w:shd w:val="clear" w:color="auto" w:fill="auto"/>
            <w:vAlign w:val="bottom"/>
          </w:tcPr>
          <w:p w14:paraId="442F6C51" w14:textId="77777777" w:rsidR="00CC25B5" w:rsidRDefault="00CC25B5">
            <w:pPr>
              <w:rPr>
                <w:rFonts w:ascii="宋体"/>
                <w:vanish/>
              </w:rPr>
            </w:pPr>
          </w:p>
        </w:tc>
        <w:tc>
          <w:tcPr>
            <w:tcW w:w="0" w:type="auto"/>
            <w:shd w:val="clear" w:color="auto" w:fill="auto"/>
            <w:vAlign w:val="bottom"/>
          </w:tcPr>
          <w:p w14:paraId="442F6C52" w14:textId="77777777" w:rsidR="00CC25B5" w:rsidRDefault="00CC25B5">
            <w:pPr>
              <w:rPr>
                <w:rFonts w:ascii="宋体"/>
                <w:vanish/>
              </w:rPr>
            </w:pPr>
          </w:p>
        </w:tc>
        <w:tc>
          <w:tcPr>
            <w:tcW w:w="0" w:type="auto"/>
            <w:shd w:val="clear" w:color="auto" w:fill="auto"/>
            <w:vAlign w:val="bottom"/>
          </w:tcPr>
          <w:p w14:paraId="442F6C53" w14:textId="77777777" w:rsidR="00CC25B5" w:rsidRDefault="00CC25B5">
            <w:pPr>
              <w:rPr>
                <w:rFonts w:ascii="宋体"/>
                <w:vanish/>
              </w:rPr>
            </w:pPr>
          </w:p>
        </w:tc>
        <w:tc>
          <w:tcPr>
            <w:tcW w:w="0" w:type="auto"/>
            <w:shd w:val="clear" w:color="auto" w:fill="auto"/>
            <w:vAlign w:val="bottom"/>
          </w:tcPr>
          <w:p w14:paraId="442F6C54" w14:textId="77777777" w:rsidR="00CC25B5" w:rsidRDefault="00CC25B5">
            <w:pPr>
              <w:rPr>
                <w:rFonts w:ascii="宋体"/>
                <w:vanish/>
              </w:rPr>
            </w:pPr>
          </w:p>
        </w:tc>
      </w:tr>
      <w:tr w:rsidR="00CC25B5" w14:paraId="442F6C69" w14:textId="77777777">
        <w:trPr>
          <w:hidden/>
        </w:trPr>
        <w:tc>
          <w:tcPr>
            <w:tcW w:w="0" w:type="auto"/>
            <w:gridSpan w:val="3"/>
            <w:shd w:val="clear" w:color="auto" w:fill="auto"/>
            <w:vAlign w:val="bottom"/>
          </w:tcPr>
          <w:p w14:paraId="442F6C56" w14:textId="77777777" w:rsidR="00CC25B5" w:rsidRDefault="00CC25B5">
            <w:pPr>
              <w:rPr>
                <w:rFonts w:ascii="宋体"/>
                <w:vanish/>
              </w:rPr>
            </w:pPr>
          </w:p>
        </w:tc>
        <w:tc>
          <w:tcPr>
            <w:tcW w:w="0" w:type="auto"/>
            <w:gridSpan w:val="3"/>
            <w:shd w:val="clear" w:color="auto" w:fill="auto"/>
            <w:vAlign w:val="bottom"/>
          </w:tcPr>
          <w:p w14:paraId="442F6C57" w14:textId="77777777" w:rsidR="00CC25B5" w:rsidRDefault="00CC25B5">
            <w:pPr>
              <w:rPr>
                <w:rFonts w:ascii="宋体"/>
                <w:vanish/>
              </w:rPr>
            </w:pPr>
          </w:p>
        </w:tc>
        <w:tc>
          <w:tcPr>
            <w:tcW w:w="0" w:type="auto"/>
            <w:gridSpan w:val="3"/>
            <w:shd w:val="clear" w:color="auto" w:fill="auto"/>
            <w:vAlign w:val="bottom"/>
          </w:tcPr>
          <w:p w14:paraId="442F6C58" w14:textId="77777777" w:rsidR="00CC25B5" w:rsidRDefault="00CC25B5">
            <w:pPr>
              <w:rPr>
                <w:rFonts w:ascii="宋体"/>
                <w:vanish/>
              </w:rPr>
            </w:pPr>
          </w:p>
        </w:tc>
        <w:tc>
          <w:tcPr>
            <w:tcW w:w="0" w:type="auto"/>
            <w:gridSpan w:val="3"/>
            <w:shd w:val="clear" w:color="auto" w:fill="auto"/>
            <w:vAlign w:val="bottom"/>
          </w:tcPr>
          <w:p w14:paraId="442F6C59" w14:textId="77777777" w:rsidR="00CC25B5" w:rsidRDefault="00CC25B5">
            <w:pPr>
              <w:rPr>
                <w:rFonts w:ascii="宋体"/>
                <w:vanish/>
              </w:rPr>
            </w:pPr>
          </w:p>
        </w:tc>
        <w:tc>
          <w:tcPr>
            <w:tcW w:w="0" w:type="auto"/>
            <w:gridSpan w:val="3"/>
            <w:shd w:val="clear" w:color="auto" w:fill="auto"/>
            <w:vAlign w:val="bottom"/>
          </w:tcPr>
          <w:p w14:paraId="442F6C5A" w14:textId="77777777" w:rsidR="00CC25B5" w:rsidRDefault="00CC25B5">
            <w:pPr>
              <w:rPr>
                <w:rFonts w:ascii="宋体"/>
                <w:vanish/>
              </w:rPr>
            </w:pPr>
          </w:p>
        </w:tc>
        <w:tc>
          <w:tcPr>
            <w:tcW w:w="0" w:type="auto"/>
            <w:gridSpan w:val="3"/>
            <w:shd w:val="clear" w:color="auto" w:fill="auto"/>
            <w:vAlign w:val="bottom"/>
          </w:tcPr>
          <w:p w14:paraId="442F6C5B" w14:textId="77777777" w:rsidR="00CC25B5" w:rsidRDefault="00CC25B5">
            <w:pPr>
              <w:rPr>
                <w:rFonts w:ascii="宋体"/>
                <w:vanish/>
              </w:rPr>
            </w:pPr>
          </w:p>
        </w:tc>
        <w:tc>
          <w:tcPr>
            <w:tcW w:w="0" w:type="auto"/>
            <w:gridSpan w:val="3"/>
            <w:shd w:val="clear" w:color="auto" w:fill="auto"/>
            <w:vAlign w:val="bottom"/>
          </w:tcPr>
          <w:p w14:paraId="442F6C5C" w14:textId="77777777" w:rsidR="00CC25B5" w:rsidRDefault="00CC25B5">
            <w:pPr>
              <w:rPr>
                <w:rFonts w:ascii="宋体"/>
                <w:vanish/>
              </w:rPr>
            </w:pPr>
          </w:p>
        </w:tc>
        <w:tc>
          <w:tcPr>
            <w:tcW w:w="0" w:type="auto"/>
            <w:gridSpan w:val="3"/>
            <w:shd w:val="clear" w:color="auto" w:fill="auto"/>
            <w:vAlign w:val="bottom"/>
          </w:tcPr>
          <w:p w14:paraId="442F6C5D" w14:textId="77777777" w:rsidR="00CC25B5" w:rsidRDefault="00CC25B5">
            <w:pPr>
              <w:rPr>
                <w:rFonts w:ascii="宋体"/>
                <w:vanish/>
              </w:rPr>
            </w:pPr>
          </w:p>
        </w:tc>
        <w:tc>
          <w:tcPr>
            <w:tcW w:w="0" w:type="auto"/>
            <w:gridSpan w:val="3"/>
            <w:shd w:val="clear" w:color="auto" w:fill="auto"/>
            <w:vAlign w:val="bottom"/>
          </w:tcPr>
          <w:p w14:paraId="442F6C5E" w14:textId="77777777" w:rsidR="00CC25B5" w:rsidRDefault="00CC25B5">
            <w:pPr>
              <w:rPr>
                <w:rFonts w:ascii="宋体"/>
                <w:vanish/>
              </w:rPr>
            </w:pPr>
          </w:p>
        </w:tc>
        <w:tc>
          <w:tcPr>
            <w:tcW w:w="0" w:type="auto"/>
            <w:gridSpan w:val="3"/>
            <w:shd w:val="clear" w:color="auto" w:fill="auto"/>
            <w:vAlign w:val="bottom"/>
          </w:tcPr>
          <w:p w14:paraId="442F6C5F" w14:textId="77777777" w:rsidR="00CC25B5" w:rsidRDefault="00CC25B5">
            <w:pPr>
              <w:rPr>
                <w:rFonts w:ascii="宋体"/>
                <w:vanish/>
              </w:rPr>
            </w:pPr>
          </w:p>
        </w:tc>
        <w:tc>
          <w:tcPr>
            <w:tcW w:w="0" w:type="auto"/>
            <w:gridSpan w:val="3"/>
            <w:shd w:val="clear" w:color="auto" w:fill="auto"/>
            <w:vAlign w:val="bottom"/>
          </w:tcPr>
          <w:p w14:paraId="442F6C60" w14:textId="77777777" w:rsidR="00CC25B5" w:rsidRDefault="00CC25B5">
            <w:pPr>
              <w:rPr>
                <w:rFonts w:ascii="宋体"/>
                <w:vanish/>
              </w:rPr>
            </w:pPr>
          </w:p>
        </w:tc>
        <w:tc>
          <w:tcPr>
            <w:tcW w:w="0" w:type="auto"/>
            <w:gridSpan w:val="3"/>
            <w:shd w:val="clear" w:color="auto" w:fill="auto"/>
            <w:vAlign w:val="bottom"/>
          </w:tcPr>
          <w:p w14:paraId="442F6C61" w14:textId="77777777" w:rsidR="00CC25B5" w:rsidRDefault="00CC25B5">
            <w:pPr>
              <w:rPr>
                <w:rFonts w:ascii="宋体"/>
                <w:vanish/>
              </w:rPr>
            </w:pPr>
          </w:p>
        </w:tc>
        <w:tc>
          <w:tcPr>
            <w:tcW w:w="0" w:type="auto"/>
            <w:gridSpan w:val="3"/>
            <w:shd w:val="clear" w:color="auto" w:fill="auto"/>
            <w:vAlign w:val="bottom"/>
          </w:tcPr>
          <w:p w14:paraId="442F6C62" w14:textId="77777777" w:rsidR="00CC25B5" w:rsidRDefault="00CC25B5">
            <w:pPr>
              <w:rPr>
                <w:rFonts w:ascii="宋体"/>
                <w:vanish/>
              </w:rPr>
            </w:pPr>
          </w:p>
        </w:tc>
        <w:tc>
          <w:tcPr>
            <w:tcW w:w="0" w:type="auto"/>
            <w:gridSpan w:val="3"/>
            <w:shd w:val="clear" w:color="auto" w:fill="auto"/>
            <w:vAlign w:val="bottom"/>
          </w:tcPr>
          <w:p w14:paraId="442F6C63" w14:textId="77777777" w:rsidR="00CC25B5" w:rsidRDefault="00CC25B5">
            <w:pPr>
              <w:rPr>
                <w:rFonts w:ascii="宋体"/>
                <w:vanish/>
              </w:rPr>
            </w:pPr>
          </w:p>
        </w:tc>
        <w:tc>
          <w:tcPr>
            <w:tcW w:w="0" w:type="auto"/>
            <w:gridSpan w:val="3"/>
            <w:shd w:val="clear" w:color="auto" w:fill="auto"/>
            <w:vAlign w:val="bottom"/>
          </w:tcPr>
          <w:p w14:paraId="442F6C64" w14:textId="77777777" w:rsidR="00CC25B5" w:rsidRDefault="00CC25B5">
            <w:pPr>
              <w:rPr>
                <w:rFonts w:ascii="宋体"/>
                <w:vanish/>
              </w:rPr>
            </w:pPr>
          </w:p>
        </w:tc>
        <w:tc>
          <w:tcPr>
            <w:tcW w:w="0" w:type="auto"/>
            <w:gridSpan w:val="3"/>
            <w:shd w:val="clear" w:color="auto" w:fill="auto"/>
            <w:vAlign w:val="bottom"/>
          </w:tcPr>
          <w:p w14:paraId="442F6C65" w14:textId="77777777" w:rsidR="00CC25B5" w:rsidRDefault="00CC25B5">
            <w:pPr>
              <w:rPr>
                <w:rFonts w:ascii="宋体"/>
                <w:vanish/>
              </w:rPr>
            </w:pPr>
          </w:p>
        </w:tc>
        <w:tc>
          <w:tcPr>
            <w:tcW w:w="0" w:type="auto"/>
            <w:shd w:val="clear" w:color="auto" w:fill="auto"/>
            <w:vAlign w:val="bottom"/>
          </w:tcPr>
          <w:p w14:paraId="442F6C66" w14:textId="77777777" w:rsidR="00CC25B5" w:rsidRDefault="00CC25B5">
            <w:pPr>
              <w:rPr>
                <w:rFonts w:ascii="宋体"/>
                <w:vanish/>
              </w:rPr>
            </w:pPr>
          </w:p>
        </w:tc>
        <w:tc>
          <w:tcPr>
            <w:tcW w:w="0" w:type="auto"/>
            <w:shd w:val="clear" w:color="auto" w:fill="auto"/>
            <w:vAlign w:val="bottom"/>
          </w:tcPr>
          <w:p w14:paraId="442F6C67" w14:textId="77777777" w:rsidR="00CC25B5" w:rsidRDefault="00CC25B5">
            <w:pPr>
              <w:rPr>
                <w:rFonts w:ascii="宋体"/>
                <w:vanish/>
              </w:rPr>
            </w:pPr>
          </w:p>
        </w:tc>
        <w:tc>
          <w:tcPr>
            <w:tcW w:w="0" w:type="auto"/>
            <w:shd w:val="clear" w:color="auto" w:fill="auto"/>
            <w:vAlign w:val="bottom"/>
          </w:tcPr>
          <w:p w14:paraId="442F6C68" w14:textId="77777777" w:rsidR="00CC25B5" w:rsidRDefault="00CC25B5">
            <w:pPr>
              <w:rPr>
                <w:rFonts w:ascii="宋体"/>
                <w:vanish/>
              </w:rPr>
            </w:pPr>
          </w:p>
        </w:tc>
      </w:tr>
      <w:tr w:rsidR="00CC25B5" w14:paraId="442F6C7D" w14:textId="77777777">
        <w:trPr>
          <w:hidden/>
        </w:trPr>
        <w:tc>
          <w:tcPr>
            <w:tcW w:w="0" w:type="auto"/>
            <w:gridSpan w:val="3"/>
            <w:shd w:val="clear" w:color="auto" w:fill="auto"/>
            <w:vAlign w:val="bottom"/>
          </w:tcPr>
          <w:p w14:paraId="442F6C6A" w14:textId="77777777" w:rsidR="00CC25B5" w:rsidRDefault="00CC25B5">
            <w:pPr>
              <w:rPr>
                <w:rFonts w:ascii="宋体"/>
                <w:vanish/>
              </w:rPr>
            </w:pPr>
          </w:p>
        </w:tc>
        <w:tc>
          <w:tcPr>
            <w:tcW w:w="0" w:type="auto"/>
            <w:gridSpan w:val="3"/>
            <w:shd w:val="clear" w:color="auto" w:fill="auto"/>
            <w:vAlign w:val="bottom"/>
          </w:tcPr>
          <w:p w14:paraId="442F6C6B" w14:textId="77777777" w:rsidR="00CC25B5" w:rsidRDefault="00CC25B5">
            <w:pPr>
              <w:rPr>
                <w:rFonts w:ascii="宋体"/>
                <w:vanish/>
              </w:rPr>
            </w:pPr>
          </w:p>
        </w:tc>
        <w:tc>
          <w:tcPr>
            <w:tcW w:w="0" w:type="auto"/>
            <w:gridSpan w:val="3"/>
            <w:shd w:val="clear" w:color="auto" w:fill="auto"/>
            <w:vAlign w:val="bottom"/>
          </w:tcPr>
          <w:p w14:paraId="442F6C6C" w14:textId="77777777" w:rsidR="00CC25B5" w:rsidRDefault="00CC25B5">
            <w:pPr>
              <w:rPr>
                <w:rFonts w:ascii="宋体"/>
                <w:vanish/>
              </w:rPr>
            </w:pPr>
          </w:p>
        </w:tc>
        <w:tc>
          <w:tcPr>
            <w:tcW w:w="0" w:type="auto"/>
            <w:gridSpan w:val="3"/>
            <w:shd w:val="clear" w:color="auto" w:fill="auto"/>
            <w:vAlign w:val="bottom"/>
          </w:tcPr>
          <w:p w14:paraId="442F6C6D" w14:textId="77777777" w:rsidR="00CC25B5" w:rsidRDefault="00CC25B5">
            <w:pPr>
              <w:rPr>
                <w:rFonts w:ascii="宋体"/>
                <w:vanish/>
              </w:rPr>
            </w:pPr>
          </w:p>
        </w:tc>
        <w:tc>
          <w:tcPr>
            <w:tcW w:w="0" w:type="auto"/>
            <w:gridSpan w:val="3"/>
            <w:shd w:val="clear" w:color="auto" w:fill="auto"/>
            <w:vAlign w:val="bottom"/>
          </w:tcPr>
          <w:p w14:paraId="442F6C6E" w14:textId="77777777" w:rsidR="00CC25B5" w:rsidRDefault="00CC25B5">
            <w:pPr>
              <w:rPr>
                <w:rFonts w:ascii="宋体"/>
                <w:vanish/>
              </w:rPr>
            </w:pPr>
          </w:p>
        </w:tc>
        <w:tc>
          <w:tcPr>
            <w:tcW w:w="0" w:type="auto"/>
            <w:gridSpan w:val="3"/>
            <w:shd w:val="clear" w:color="auto" w:fill="auto"/>
            <w:vAlign w:val="bottom"/>
          </w:tcPr>
          <w:p w14:paraId="442F6C6F" w14:textId="77777777" w:rsidR="00CC25B5" w:rsidRDefault="00CC25B5">
            <w:pPr>
              <w:rPr>
                <w:rFonts w:ascii="宋体"/>
                <w:vanish/>
              </w:rPr>
            </w:pPr>
          </w:p>
        </w:tc>
        <w:tc>
          <w:tcPr>
            <w:tcW w:w="0" w:type="auto"/>
            <w:gridSpan w:val="3"/>
            <w:shd w:val="clear" w:color="auto" w:fill="auto"/>
            <w:vAlign w:val="bottom"/>
          </w:tcPr>
          <w:p w14:paraId="442F6C70" w14:textId="77777777" w:rsidR="00CC25B5" w:rsidRDefault="00CC25B5">
            <w:pPr>
              <w:rPr>
                <w:rFonts w:ascii="宋体"/>
                <w:vanish/>
              </w:rPr>
            </w:pPr>
          </w:p>
        </w:tc>
        <w:tc>
          <w:tcPr>
            <w:tcW w:w="0" w:type="auto"/>
            <w:gridSpan w:val="3"/>
            <w:shd w:val="clear" w:color="auto" w:fill="auto"/>
            <w:vAlign w:val="bottom"/>
          </w:tcPr>
          <w:p w14:paraId="442F6C71" w14:textId="77777777" w:rsidR="00CC25B5" w:rsidRDefault="00CC25B5">
            <w:pPr>
              <w:rPr>
                <w:rFonts w:ascii="宋体"/>
                <w:vanish/>
              </w:rPr>
            </w:pPr>
          </w:p>
        </w:tc>
        <w:tc>
          <w:tcPr>
            <w:tcW w:w="0" w:type="auto"/>
            <w:gridSpan w:val="3"/>
            <w:shd w:val="clear" w:color="auto" w:fill="auto"/>
            <w:vAlign w:val="bottom"/>
          </w:tcPr>
          <w:p w14:paraId="442F6C72" w14:textId="77777777" w:rsidR="00CC25B5" w:rsidRDefault="00CC25B5">
            <w:pPr>
              <w:rPr>
                <w:rFonts w:ascii="宋体"/>
                <w:vanish/>
              </w:rPr>
            </w:pPr>
          </w:p>
        </w:tc>
        <w:tc>
          <w:tcPr>
            <w:tcW w:w="0" w:type="auto"/>
            <w:gridSpan w:val="3"/>
            <w:shd w:val="clear" w:color="auto" w:fill="auto"/>
            <w:vAlign w:val="bottom"/>
          </w:tcPr>
          <w:p w14:paraId="442F6C73" w14:textId="77777777" w:rsidR="00CC25B5" w:rsidRDefault="00CC25B5">
            <w:pPr>
              <w:rPr>
                <w:rFonts w:ascii="宋体"/>
                <w:vanish/>
              </w:rPr>
            </w:pPr>
          </w:p>
        </w:tc>
        <w:tc>
          <w:tcPr>
            <w:tcW w:w="0" w:type="auto"/>
            <w:gridSpan w:val="3"/>
            <w:shd w:val="clear" w:color="auto" w:fill="auto"/>
            <w:vAlign w:val="bottom"/>
          </w:tcPr>
          <w:p w14:paraId="442F6C74" w14:textId="77777777" w:rsidR="00CC25B5" w:rsidRDefault="00CC25B5">
            <w:pPr>
              <w:rPr>
                <w:rFonts w:ascii="宋体"/>
                <w:vanish/>
              </w:rPr>
            </w:pPr>
          </w:p>
        </w:tc>
        <w:tc>
          <w:tcPr>
            <w:tcW w:w="0" w:type="auto"/>
            <w:gridSpan w:val="3"/>
            <w:shd w:val="clear" w:color="auto" w:fill="auto"/>
            <w:vAlign w:val="bottom"/>
          </w:tcPr>
          <w:p w14:paraId="442F6C75" w14:textId="77777777" w:rsidR="00CC25B5" w:rsidRDefault="00CC25B5">
            <w:pPr>
              <w:rPr>
                <w:rFonts w:ascii="宋体"/>
                <w:vanish/>
              </w:rPr>
            </w:pPr>
          </w:p>
        </w:tc>
        <w:tc>
          <w:tcPr>
            <w:tcW w:w="0" w:type="auto"/>
            <w:gridSpan w:val="3"/>
            <w:shd w:val="clear" w:color="auto" w:fill="auto"/>
            <w:vAlign w:val="bottom"/>
          </w:tcPr>
          <w:p w14:paraId="442F6C76" w14:textId="77777777" w:rsidR="00CC25B5" w:rsidRDefault="00CC25B5">
            <w:pPr>
              <w:rPr>
                <w:rFonts w:ascii="宋体"/>
                <w:vanish/>
              </w:rPr>
            </w:pPr>
          </w:p>
        </w:tc>
        <w:tc>
          <w:tcPr>
            <w:tcW w:w="0" w:type="auto"/>
            <w:gridSpan w:val="3"/>
            <w:shd w:val="clear" w:color="auto" w:fill="auto"/>
            <w:vAlign w:val="bottom"/>
          </w:tcPr>
          <w:p w14:paraId="442F6C77" w14:textId="77777777" w:rsidR="00CC25B5" w:rsidRDefault="00CC25B5">
            <w:pPr>
              <w:rPr>
                <w:rFonts w:ascii="宋体"/>
                <w:vanish/>
              </w:rPr>
            </w:pPr>
          </w:p>
        </w:tc>
        <w:tc>
          <w:tcPr>
            <w:tcW w:w="0" w:type="auto"/>
            <w:gridSpan w:val="3"/>
            <w:shd w:val="clear" w:color="auto" w:fill="auto"/>
            <w:vAlign w:val="bottom"/>
          </w:tcPr>
          <w:p w14:paraId="442F6C78" w14:textId="77777777" w:rsidR="00CC25B5" w:rsidRDefault="00CC25B5">
            <w:pPr>
              <w:rPr>
                <w:rFonts w:ascii="宋体"/>
                <w:vanish/>
              </w:rPr>
            </w:pPr>
          </w:p>
        </w:tc>
        <w:tc>
          <w:tcPr>
            <w:tcW w:w="0" w:type="auto"/>
            <w:gridSpan w:val="3"/>
            <w:shd w:val="clear" w:color="auto" w:fill="auto"/>
            <w:vAlign w:val="bottom"/>
          </w:tcPr>
          <w:p w14:paraId="442F6C79" w14:textId="77777777" w:rsidR="00CC25B5" w:rsidRDefault="00CC25B5">
            <w:pPr>
              <w:rPr>
                <w:rFonts w:ascii="宋体"/>
                <w:vanish/>
              </w:rPr>
            </w:pPr>
          </w:p>
        </w:tc>
        <w:tc>
          <w:tcPr>
            <w:tcW w:w="0" w:type="auto"/>
            <w:shd w:val="clear" w:color="auto" w:fill="auto"/>
            <w:vAlign w:val="bottom"/>
          </w:tcPr>
          <w:p w14:paraId="442F6C7A" w14:textId="77777777" w:rsidR="00CC25B5" w:rsidRDefault="00CC25B5">
            <w:pPr>
              <w:rPr>
                <w:rFonts w:ascii="宋体"/>
                <w:vanish/>
              </w:rPr>
            </w:pPr>
          </w:p>
        </w:tc>
        <w:tc>
          <w:tcPr>
            <w:tcW w:w="0" w:type="auto"/>
            <w:shd w:val="clear" w:color="auto" w:fill="auto"/>
            <w:vAlign w:val="bottom"/>
          </w:tcPr>
          <w:p w14:paraId="442F6C7B" w14:textId="77777777" w:rsidR="00CC25B5" w:rsidRDefault="00CC25B5">
            <w:pPr>
              <w:rPr>
                <w:rFonts w:ascii="宋体"/>
                <w:vanish/>
              </w:rPr>
            </w:pPr>
          </w:p>
        </w:tc>
        <w:tc>
          <w:tcPr>
            <w:tcW w:w="0" w:type="auto"/>
            <w:shd w:val="clear" w:color="auto" w:fill="auto"/>
            <w:vAlign w:val="bottom"/>
          </w:tcPr>
          <w:p w14:paraId="442F6C7C" w14:textId="77777777" w:rsidR="00CC25B5" w:rsidRDefault="00CC25B5">
            <w:pPr>
              <w:rPr>
                <w:rFonts w:ascii="宋体"/>
                <w:vanish/>
              </w:rPr>
            </w:pPr>
          </w:p>
        </w:tc>
      </w:tr>
      <w:tr w:rsidR="00CC25B5" w14:paraId="442F6C91" w14:textId="77777777">
        <w:trPr>
          <w:hidden/>
        </w:trPr>
        <w:tc>
          <w:tcPr>
            <w:tcW w:w="0" w:type="auto"/>
            <w:gridSpan w:val="3"/>
            <w:shd w:val="clear" w:color="auto" w:fill="auto"/>
            <w:vAlign w:val="bottom"/>
          </w:tcPr>
          <w:p w14:paraId="442F6C7E" w14:textId="77777777" w:rsidR="00CC25B5" w:rsidRDefault="00CC25B5">
            <w:pPr>
              <w:rPr>
                <w:rFonts w:ascii="宋体"/>
                <w:vanish/>
              </w:rPr>
            </w:pPr>
          </w:p>
        </w:tc>
        <w:tc>
          <w:tcPr>
            <w:tcW w:w="0" w:type="auto"/>
            <w:gridSpan w:val="3"/>
            <w:shd w:val="clear" w:color="auto" w:fill="auto"/>
            <w:vAlign w:val="bottom"/>
          </w:tcPr>
          <w:p w14:paraId="442F6C7F" w14:textId="77777777" w:rsidR="00CC25B5" w:rsidRDefault="00CC25B5">
            <w:pPr>
              <w:rPr>
                <w:rFonts w:ascii="宋体"/>
                <w:vanish/>
              </w:rPr>
            </w:pPr>
          </w:p>
        </w:tc>
        <w:tc>
          <w:tcPr>
            <w:tcW w:w="0" w:type="auto"/>
            <w:gridSpan w:val="3"/>
            <w:shd w:val="clear" w:color="auto" w:fill="auto"/>
            <w:vAlign w:val="bottom"/>
          </w:tcPr>
          <w:p w14:paraId="442F6C80" w14:textId="77777777" w:rsidR="00CC25B5" w:rsidRDefault="00CC25B5">
            <w:pPr>
              <w:rPr>
                <w:rFonts w:ascii="宋体"/>
                <w:vanish/>
              </w:rPr>
            </w:pPr>
          </w:p>
        </w:tc>
        <w:tc>
          <w:tcPr>
            <w:tcW w:w="0" w:type="auto"/>
            <w:gridSpan w:val="3"/>
            <w:shd w:val="clear" w:color="auto" w:fill="auto"/>
            <w:vAlign w:val="bottom"/>
          </w:tcPr>
          <w:p w14:paraId="442F6C81" w14:textId="77777777" w:rsidR="00CC25B5" w:rsidRDefault="00CC25B5">
            <w:pPr>
              <w:rPr>
                <w:rFonts w:ascii="宋体"/>
                <w:vanish/>
              </w:rPr>
            </w:pPr>
          </w:p>
        </w:tc>
        <w:tc>
          <w:tcPr>
            <w:tcW w:w="0" w:type="auto"/>
            <w:gridSpan w:val="3"/>
            <w:shd w:val="clear" w:color="auto" w:fill="auto"/>
            <w:vAlign w:val="bottom"/>
          </w:tcPr>
          <w:p w14:paraId="442F6C82" w14:textId="77777777" w:rsidR="00CC25B5" w:rsidRDefault="00CC25B5">
            <w:pPr>
              <w:rPr>
                <w:rFonts w:ascii="宋体"/>
                <w:vanish/>
              </w:rPr>
            </w:pPr>
          </w:p>
        </w:tc>
        <w:tc>
          <w:tcPr>
            <w:tcW w:w="0" w:type="auto"/>
            <w:gridSpan w:val="3"/>
            <w:shd w:val="clear" w:color="auto" w:fill="auto"/>
            <w:vAlign w:val="bottom"/>
          </w:tcPr>
          <w:p w14:paraId="442F6C83" w14:textId="77777777" w:rsidR="00CC25B5" w:rsidRDefault="00CC25B5">
            <w:pPr>
              <w:rPr>
                <w:rFonts w:ascii="宋体"/>
                <w:vanish/>
              </w:rPr>
            </w:pPr>
          </w:p>
        </w:tc>
        <w:tc>
          <w:tcPr>
            <w:tcW w:w="0" w:type="auto"/>
            <w:gridSpan w:val="3"/>
            <w:shd w:val="clear" w:color="auto" w:fill="auto"/>
            <w:vAlign w:val="bottom"/>
          </w:tcPr>
          <w:p w14:paraId="442F6C84" w14:textId="77777777" w:rsidR="00CC25B5" w:rsidRDefault="00CC25B5">
            <w:pPr>
              <w:rPr>
                <w:rFonts w:ascii="宋体"/>
                <w:vanish/>
              </w:rPr>
            </w:pPr>
          </w:p>
        </w:tc>
        <w:tc>
          <w:tcPr>
            <w:tcW w:w="0" w:type="auto"/>
            <w:gridSpan w:val="3"/>
            <w:shd w:val="clear" w:color="auto" w:fill="auto"/>
            <w:vAlign w:val="bottom"/>
          </w:tcPr>
          <w:p w14:paraId="442F6C85" w14:textId="77777777" w:rsidR="00CC25B5" w:rsidRDefault="00CC25B5">
            <w:pPr>
              <w:rPr>
                <w:rFonts w:ascii="宋体"/>
                <w:vanish/>
              </w:rPr>
            </w:pPr>
          </w:p>
        </w:tc>
        <w:tc>
          <w:tcPr>
            <w:tcW w:w="0" w:type="auto"/>
            <w:gridSpan w:val="3"/>
            <w:shd w:val="clear" w:color="auto" w:fill="auto"/>
            <w:vAlign w:val="bottom"/>
          </w:tcPr>
          <w:p w14:paraId="442F6C86" w14:textId="77777777" w:rsidR="00CC25B5" w:rsidRDefault="00CC25B5">
            <w:pPr>
              <w:rPr>
                <w:rFonts w:ascii="宋体"/>
                <w:vanish/>
              </w:rPr>
            </w:pPr>
          </w:p>
        </w:tc>
        <w:tc>
          <w:tcPr>
            <w:tcW w:w="0" w:type="auto"/>
            <w:gridSpan w:val="3"/>
            <w:shd w:val="clear" w:color="auto" w:fill="auto"/>
            <w:vAlign w:val="bottom"/>
          </w:tcPr>
          <w:p w14:paraId="442F6C87" w14:textId="77777777" w:rsidR="00CC25B5" w:rsidRDefault="00CC25B5">
            <w:pPr>
              <w:rPr>
                <w:rFonts w:ascii="宋体"/>
                <w:vanish/>
              </w:rPr>
            </w:pPr>
          </w:p>
        </w:tc>
        <w:tc>
          <w:tcPr>
            <w:tcW w:w="0" w:type="auto"/>
            <w:gridSpan w:val="3"/>
            <w:shd w:val="clear" w:color="auto" w:fill="auto"/>
            <w:vAlign w:val="bottom"/>
          </w:tcPr>
          <w:p w14:paraId="442F6C88" w14:textId="77777777" w:rsidR="00CC25B5" w:rsidRDefault="00CC25B5">
            <w:pPr>
              <w:rPr>
                <w:rFonts w:ascii="宋体"/>
                <w:vanish/>
              </w:rPr>
            </w:pPr>
          </w:p>
        </w:tc>
        <w:tc>
          <w:tcPr>
            <w:tcW w:w="0" w:type="auto"/>
            <w:gridSpan w:val="3"/>
            <w:shd w:val="clear" w:color="auto" w:fill="auto"/>
            <w:vAlign w:val="bottom"/>
          </w:tcPr>
          <w:p w14:paraId="442F6C89" w14:textId="77777777" w:rsidR="00CC25B5" w:rsidRDefault="00CC25B5">
            <w:pPr>
              <w:rPr>
                <w:rFonts w:ascii="宋体"/>
                <w:vanish/>
              </w:rPr>
            </w:pPr>
          </w:p>
        </w:tc>
        <w:tc>
          <w:tcPr>
            <w:tcW w:w="0" w:type="auto"/>
            <w:gridSpan w:val="3"/>
            <w:shd w:val="clear" w:color="auto" w:fill="auto"/>
            <w:vAlign w:val="bottom"/>
          </w:tcPr>
          <w:p w14:paraId="442F6C8A" w14:textId="77777777" w:rsidR="00CC25B5" w:rsidRDefault="00CC25B5">
            <w:pPr>
              <w:rPr>
                <w:rFonts w:ascii="宋体"/>
                <w:vanish/>
              </w:rPr>
            </w:pPr>
          </w:p>
        </w:tc>
        <w:tc>
          <w:tcPr>
            <w:tcW w:w="0" w:type="auto"/>
            <w:gridSpan w:val="3"/>
            <w:shd w:val="clear" w:color="auto" w:fill="auto"/>
            <w:vAlign w:val="bottom"/>
          </w:tcPr>
          <w:p w14:paraId="442F6C8B" w14:textId="77777777" w:rsidR="00CC25B5" w:rsidRDefault="00CC25B5">
            <w:pPr>
              <w:rPr>
                <w:rFonts w:ascii="宋体"/>
                <w:vanish/>
              </w:rPr>
            </w:pPr>
          </w:p>
        </w:tc>
        <w:tc>
          <w:tcPr>
            <w:tcW w:w="0" w:type="auto"/>
            <w:gridSpan w:val="3"/>
            <w:shd w:val="clear" w:color="auto" w:fill="auto"/>
            <w:vAlign w:val="bottom"/>
          </w:tcPr>
          <w:p w14:paraId="442F6C8C" w14:textId="77777777" w:rsidR="00CC25B5" w:rsidRDefault="00CC25B5">
            <w:pPr>
              <w:rPr>
                <w:rFonts w:ascii="宋体"/>
                <w:vanish/>
              </w:rPr>
            </w:pPr>
          </w:p>
        </w:tc>
        <w:tc>
          <w:tcPr>
            <w:tcW w:w="0" w:type="auto"/>
            <w:gridSpan w:val="3"/>
            <w:shd w:val="clear" w:color="auto" w:fill="auto"/>
            <w:vAlign w:val="bottom"/>
          </w:tcPr>
          <w:p w14:paraId="442F6C8D" w14:textId="77777777" w:rsidR="00CC25B5" w:rsidRDefault="00CC25B5">
            <w:pPr>
              <w:rPr>
                <w:rFonts w:ascii="宋体"/>
                <w:vanish/>
              </w:rPr>
            </w:pPr>
          </w:p>
        </w:tc>
        <w:tc>
          <w:tcPr>
            <w:tcW w:w="0" w:type="auto"/>
            <w:shd w:val="clear" w:color="auto" w:fill="auto"/>
            <w:vAlign w:val="bottom"/>
          </w:tcPr>
          <w:p w14:paraId="442F6C8E" w14:textId="77777777" w:rsidR="00CC25B5" w:rsidRDefault="00CC25B5">
            <w:pPr>
              <w:rPr>
                <w:rFonts w:ascii="宋体"/>
                <w:vanish/>
              </w:rPr>
            </w:pPr>
          </w:p>
        </w:tc>
        <w:tc>
          <w:tcPr>
            <w:tcW w:w="0" w:type="auto"/>
            <w:shd w:val="clear" w:color="auto" w:fill="auto"/>
            <w:vAlign w:val="bottom"/>
          </w:tcPr>
          <w:p w14:paraId="442F6C8F" w14:textId="77777777" w:rsidR="00CC25B5" w:rsidRDefault="00CC25B5">
            <w:pPr>
              <w:rPr>
                <w:rFonts w:ascii="宋体"/>
                <w:vanish/>
              </w:rPr>
            </w:pPr>
          </w:p>
        </w:tc>
        <w:tc>
          <w:tcPr>
            <w:tcW w:w="0" w:type="auto"/>
            <w:shd w:val="clear" w:color="auto" w:fill="auto"/>
            <w:vAlign w:val="bottom"/>
          </w:tcPr>
          <w:p w14:paraId="442F6C90" w14:textId="77777777" w:rsidR="00CC25B5" w:rsidRDefault="00CC25B5">
            <w:pPr>
              <w:rPr>
                <w:rFonts w:ascii="宋体"/>
                <w:vanish/>
              </w:rPr>
            </w:pPr>
          </w:p>
        </w:tc>
      </w:tr>
      <w:tr w:rsidR="00CC25B5" w14:paraId="442F6CA5" w14:textId="77777777">
        <w:trPr>
          <w:hidden/>
        </w:trPr>
        <w:tc>
          <w:tcPr>
            <w:tcW w:w="0" w:type="auto"/>
            <w:gridSpan w:val="3"/>
            <w:shd w:val="clear" w:color="auto" w:fill="auto"/>
            <w:vAlign w:val="bottom"/>
          </w:tcPr>
          <w:p w14:paraId="442F6C92" w14:textId="77777777" w:rsidR="00CC25B5" w:rsidRDefault="00CC25B5">
            <w:pPr>
              <w:rPr>
                <w:rFonts w:ascii="宋体"/>
                <w:vanish/>
              </w:rPr>
            </w:pPr>
          </w:p>
        </w:tc>
        <w:tc>
          <w:tcPr>
            <w:tcW w:w="0" w:type="auto"/>
            <w:gridSpan w:val="3"/>
            <w:shd w:val="clear" w:color="auto" w:fill="auto"/>
            <w:vAlign w:val="bottom"/>
          </w:tcPr>
          <w:p w14:paraId="442F6C93" w14:textId="77777777" w:rsidR="00CC25B5" w:rsidRDefault="00CC25B5">
            <w:pPr>
              <w:rPr>
                <w:rFonts w:ascii="宋体"/>
                <w:vanish/>
              </w:rPr>
            </w:pPr>
          </w:p>
        </w:tc>
        <w:tc>
          <w:tcPr>
            <w:tcW w:w="0" w:type="auto"/>
            <w:gridSpan w:val="3"/>
            <w:shd w:val="clear" w:color="auto" w:fill="auto"/>
            <w:vAlign w:val="bottom"/>
          </w:tcPr>
          <w:p w14:paraId="442F6C94" w14:textId="77777777" w:rsidR="00CC25B5" w:rsidRDefault="00CC25B5">
            <w:pPr>
              <w:rPr>
                <w:rFonts w:ascii="宋体"/>
                <w:vanish/>
              </w:rPr>
            </w:pPr>
          </w:p>
        </w:tc>
        <w:tc>
          <w:tcPr>
            <w:tcW w:w="0" w:type="auto"/>
            <w:gridSpan w:val="3"/>
            <w:shd w:val="clear" w:color="auto" w:fill="auto"/>
            <w:vAlign w:val="bottom"/>
          </w:tcPr>
          <w:p w14:paraId="442F6C95" w14:textId="77777777" w:rsidR="00CC25B5" w:rsidRDefault="00CC25B5">
            <w:pPr>
              <w:rPr>
                <w:rFonts w:ascii="宋体"/>
                <w:vanish/>
              </w:rPr>
            </w:pPr>
          </w:p>
        </w:tc>
        <w:tc>
          <w:tcPr>
            <w:tcW w:w="0" w:type="auto"/>
            <w:gridSpan w:val="3"/>
            <w:shd w:val="clear" w:color="auto" w:fill="auto"/>
            <w:vAlign w:val="bottom"/>
          </w:tcPr>
          <w:p w14:paraId="442F6C96" w14:textId="77777777" w:rsidR="00CC25B5" w:rsidRDefault="00CC25B5">
            <w:pPr>
              <w:rPr>
                <w:rFonts w:ascii="宋体"/>
                <w:vanish/>
              </w:rPr>
            </w:pPr>
          </w:p>
        </w:tc>
        <w:tc>
          <w:tcPr>
            <w:tcW w:w="0" w:type="auto"/>
            <w:gridSpan w:val="3"/>
            <w:shd w:val="clear" w:color="auto" w:fill="auto"/>
            <w:vAlign w:val="bottom"/>
          </w:tcPr>
          <w:p w14:paraId="442F6C97" w14:textId="77777777" w:rsidR="00CC25B5" w:rsidRDefault="00CC25B5">
            <w:pPr>
              <w:rPr>
                <w:rFonts w:ascii="宋体"/>
                <w:vanish/>
              </w:rPr>
            </w:pPr>
          </w:p>
        </w:tc>
        <w:tc>
          <w:tcPr>
            <w:tcW w:w="0" w:type="auto"/>
            <w:gridSpan w:val="3"/>
            <w:shd w:val="clear" w:color="auto" w:fill="auto"/>
            <w:vAlign w:val="bottom"/>
          </w:tcPr>
          <w:p w14:paraId="442F6C98" w14:textId="77777777" w:rsidR="00CC25B5" w:rsidRDefault="00CC25B5">
            <w:pPr>
              <w:rPr>
                <w:rFonts w:ascii="宋体"/>
                <w:vanish/>
              </w:rPr>
            </w:pPr>
          </w:p>
        </w:tc>
        <w:tc>
          <w:tcPr>
            <w:tcW w:w="0" w:type="auto"/>
            <w:gridSpan w:val="3"/>
            <w:shd w:val="clear" w:color="auto" w:fill="auto"/>
            <w:vAlign w:val="bottom"/>
          </w:tcPr>
          <w:p w14:paraId="442F6C99" w14:textId="77777777" w:rsidR="00CC25B5" w:rsidRDefault="00CC25B5">
            <w:pPr>
              <w:rPr>
                <w:rFonts w:ascii="宋体"/>
                <w:vanish/>
              </w:rPr>
            </w:pPr>
          </w:p>
        </w:tc>
        <w:tc>
          <w:tcPr>
            <w:tcW w:w="0" w:type="auto"/>
            <w:gridSpan w:val="3"/>
            <w:shd w:val="clear" w:color="auto" w:fill="auto"/>
            <w:vAlign w:val="bottom"/>
          </w:tcPr>
          <w:p w14:paraId="442F6C9A" w14:textId="77777777" w:rsidR="00CC25B5" w:rsidRDefault="00CC25B5">
            <w:pPr>
              <w:rPr>
                <w:rFonts w:ascii="宋体"/>
                <w:vanish/>
              </w:rPr>
            </w:pPr>
          </w:p>
        </w:tc>
        <w:tc>
          <w:tcPr>
            <w:tcW w:w="0" w:type="auto"/>
            <w:gridSpan w:val="3"/>
            <w:shd w:val="clear" w:color="auto" w:fill="auto"/>
            <w:vAlign w:val="bottom"/>
          </w:tcPr>
          <w:p w14:paraId="442F6C9B" w14:textId="77777777" w:rsidR="00CC25B5" w:rsidRDefault="00CC25B5">
            <w:pPr>
              <w:rPr>
                <w:rFonts w:ascii="宋体"/>
                <w:vanish/>
              </w:rPr>
            </w:pPr>
          </w:p>
        </w:tc>
        <w:tc>
          <w:tcPr>
            <w:tcW w:w="0" w:type="auto"/>
            <w:gridSpan w:val="3"/>
            <w:shd w:val="clear" w:color="auto" w:fill="auto"/>
            <w:vAlign w:val="bottom"/>
          </w:tcPr>
          <w:p w14:paraId="442F6C9C" w14:textId="77777777" w:rsidR="00CC25B5" w:rsidRDefault="00CC25B5">
            <w:pPr>
              <w:rPr>
                <w:rFonts w:ascii="宋体"/>
                <w:vanish/>
              </w:rPr>
            </w:pPr>
          </w:p>
        </w:tc>
        <w:tc>
          <w:tcPr>
            <w:tcW w:w="0" w:type="auto"/>
            <w:gridSpan w:val="3"/>
            <w:shd w:val="clear" w:color="auto" w:fill="auto"/>
            <w:vAlign w:val="bottom"/>
          </w:tcPr>
          <w:p w14:paraId="442F6C9D" w14:textId="77777777" w:rsidR="00CC25B5" w:rsidRDefault="00CC25B5">
            <w:pPr>
              <w:rPr>
                <w:rFonts w:ascii="宋体"/>
                <w:vanish/>
              </w:rPr>
            </w:pPr>
          </w:p>
        </w:tc>
        <w:tc>
          <w:tcPr>
            <w:tcW w:w="0" w:type="auto"/>
            <w:gridSpan w:val="3"/>
            <w:shd w:val="clear" w:color="auto" w:fill="auto"/>
            <w:vAlign w:val="bottom"/>
          </w:tcPr>
          <w:p w14:paraId="442F6C9E" w14:textId="77777777" w:rsidR="00CC25B5" w:rsidRDefault="00CC25B5">
            <w:pPr>
              <w:rPr>
                <w:rFonts w:ascii="宋体"/>
                <w:vanish/>
              </w:rPr>
            </w:pPr>
          </w:p>
        </w:tc>
        <w:tc>
          <w:tcPr>
            <w:tcW w:w="0" w:type="auto"/>
            <w:gridSpan w:val="3"/>
            <w:shd w:val="clear" w:color="auto" w:fill="auto"/>
            <w:vAlign w:val="bottom"/>
          </w:tcPr>
          <w:p w14:paraId="442F6C9F" w14:textId="77777777" w:rsidR="00CC25B5" w:rsidRDefault="00CC25B5">
            <w:pPr>
              <w:rPr>
                <w:rFonts w:ascii="宋体"/>
                <w:vanish/>
              </w:rPr>
            </w:pPr>
          </w:p>
        </w:tc>
        <w:tc>
          <w:tcPr>
            <w:tcW w:w="0" w:type="auto"/>
            <w:gridSpan w:val="3"/>
            <w:shd w:val="clear" w:color="auto" w:fill="auto"/>
            <w:vAlign w:val="bottom"/>
          </w:tcPr>
          <w:p w14:paraId="442F6CA0" w14:textId="77777777" w:rsidR="00CC25B5" w:rsidRDefault="00CC25B5">
            <w:pPr>
              <w:rPr>
                <w:rFonts w:ascii="宋体"/>
                <w:vanish/>
              </w:rPr>
            </w:pPr>
          </w:p>
        </w:tc>
        <w:tc>
          <w:tcPr>
            <w:tcW w:w="0" w:type="auto"/>
            <w:gridSpan w:val="3"/>
            <w:shd w:val="clear" w:color="auto" w:fill="auto"/>
            <w:vAlign w:val="bottom"/>
          </w:tcPr>
          <w:p w14:paraId="442F6CA1" w14:textId="77777777" w:rsidR="00CC25B5" w:rsidRDefault="00CC25B5">
            <w:pPr>
              <w:rPr>
                <w:rFonts w:ascii="宋体"/>
                <w:vanish/>
              </w:rPr>
            </w:pPr>
          </w:p>
        </w:tc>
        <w:tc>
          <w:tcPr>
            <w:tcW w:w="0" w:type="auto"/>
            <w:shd w:val="clear" w:color="auto" w:fill="auto"/>
            <w:vAlign w:val="bottom"/>
          </w:tcPr>
          <w:p w14:paraId="442F6CA2" w14:textId="77777777" w:rsidR="00CC25B5" w:rsidRDefault="00CC25B5">
            <w:pPr>
              <w:rPr>
                <w:rFonts w:ascii="宋体"/>
                <w:vanish/>
              </w:rPr>
            </w:pPr>
          </w:p>
        </w:tc>
        <w:tc>
          <w:tcPr>
            <w:tcW w:w="0" w:type="auto"/>
            <w:shd w:val="clear" w:color="auto" w:fill="auto"/>
            <w:vAlign w:val="bottom"/>
          </w:tcPr>
          <w:p w14:paraId="442F6CA3" w14:textId="77777777" w:rsidR="00CC25B5" w:rsidRDefault="00CC25B5">
            <w:pPr>
              <w:rPr>
                <w:rFonts w:ascii="宋体"/>
                <w:vanish/>
              </w:rPr>
            </w:pPr>
          </w:p>
        </w:tc>
        <w:tc>
          <w:tcPr>
            <w:tcW w:w="0" w:type="auto"/>
            <w:shd w:val="clear" w:color="auto" w:fill="auto"/>
            <w:vAlign w:val="bottom"/>
          </w:tcPr>
          <w:p w14:paraId="442F6CA4" w14:textId="77777777" w:rsidR="00CC25B5" w:rsidRDefault="00CC25B5">
            <w:pPr>
              <w:rPr>
                <w:rFonts w:ascii="宋体"/>
                <w:vanish/>
              </w:rPr>
            </w:pPr>
          </w:p>
        </w:tc>
      </w:tr>
      <w:tr w:rsidR="00CC25B5" w14:paraId="442F6CB9" w14:textId="77777777">
        <w:trPr>
          <w:hidden/>
        </w:trPr>
        <w:tc>
          <w:tcPr>
            <w:tcW w:w="0" w:type="auto"/>
            <w:gridSpan w:val="3"/>
            <w:shd w:val="clear" w:color="auto" w:fill="auto"/>
            <w:vAlign w:val="bottom"/>
          </w:tcPr>
          <w:p w14:paraId="442F6CA6" w14:textId="77777777" w:rsidR="00CC25B5" w:rsidRDefault="00CC25B5">
            <w:pPr>
              <w:rPr>
                <w:rFonts w:ascii="宋体"/>
                <w:vanish/>
              </w:rPr>
            </w:pPr>
          </w:p>
        </w:tc>
        <w:tc>
          <w:tcPr>
            <w:tcW w:w="0" w:type="auto"/>
            <w:gridSpan w:val="3"/>
            <w:shd w:val="clear" w:color="auto" w:fill="auto"/>
            <w:vAlign w:val="bottom"/>
          </w:tcPr>
          <w:p w14:paraId="442F6CA7" w14:textId="77777777" w:rsidR="00CC25B5" w:rsidRDefault="00CC25B5">
            <w:pPr>
              <w:rPr>
                <w:rFonts w:ascii="宋体"/>
                <w:vanish/>
              </w:rPr>
            </w:pPr>
          </w:p>
        </w:tc>
        <w:tc>
          <w:tcPr>
            <w:tcW w:w="0" w:type="auto"/>
            <w:gridSpan w:val="3"/>
            <w:shd w:val="clear" w:color="auto" w:fill="auto"/>
            <w:vAlign w:val="bottom"/>
          </w:tcPr>
          <w:p w14:paraId="442F6CA8" w14:textId="77777777" w:rsidR="00CC25B5" w:rsidRDefault="00CC25B5">
            <w:pPr>
              <w:rPr>
                <w:rFonts w:ascii="宋体"/>
                <w:vanish/>
              </w:rPr>
            </w:pPr>
          </w:p>
        </w:tc>
        <w:tc>
          <w:tcPr>
            <w:tcW w:w="0" w:type="auto"/>
            <w:gridSpan w:val="3"/>
            <w:shd w:val="clear" w:color="auto" w:fill="auto"/>
            <w:vAlign w:val="bottom"/>
          </w:tcPr>
          <w:p w14:paraId="442F6CA9" w14:textId="77777777" w:rsidR="00CC25B5" w:rsidRDefault="00CC25B5">
            <w:pPr>
              <w:rPr>
                <w:rFonts w:ascii="宋体"/>
                <w:vanish/>
              </w:rPr>
            </w:pPr>
          </w:p>
        </w:tc>
        <w:tc>
          <w:tcPr>
            <w:tcW w:w="0" w:type="auto"/>
            <w:gridSpan w:val="3"/>
            <w:shd w:val="clear" w:color="auto" w:fill="auto"/>
            <w:vAlign w:val="bottom"/>
          </w:tcPr>
          <w:p w14:paraId="442F6CAA" w14:textId="77777777" w:rsidR="00CC25B5" w:rsidRDefault="00CC25B5">
            <w:pPr>
              <w:rPr>
                <w:rFonts w:ascii="宋体"/>
                <w:vanish/>
              </w:rPr>
            </w:pPr>
          </w:p>
        </w:tc>
        <w:tc>
          <w:tcPr>
            <w:tcW w:w="0" w:type="auto"/>
            <w:gridSpan w:val="3"/>
            <w:shd w:val="clear" w:color="auto" w:fill="auto"/>
            <w:vAlign w:val="bottom"/>
          </w:tcPr>
          <w:p w14:paraId="442F6CAB" w14:textId="77777777" w:rsidR="00CC25B5" w:rsidRDefault="00CC25B5">
            <w:pPr>
              <w:rPr>
                <w:rFonts w:ascii="宋体"/>
                <w:vanish/>
              </w:rPr>
            </w:pPr>
          </w:p>
        </w:tc>
        <w:tc>
          <w:tcPr>
            <w:tcW w:w="0" w:type="auto"/>
            <w:gridSpan w:val="3"/>
            <w:shd w:val="clear" w:color="auto" w:fill="auto"/>
            <w:vAlign w:val="bottom"/>
          </w:tcPr>
          <w:p w14:paraId="442F6CAC" w14:textId="77777777" w:rsidR="00CC25B5" w:rsidRDefault="00CC25B5">
            <w:pPr>
              <w:rPr>
                <w:rFonts w:ascii="宋体"/>
                <w:vanish/>
              </w:rPr>
            </w:pPr>
          </w:p>
        </w:tc>
        <w:tc>
          <w:tcPr>
            <w:tcW w:w="0" w:type="auto"/>
            <w:gridSpan w:val="3"/>
            <w:shd w:val="clear" w:color="auto" w:fill="auto"/>
            <w:vAlign w:val="bottom"/>
          </w:tcPr>
          <w:p w14:paraId="442F6CAD" w14:textId="77777777" w:rsidR="00CC25B5" w:rsidRDefault="00CC25B5">
            <w:pPr>
              <w:rPr>
                <w:rFonts w:ascii="宋体"/>
                <w:vanish/>
              </w:rPr>
            </w:pPr>
          </w:p>
        </w:tc>
        <w:tc>
          <w:tcPr>
            <w:tcW w:w="0" w:type="auto"/>
            <w:gridSpan w:val="3"/>
            <w:shd w:val="clear" w:color="auto" w:fill="auto"/>
            <w:vAlign w:val="bottom"/>
          </w:tcPr>
          <w:p w14:paraId="442F6CAE" w14:textId="77777777" w:rsidR="00CC25B5" w:rsidRDefault="00CC25B5">
            <w:pPr>
              <w:rPr>
                <w:rFonts w:ascii="宋体"/>
                <w:vanish/>
              </w:rPr>
            </w:pPr>
          </w:p>
        </w:tc>
        <w:tc>
          <w:tcPr>
            <w:tcW w:w="0" w:type="auto"/>
            <w:gridSpan w:val="3"/>
            <w:shd w:val="clear" w:color="auto" w:fill="auto"/>
            <w:vAlign w:val="bottom"/>
          </w:tcPr>
          <w:p w14:paraId="442F6CAF" w14:textId="77777777" w:rsidR="00CC25B5" w:rsidRDefault="00CC25B5">
            <w:pPr>
              <w:rPr>
                <w:rFonts w:ascii="宋体"/>
                <w:vanish/>
              </w:rPr>
            </w:pPr>
          </w:p>
        </w:tc>
        <w:tc>
          <w:tcPr>
            <w:tcW w:w="0" w:type="auto"/>
            <w:gridSpan w:val="3"/>
            <w:shd w:val="clear" w:color="auto" w:fill="auto"/>
            <w:vAlign w:val="bottom"/>
          </w:tcPr>
          <w:p w14:paraId="442F6CB0" w14:textId="77777777" w:rsidR="00CC25B5" w:rsidRDefault="00CC25B5">
            <w:pPr>
              <w:rPr>
                <w:rFonts w:ascii="宋体"/>
                <w:vanish/>
              </w:rPr>
            </w:pPr>
          </w:p>
        </w:tc>
        <w:tc>
          <w:tcPr>
            <w:tcW w:w="0" w:type="auto"/>
            <w:gridSpan w:val="3"/>
            <w:shd w:val="clear" w:color="auto" w:fill="auto"/>
            <w:vAlign w:val="bottom"/>
          </w:tcPr>
          <w:p w14:paraId="442F6CB1" w14:textId="77777777" w:rsidR="00CC25B5" w:rsidRDefault="00CC25B5">
            <w:pPr>
              <w:rPr>
                <w:rFonts w:ascii="宋体"/>
                <w:vanish/>
              </w:rPr>
            </w:pPr>
          </w:p>
        </w:tc>
        <w:tc>
          <w:tcPr>
            <w:tcW w:w="0" w:type="auto"/>
            <w:gridSpan w:val="3"/>
            <w:shd w:val="clear" w:color="auto" w:fill="auto"/>
            <w:vAlign w:val="bottom"/>
          </w:tcPr>
          <w:p w14:paraId="442F6CB2" w14:textId="77777777" w:rsidR="00CC25B5" w:rsidRDefault="00CC25B5">
            <w:pPr>
              <w:rPr>
                <w:rFonts w:ascii="宋体"/>
                <w:vanish/>
              </w:rPr>
            </w:pPr>
          </w:p>
        </w:tc>
        <w:tc>
          <w:tcPr>
            <w:tcW w:w="0" w:type="auto"/>
            <w:gridSpan w:val="3"/>
            <w:shd w:val="clear" w:color="auto" w:fill="auto"/>
            <w:vAlign w:val="bottom"/>
          </w:tcPr>
          <w:p w14:paraId="442F6CB3" w14:textId="77777777" w:rsidR="00CC25B5" w:rsidRDefault="00CC25B5">
            <w:pPr>
              <w:rPr>
                <w:rFonts w:ascii="宋体"/>
                <w:vanish/>
              </w:rPr>
            </w:pPr>
          </w:p>
        </w:tc>
        <w:tc>
          <w:tcPr>
            <w:tcW w:w="0" w:type="auto"/>
            <w:gridSpan w:val="3"/>
            <w:shd w:val="clear" w:color="auto" w:fill="auto"/>
            <w:vAlign w:val="bottom"/>
          </w:tcPr>
          <w:p w14:paraId="442F6CB4" w14:textId="77777777" w:rsidR="00CC25B5" w:rsidRDefault="00CC25B5">
            <w:pPr>
              <w:rPr>
                <w:rFonts w:ascii="宋体"/>
                <w:vanish/>
              </w:rPr>
            </w:pPr>
          </w:p>
        </w:tc>
        <w:tc>
          <w:tcPr>
            <w:tcW w:w="0" w:type="auto"/>
            <w:gridSpan w:val="3"/>
            <w:shd w:val="clear" w:color="auto" w:fill="auto"/>
            <w:vAlign w:val="bottom"/>
          </w:tcPr>
          <w:p w14:paraId="442F6CB5" w14:textId="77777777" w:rsidR="00CC25B5" w:rsidRDefault="00CC25B5">
            <w:pPr>
              <w:rPr>
                <w:rFonts w:ascii="宋体"/>
                <w:vanish/>
              </w:rPr>
            </w:pPr>
          </w:p>
        </w:tc>
        <w:tc>
          <w:tcPr>
            <w:tcW w:w="0" w:type="auto"/>
            <w:shd w:val="clear" w:color="auto" w:fill="auto"/>
            <w:vAlign w:val="bottom"/>
          </w:tcPr>
          <w:p w14:paraId="442F6CB6" w14:textId="77777777" w:rsidR="00CC25B5" w:rsidRDefault="00CC25B5">
            <w:pPr>
              <w:rPr>
                <w:rFonts w:ascii="宋体"/>
                <w:vanish/>
              </w:rPr>
            </w:pPr>
          </w:p>
        </w:tc>
        <w:tc>
          <w:tcPr>
            <w:tcW w:w="0" w:type="auto"/>
            <w:shd w:val="clear" w:color="auto" w:fill="auto"/>
            <w:vAlign w:val="bottom"/>
          </w:tcPr>
          <w:p w14:paraId="442F6CB7" w14:textId="77777777" w:rsidR="00CC25B5" w:rsidRDefault="00CC25B5">
            <w:pPr>
              <w:rPr>
                <w:rFonts w:ascii="宋体"/>
                <w:vanish/>
              </w:rPr>
            </w:pPr>
          </w:p>
        </w:tc>
        <w:tc>
          <w:tcPr>
            <w:tcW w:w="0" w:type="auto"/>
            <w:shd w:val="clear" w:color="auto" w:fill="auto"/>
            <w:vAlign w:val="bottom"/>
          </w:tcPr>
          <w:p w14:paraId="442F6CB8" w14:textId="77777777" w:rsidR="00CC25B5" w:rsidRDefault="00CC25B5">
            <w:pPr>
              <w:rPr>
                <w:rFonts w:ascii="宋体"/>
                <w:vanish/>
              </w:rPr>
            </w:pPr>
          </w:p>
        </w:tc>
      </w:tr>
      <w:tr w:rsidR="00CC25B5" w14:paraId="442F6CCD" w14:textId="77777777">
        <w:trPr>
          <w:hidden/>
        </w:trPr>
        <w:tc>
          <w:tcPr>
            <w:tcW w:w="0" w:type="auto"/>
            <w:gridSpan w:val="3"/>
            <w:shd w:val="clear" w:color="auto" w:fill="auto"/>
            <w:vAlign w:val="bottom"/>
          </w:tcPr>
          <w:p w14:paraId="442F6CBA" w14:textId="77777777" w:rsidR="00CC25B5" w:rsidRDefault="00CC25B5">
            <w:pPr>
              <w:rPr>
                <w:rFonts w:ascii="宋体"/>
                <w:vanish/>
              </w:rPr>
            </w:pPr>
          </w:p>
        </w:tc>
        <w:tc>
          <w:tcPr>
            <w:tcW w:w="0" w:type="auto"/>
            <w:gridSpan w:val="3"/>
            <w:shd w:val="clear" w:color="auto" w:fill="auto"/>
            <w:vAlign w:val="bottom"/>
          </w:tcPr>
          <w:p w14:paraId="442F6CBB" w14:textId="77777777" w:rsidR="00CC25B5" w:rsidRDefault="00CC25B5">
            <w:pPr>
              <w:rPr>
                <w:rFonts w:ascii="宋体"/>
                <w:vanish/>
              </w:rPr>
            </w:pPr>
          </w:p>
        </w:tc>
        <w:tc>
          <w:tcPr>
            <w:tcW w:w="0" w:type="auto"/>
            <w:gridSpan w:val="3"/>
            <w:shd w:val="clear" w:color="auto" w:fill="auto"/>
            <w:vAlign w:val="bottom"/>
          </w:tcPr>
          <w:p w14:paraId="442F6CBC" w14:textId="77777777" w:rsidR="00CC25B5" w:rsidRDefault="00CC25B5">
            <w:pPr>
              <w:rPr>
                <w:rFonts w:ascii="宋体"/>
                <w:vanish/>
              </w:rPr>
            </w:pPr>
          </w:p>
        </w:tc>
        <w:tc>
          <w:tcPr>
            <w:tcW w:w="0" w:type="auto"/>
            <w:gridSpan w:val="3"/>
            <w:shd w:val="clear" w:color="auto" w:fill="auto"/>
            <w:vAlign w:val="bottom"/>
          </w:tcPr>
          <w:p w14:paraId="442F6CBD" w14:textId="77777777" w:rsidR="00CC25B5" w:rsidRDefault="00CC25B5">
            <w:pPr>
              <w:rPr>
                <w:rFonts w:ascii="宋体"/>
                <w:vanish/>
              </w:rPr>
            </w:pPr>
          </w:p>
        </w:tc>
        <w:tc>
          <w:tcPr>
            <w:tcW w:w="0" w:type="auto"/>
            <w:gridSpan w:val="3"/>
            <w:shd w:val="clear" w:color="auto" w:fill="auto"/>
            <w:vAlign w:val="bottom"/>
          </w:tcPr>
          <w:p w14:paraId="442F6CBE" w14:textId="77777777" w:rsidR="00CC25B5" w:rsidRDefault="00CC25B5">
            <w:pPr>
              <w:rPr>
                <w:rFonts w:ascii="宋体"/>
                <w:vanish/>
              </w:rPr>
            </w:pPr>
          </w:p>
        </w:tc>
        <w:tc>
          <w:tcPr>
            <w:tcW w:w="0" w:type="auto"/>
            <w:gridSpan w:val="3"/>
            <w:shd w:val="clear" w:color="auto" w:fill="auto"/>
            <w:vAlign w:val="bottom"/>
          </w:tcPr>
          <w:p w14:paraId="442F6CBF" w14:textId="77777777" w:rsidR="00CC25B5" w:rsidRDefault="00CC25B5">
            <w:pPr>
              <w:rPr>
                <w:rFonts w:ascii="宋体"/>
                <w:vanish/>
              </w:rPr>
            </w:pPr>
          </w:p>
        </w:tc>
        <w:tc>
          <w:tcPr>
            <w:tcW w:w="0" w:type="auto"/>
            <w:gridSpan w:val="3"/>
            <w:shd w:val="clear" w:color="auto" w:fill="auto"/>
            <w:vAlign w:val="bottom"/>
          </w:tcPr>
          <w:p w14:paraId="442F6CC0" w14:textId="77777777" w:rsidR="00CC25B5" w:rsidRDefault="00CC25B5">
            <w:pPr>
              <w:rPr>
                <w:rFonts w:ascii="宋体"/>
                <w:vanish/>
              </w:rPr>
            </w:pPr>
          </w:p>
        </w:tc>
        <w:tc>
          <w:tcPr>
            <w:tcW w:w="0" w:type="auto"/>
            <w:gridSpan w:val="3"/>
            <w:shd w:val="clear" w:color="auto" w:fill="auto"/>
            <w:vAlign w:val="bottom"/>
          </w:tcPr>
          <w:p w14:paraId="442F6CC1" w14:textId="77777777" w:rsidR="00CC25B5" w:rsidRDefault="00CC25B5">
            <w:pPr>
              <w:rPr>
                <w:rFonts w:ascii="宋体"/>
                <w:vanish/>
              </w:rPr>
            </w:pPr>
          </w:p>
        </w:tc>
        <w:tc>
          <w:tcPr>
            <w:tcW w:w="0" w:type="auto"/>
            <w:gridSpan w:val="3"/>
            <w:shd w:val="clear" w:color="auto" w:fill="auto"/>
            <w:vAlign w:val="bottom"/>
          </w:tcPr>
          <w:p w14:paraId="442F6CC2" w14:textId="77777777" w:rsidR="00CC25B5" w:rsidRDefault="00CC25B5">
            <w:pPr>
              <w:rPr>
                <w:rFonts w:ascii="宋体"/>
                <w:vanish/>
              </w:rPr>
            </w:pPr>
          </w:p>
        </w:tc>
        <w:tc>
          <w:tcPr>
            <w:tcW w:w="0" w:type="auto"/>
            <w:gridSpan w:val="3"/>
            <w:shd w:val="clear" w:color="auto" w:fill="auto"/>
            <w:vAlign w:val="bottom"/>
          </w:tcPr>
          <w:p w14:paraId="442F6CC3" w14:textId="77777777" w:rsidR="00CC25B5" w:rsidRDefault="00CC25B5">
            <w:pPr>
              <w:rPr>
                <w:rFonts w:ascii="宋体"/>
                <w:vanish/>
              </w:rPr>
            </w:pPr>
          </w:p>
        </w:tc>
        <w:tc>
          <w:tcPr>
            <w:tcW w:w="0" w:type="auto"/>
            <w:gridSpan w:val="3"/>
            <w:shd w:val="clear" w:color="auto" w:fill="auto"/>
            <w:vAlign w:val="bottom"/>
          </w:tcPr>
          <w:p w14:paraId="442F6CC4" w14:textId="77777777" w:rsidR="00CC25B5" w:rsidRDefault="00CC25B5">
            <w:pPr>
              <w:rPr>
                <w:rFonts w:ascii="宋体"/>
                <w:vanish/>
              </w:rPr>
            </w:pPr>
          </w:p>
        </w:tc>
        <w:tc>
          <w:tcPr>
            <w:tcW w:w="0" w:type="auto"/>
            <w:gridSpan w:val="3"/>
            <w:shd w:val="clear" w:color="auto" w:fill="auto"/>
            <w:vAlign w:val="bottom"/>
          </w:tcPr>
          <w:p w14:paraId="442F6CC5" w14:textId="77777777" w:rsidR="00CC25B5" w:rsidRDefault="00CC25B5">
            <w:pPr>
              <w:rPr>
                <w:rFonts w:ascii="宋体"/>
                <w:vanish/>
              </w:rPr>
            </w:pPr>
          </w:p>
        </w:tc>
        <w:tc>
          <w:tcPr>
            <w:tcW w:w="0" w:type="auto"/>
            <w:gridSpan w:val="3"/>
            <w:shd w:val="clear" w:color="auto" w:fill="auto"/>
            <w:vAlign w:val="bottom"/>
          </w:tcPr>
          <w:p w14:paraId="442F6CC6" w14:textId="77777777" w:rsidR="00CC25B5" w:rsidRDefault="00CC25B5">
            <w:pPr>
              <w:rPr>
                <w:rFonts w:ascii="宋体"/>
                <w:vanish/>
              </w:rPr>
            </w:pPr>
          </w:p>
        </w:tc>
        <w:tc>
          <w:tcPr>
            <w:tcW w:w="0" w:type="auto"/>
            <w:gridSpan w:val="3"/>
            <w:shd w:val="clear" w:color="auto" w:fill="auto"/>
            <w:vAlign w:val="bottom"/>
          </w:tcPr>
          <w:p w14:paraId="442F6CC7" w14:textId="77777777" w:rsidR="00CC25B5" w:rsidRDefault="00CC25B5">
            <w:pPr>
              <w:rPr>
                <w:rFonts w:ascii="宋体"/>
                <w:vanish/>
              </w:rPr>
            </w:pPr>
          </w:p>
        </w:tc>
        <w:tc>
          <w:tcPr>
            <w:tcW w:w="0" w:type="auto"/>
            <w:gridSpan w:val="3"/>
            <w:shd w:val="clear" w:color="auto" w:fill="auto"/>
            <w:vAlign w:val="bottom"/>
          </w:tcPr>
          <w:p w14:paraId="442F6CC8" w14:textId="77777777" w:rsidR="00CC25B5" w:rsidRDefault="00CC25B5">
            <w:pPr>
              <w:rPr>
                <w:rFonts w:ascii="宋体"/>
                <w:vanish/>
              </w:rPr>
            </w:pPr>
          </w:p>
        </w:tc>
        <w:tc>
          <w:tcPr>
            <w:tcW w:w="0" w:type="auto"/>
            <w:gridSpan w:val="3"/>
            <w:shd w:val="clear" w:color="auto" w:fill="auto"/>
            <w:vAlign w:val="bottom"/>
          </w:tcPr>
          <w:p w14:paraId="442F6CC9" w14:textId="77777777" w:rsidR="00CC25B5" w:rsidRDefault="00CC25B5">
            <w:pPr>
              <w:rPr>
                <w:rFonts w:ascii="宋体"/>
                <w:vanish/>
              </w:rPr>
            </w:pPr>
          </w:p>
        </w:tc>
        <w:tc>
          <w:tcPr>
            <w:tcW w:w="0" w:type="auto"/>
            <w:shd w:val="clear" w:color="auto" w:fill="auto"/>
            <w:vAlign w:val="bottom"/>
          </w:tcPr>
          <w:p w14:paraId="442F6CCA" w14:textId="77777777" w:rsidR="00CC25B5" w:rsidRDefault="00CC25B5">
            <w:pPr>
              <w:rPr>
                <w:rFonts w:ascii="宋体"/>
                <w:vanish/>
              </w:rPr>
            </w:pPr>
          </w:p>
        </w:tc>
        <w:tc>
          <w:tcPr>
            <w:tcW w:w="0" w:type="auto"/>
            <w:shd w:val="clear" w:color="auto" w:fill="auto"/>
            <w:vAlign w:val="bottom"/>
          </w:tcPr>
          <w:p w14:paraId="442F6CCB" w14:textId="77777777" w:rsidR="00CC25B5" w:rsidRDefault="00CC25B5">
            <w:pPr>
              <w:rPr>
                <w:rFonts w:ascii="宋体"/>
                <w:vanish/>
              </w:rPr>
            </w:pPr>
          </w:p>
        </w:tc>
        <w:tc>
          <w:tcPr>
            <w:tcW w:w="0" w:type="auto"/>
            <w:shd w:val="clear" w:color="auto" w:fill="auto"/>
            <w:vAlign w:val="bottom"/>
          </w:tcPr>
          <w:p w14:paraId="442F6CCC" w14:textId="77777777" w:rsidR="00CC25B5" w:rsidRDefault="00CC25B5">
            <w:pPr>
              <w:rPr>
                <w:rFonts w:ascii="宋体"/>
                <w:vanish/>
              </w:rPr>
            </w:pPr>
          </w:p>
        </w:tc>
      </w:tr>
      <w:tr w:rsidR="00CC25B5" w14:paraId="442F6CE1" w14:textId="77777777">
        <w:trPr>
          <w:hidden/>
        </w:trPr>
        <w:tc>
          <w:tcPr>
            <w:tcW w:w="0" w:type="auto"/>
            <w:gridSpan w:val="3"/>
            <w:shd w:val="clear" w:color="auto" w:fill="auto"/>
            <w:vAlign w:val="bottom"/>
          </w:tcPr>
          <w:p w14:paraId="442F6CCE" w14:textId="77777777" w:rsidR="00CC25B5" w:rsidRDefault="00CC25B5">
            <w:pPr>
              <w:rPr>
                <w:rFonts w:ascii="宋体"/>
                <w:vanish/>
              </w:rPr>
            </w:pPr>
          </w:p>
        </w:tc>
        <w:tc>
          <w:tcPr>
            <w:tcW w:w="0" w:type="auto"/>
            <w:gridSpan w:val="3"/>
            <w:shd w:val="clear" w:color="auto" w:fill="auto"/>
            <w:vAlign w:val="bottom"/>
          </w:tcPr>
          <w:p w14:paraId="442F6CCF" w14:textId="77777777" w:rsidR="00CC25B5" w:rsidRDefault="00CC25B5">
            <w:pPr>
              <w:rPr>
                <w:rFonts w:ascii="宋体"/>
                <w:vanish/>
              </w:rPr>
            </w:pPr>
          </w:p>
        </w:tc>
        <w:tc>
          <w:tcPr>
            <w:tcW w:w="0" w:type="auto"/>
            <w:gridSpan w:val="3"/>
            <w:shd w:val="clear" w:color="auto" w:fill="auto"/>
            <w:vAlign w:val="bottom"/>
          </w:tcPr>
          <w:p w14:paraId="442F6CD0" w14:textId="77777777" w:rsidR="00CC25B5" w:rsidRDefault="00CC25B5">
            <w:pPr>
              <w:rPr>
                <w:rFonts w:ascii="宋体"/>
                <w:vanish/>
              </w:rPr>
            </w:pPr>
          </w:p>
        </w:tc>
        <w:tc>
          <w:tcPr>
            <w:tcW w:w="0" w:type="auto"/>
            <w:gridSpan w:val="3"/>
            <w:shd w:val="clear" w:color="auto" w:fill="auto"/>
            <w:vAlign w:val="bottom"/>
          </w:tcPr>
          <w:p w14:paraId="442F6CD1" w14:textId="77777777" w:rsidR="00CC25B5" w:rsidRDefault="00CC25B5">
            <w:pPr>
              <w:rPr>
                <w:rFonts w:ascii="宋体"/>
                <w:vanish/>
              </w:rPr>
            </w:pPr>
          </w:p>
        </w:tc>
        <w:tc>
          <w:tcPr>
            <w:tcW w:w="0" w:type="auto"/>
            <w:gridSpan w:val="3"/>
            <w:shd w:val="clear" w:color="auto" w:fill="auto"/>
            <w:vAlign w:val="bottom"/>
          </w:tcPr>
          <w:p w14:paraId="442F6CD2" w14:textId="77777777" w:rsidR="00CC25B5" w:rsidRDefault="00CC25B5">
            <w:pPr>
              <w:rPr>
                <w:rFonts w:ascii="宋体"/>
                <w:vanish/>
              </w:rPr>
            </w:pPr>
          </w:p>
        </w:tc>
        <w:tc>
          <w:tcPr>
            <w:tcW w:w="0" w:type="auto"/>
            <w:gridSpan w:val="3"/>
            <w:shd w:val="clear" w:color="auto" w:fill="auto"/>
            <w:vAlign w:val="bottom"/>
          </w:tcPr>
          <w:p w14:paraId="442F6CD3" w14:textId="77777777" w:rsidR="00CC25B5" w:rsidRDefault="00CC25B5">
            <w:pPr>
              <w:rPr>
                <w:rFonts w:ascii="宋体"/>
                <w:vanish/>
              </w:rPr>
            </w:pPr>
          </w:p>
        </w:tc>
        <w:tc>
          <w:tcPr>
            <w:tcW w:w="0" w:type="auto"/>
            <w:gridSpan w:val="3"/>
            <w:shd w:val="clear" w:color="auto" w:fill="auto"/>
            <w:vAlign w:val="bottom"/>
          </w:tcPr>
          <w:p w14:paraId="442F6CD4" w14:textId="77777777" w:rsidR="00CC25B5" w:rsidRDefault="00CC25B5">
            <w:pPr>
              <w:rPr>
                <w:rFonts w:ascii="宋体"/>
                <w:vanish/>
              </w:rPr>
            </w:pPr>
          </w:p>
        </w:tc>
        <w:tc>
          <w:tcPr>
            <w:tcW w:w="0" w:type="auto"/>
            <w:gridSpan w:val="3"/>
            <w:shd w:val="clear" w:color="auto" w:fill="auto"/>
            <w:vAlign w:val="bottom"/>
          </w:tcPr>
          <w:p w14:paraId="442F6CD5" w14:textId="77777777" w:rsidR="00CC25B5" w:rsidRDefault="00CC25B5">
            <w:pPr>
              <w:rPr>
                <w:rFonts w:ascii="宋体"/>
                <w:vanish/>
              </w:rPr>
            </w:pPr>
          </w:p>
        </w:tc>
        <w:tc>
          <w:tcPr>
            <w:tcW w:w="0" w:type="auto"/>
            <w:gridSpan w:val="3"/>
            <w:shd w:val="clear" w:color="auto" w:fill="auto"/>
            <w:vAlign w:val="bottom"/>
          </w:tcPr>
          <w:p w14:paraId="442F6CD6" w14:textId="77777777" w:rsidR="00CC25B5" w:rsidRDefault="00CC25B5">
            <w:pPr>
              <w:rPr>
                <w:rFonts w:ascii="宋体"/>
                <w:vanish/>
              </w:rPr>
            </w:pPr>
          </w:p>
        </w:tc>
        <w:tc>
          <w:tcPr>
            <w:tcW w:w="0" w:type="auto"/>
            <w:gridSpan w:val="3"/>
            <w:shd w:val="clear" w:color="auto" w:fill="auto"/>
            <w:vAlign w:val="bottom"/>
          </w:tcPr>
          <w:p w14:paraId="442F6CD7" w14:textId="77777777" w:rsidR="00CC25B5" w:rsidRDefault="00CC25B5">
            <w:pPr>
              <w:rPr>
                <w:rFonts w:ascii="宋体"/>
                <w:vanish/>
              </w:rPr>
            </w:pPr>
          </w:p>
        </w:tc>
        <w:tc>
          <w:tcPr>
            <w:tcW w:w="0" w:type="auto"/>
            <w:gridSpan w:val="3"/>
            <w:shd w:val="clear" w:color="auto" w:fill="auto"/>
            <w:vAlign w:val="bottom"/>
          </w:tcPr>
          <w:p w14:paraId="442F6CD8" w14:textId="77777777" w:rsidR="00CC25B5" w:rsidRDefault="00CC25B5">
            <w:pPr>
              <w:rPr>
                <w:rFonts w:ascii="宋体"/>
                <w:vanish/>
              </w:rPr>
            </w:pPr>
          </w:p>
        </w:tc>
        <w:tc>
          <w:tcPr>
            <w:tcW w:w="0" w:type="auto"/>
            <w:gridSpan w:val="3"/>
            <w:shd w:val="clear" w:color="auto" w:fill="auto"/>
            <w:vAlign w:val="bottom"/>
          </w:tcPr>
          <w:p w14:paraId="442F6CD9" w14:textId="77777777" w:rsidR="00CC25B5" w:rsidRDefault="00CC25B5">
            <w:pPr>
              <w:rPr>
                <w:rFonts w:ascii="宋体"/>
                <w:vanish/>
              </w:rPr>
            </w:pPr>
          </w:p>
        </w:tc>
        <w:tc>
          <w:tcPr>
            <w:tcW w:w="0" w:type="auto"/>
            <w:gridSpan w:val="3"/>
            <w:shd w:val="clear" w:color="auto" w:fill="auto"/>
            <w:vAlign w:val="bottom"/>
          </w:tcPr>
          <w:p w14:paraId="442F6CDA" w14:textId="77777777" w:rsidR="00CC25B5" w:rsidRDefault="00CC25B5">
            <w:pPr>
              <w:rPr>
                <w:rFonts w:ascii="宋体"/>
                <w:vanish/>
              </w:rPr>
            </w:pPr>
          </w:p>
        </w:tc>
        <w:tc>
          <w:tcPr>
            <w:tcW w:w="0" w:type="auto"/>
            <w:gridSpan w:val="3"/>
            <w:shd w:val="clear" w:color="auto" w:fill="auto"/>
            <w:vAlign w:val="bottom"/>
          </w:tcPr>
          <w:p w14:paraId="442F6CDB" w14:textId="77777777" w:rsidR="00CC25B5" w:rsidRDefault="00CC25B5">
            <w:pPr>
              <w:rPr>
                <w:rFonts w:ascii="宋体"/>
                <w:vanish/>
              </w:rPr>
            </w:pPr>
          </w:p>
        </w:tc>
        <w:tc>
          <w:tcPr>
            <w:tcW w:w="0" w:type="auto"/>
            <w:gridSpan w:val="3"/>
            <w:shd w:val="clear" w:color="auto" w:fill="auto"/>
            <w:vAlign w:val="bottom"/>
          </w:tcPr>
          <w:p w14:paraId="442F6CDC" w14:textId="77777777" w:rsidR="00CC25B5" w:rsidRDefault="00CC25B5">
            <w:pPr>
              <w:rPr>
                <w:rFonts w:ascii="宋体"/>
                <w:vanish/>
              </w:rPr>
            </w:pPr>
          </w:p>
        </w:tc>
        <w:tc>
          <w:tcPr>
            <w:tcW w:w="0" w:type="auto"/>
            <w:gridSpan w:val="3"/>
            <w:shd w:val="clear" w:color="auto" w:fill="auto"/>
            <w:vAlign w:val="bottom"/>
          </w:tcPr>
          <w:p w14:paraId="442F6CDD" w14:textId="77777777" w:rsidR="00CC25B5" w:rsidRDefault="00CC25B5">
            <w:pPr>
              <w:rPr>
                <w:rFonts w:ascii="宋体"/>
                <w:vanish/>
              </w:rPr>
            </w:pPr>
          </w:p>
        </w:tc>
        <w:tc>
          <w:tcPr>
            <w:tcW w:w="0" w:type="auto"/>
            <w:shd w:val="clear" w:color="auto" w:fill="auto"/>
            <w:vAlign w:val="bottom"/>
          </w:tcPr>
          <w:p w14:paraId="442F6CDE" w14:textId="77777777" w:rsidR="00CC25B5" w:rsidRDefault="00CC25B5">
            <w:pPr>
              <w:rPr>
                <w:rFonts w:ascii="宋体"/>
                <w:vanish/>
              </w:rPr>
            </w:pPr>
          </w:p>
        </w:tc>
        <w:tc>
          <w:tcPr>
            <w:tcW w:w="0" w:type="auto"/>
            <w:shd w:val="clear" w:color="auto" w:fill="auto"/>
            <w:vAlign w:val="bottom"/>
          </w:tcPr>
          <w:p w14:paraId="442F6CDF" w14:textId="77777777" w:rsidR="00CC25B5" w:rsidRDefault="00CC25B5">
            <w:pPr>
              <w:rPr>
                <w:rFonts w:ascii="宋体"/>
                <w:vanish/>
              </w:rPr>
            </w:pPr>
          </w:p>
        </w:tc>
        <w:tc>
          <w:tcPr>
            <w:tcW w:w="0" w:type="auto"/>
            <w:shd w:val="clear" w:color="auto" w:fill="auto"/>
            <w:vAlign w:val="bottom"/>
          </w:tcPr>
          <w:p w14:paraId="442F6CE0" w14:textId="77777777" w:rsidR="00CC25B5" w:rsidRDefault="00CC25B5">
            <w:pPr>
              <w:rPr>
                <w:rFonts w:ascii="宋体"/>
                <w:vanish/>
              </w:rPr>
            </w:pPr>
          </w:p>
        </w:tc>
      </w:tr>
      <w:tr w:rsidR="00CC25B5" w14:paraId="442F6CF5" w14:textId="77777777">
        <w:trPr>
          <w:hidden/>
        </w:trPr>
        <w:tc>
          <w:tcPr>
            <w:tcW w:w="0" w:type="auto"/>
            <w:gridSpan w:val="3"/>
            <w:shd w:val="clear" w:color="auto" w:fill="auto"/>
            <w:vAlign w:val="bottom"/>
          </w:tcPr>
          <w:p w14:paraId="442F6CE2" w14:textId="77777777" w:rsidR="00CC25B5" w:rsidRDefault="00CC25B5">
            <w:pPr>
              <w:rPr>
                <w:rFonts w:ascii="宋体"/>
                <w:vanish/>
              </w:rPr>
            </w:pPr>
          </w:p>
        </w:tc>
        <w:tc>
          <w:tcPr>
            <w:tcW w:w="0" w:type="auto"/>
            <w:gridSpan w:val="3"/>
            <w:shd w:val="clear" w:color="auto" w:fill="auto"/>
            <w:vAlign w:val="bottom"/>
          </w:tcPr>
          <w:p w14:paraId="442F6CE3" w14:textId="77777777" w:rsidR="00CC25B5" w:rsidRDefault="00CC25B5">
            <w:pPr>
              <w:rPr>
                <w:rFonts w:ascii="宋体"/>
                <w:vanish/>
              </w:rPr>
            </w:pPr>
          </w:p>
        </w:tc>
        <w:tc>
          <w:tcPr>
            <w:tcW w:w="0" w:type="auto"/>
            <w:gridSpan w:val="3"/>
            <w:shd w:val="clear" w:color="auto" w:fill="auto"/>
            <w:vAlign w:val="bottom"/>
          </w:tcPr>
          <w:p w14:paraId="442F6CE4" w14:textId="77777777" w:rsidR="00CC25B5" w:rsidRDefault="00CC25B5">
            <w:pPr>
              <w:rPr>
                <w:rFonts w:ascii="宋体"/>
                <w:vanish/>
              </w:rPr>
            </w:pPr>
          </w:p>
        </w:tc>
        <w:tc>
          <w:tcPr>
            <w:tcW w:w="0" w:type="auto"/>
            <w:gridSpan w:val="3"/>
            <w:shd w:val="clear" w:color="auto" w:fill="auto"/>
            <w:vAlign w:val="bottom"/>
          </w:tcPr>
          <w:p w14:paraId="442F6CE5" w14:textId="77777777" w:rsidR="00CC25B5" w:rsidRDefault="00CC25B5">
            <w:pPr>
              <w:rPr>
                <w:rFonts w:ascii="宋体"/>
                <w:vanish/>
              </w:rPr>
            </w:pPr>
          </w:p>
        </w:tc>
        <w:tc>
          <w:tcPr>
            <w:tcW w:w="0" w:type="auto"/>
            <w:gridSpan w:val="3"/>
            <w:shd w:val="clear" w:color="auto" w:fill="auto"/>
            <w:vAlign w:val="bottom"/>
          </w:tcPr>
          <w:p w14:paraId="442F6CE6" w14:textId="77777777" w:rsidR="00CC25B5" w:rsidRDefault="00CC25B5">
            <w:pPr>
              <w:rPr>
                <w:rFonts w:ascii="宋体"/>
                <w:vanish/>
              </w:rPr>
            </w:pPr>
          </w:p>
        </w:tc>
        <w:tc>
          <w:tcPr>
            <w:tcW w:w="0" w:type="auto"/>
            <w:gridSpan w:val="3"/>
            <w:shd w:val="clear" w:color="auto" w:fill="auto"/>
            <w:vAlign w:val="bottom"/>
          </w:tcPr>
          <w:p w14:paraId="442F6CE7" w14:textId="77777777" w:rsidR="00CC25B5" w:rsidRDefault="00CC25B5">
            <w:pPr>
              <w:rPr>
                <w:rFonts w:ascii="宋体"/>
                <w:vanish/>
              </w:rPr>
            </w:pPr>
          </w:p>
        </w:tc>
        <w:tc>
          <w:tcPr>
            <w:tcW w:w="0" w:type="auto"/>
            <w:gridSpan w:val="3"/>
            <w:shd w:val="clear" w:color="auto" w:fill="auto"/>
            <w:vAlign w:val="bottom"/>
          </w:tcPr>
          <w:p w14:paraId="442F6CE8" w14:textId="77777777" w:rsidR="00CC25B5" w:rsidRDefault="00CC25B5">
            <w:pPr>
              <w:rPr>
                <w:rFonts w:ascii="宋体"/>
                <w:vanish/>
              </w:rPr>
            </w:pPr>
          </w:p>
        </w:tc>
        <w:tc>
          <w:tcPr>
            <w:tcW w:w="0" w:type="auto"/>
            <w:gridSpan w:val="3"/>
            <w:shd w:val="clear" w:color="auto" w:fill="auto"/>
            <w:vAlign w:val="bottom"/>
          </w:tcPr>
          <w:p w14:paraId="442F6CE9" w14:textId="77777777" w:rsidR="00CC25B5" w:rsidRDefault="00CC25B5">
            <w:pPr>
              <w:rPr>
                <w:rFonts w:ascii="宋体"/>
                <w:vanish/>
              </w:rPr>
            </w:pPr>
          </w:p>
        </w:tc>
        <w:tc>
          <w:tcPr>
            <w:tcW w:w="0" w:type="auto"/>
            <w:gridSpan w:val="3"/>
            <w:shd w:val="clear" w:color="auto" w:fill="auto"/>
            <w:vAlign w:val="bottom"/>
          </w:tcPr>
          <w:p w14:paraId="442F6CEA" w14:textId="77777777" w:rsidR="00CC25B5" w:rsidRDefault="00CC25B5">
            <w:pPr>
              <w:rPr>
                <w:rFonts w:ascii="宋体"/>
                <w:vanish/>
              </w:rPr>
            </w:pPr>
          </w:p>
        </w:tc>
        <w:tc>
          <w:tcPr>
            <w:tcW w:w="0" w:type="auto"/>
            <w:gridSpan w:val="3"/>
            <w:shd w:val="clear" w:color="auto" w:fill="auto"/>
            <w:vAlign w:val="bottom"/>
          </w:tcPr>
          <w:p w14:paraId="442F6CEB" w14:textId="77777777" w:rsidR="00CC25B5" w:rsidRDefault="00CC25B5">
            <w:pPr>
              <w:rPr>
                <w:rFonts w:ascii="宋体"/>
                <w:vanish/>
              </w:rPr>
            </w:pPr>
          </w:p>
        </w:tc>
        <w:tc>
          <w:tcPr>
            <w:tcW w:w="0" w:type="auto"/>
            <w:gridSpan w:val="3"/>
            <w:shd w:val="clear" w:color="auto" w:fill="auto"/>
            <w:vAlign w:val="bottom"/>
          </w:tcPr>
          <w:p w14:paraId="442F6CEC" w14:textId="77777777" w:rsidR="00CC25B5" w:rsidRDefault="00CC25B5">
            <w:pPr>
              <w:rPr>
                <w:rFonts w:ascii="宋体"/>
                <w:vanish/>
              </w:rPr>
            </w:pPr>
          </w:p>
        </w:tc>
        <w:tc>
          <w:tcPr>
            <w:tcW w:w="0" w:type="auto"/>
            <w:gridSpan w:val="3"/>
            <w:shd w:val="clear" w:color="auto" w:fill="auto"/>
            <w:vAlign w:val="bottom"/>
          </w:tcPr>
          <w:p w14:paraId="442F6CED" w14:textId="77777777" w:rsidR="00CC25B5" w:rsidRDefault="00CC25B5">
            <w:pPr>
              <w:rPr>
                <w:rFonts w:ascii="宋体"/>
                <w:vanish/>
              </w:rPr>
            </w:pPr>
          </w:p>
        </w:tc>
        <w:tc>
          <w:tcPr>
            <w:tcW w:w="0" w:type="auto"/>
            <w:gridSpan w:val="3"/>
            <w:shd w:val="clear" w:color="auto" w:fill="auto"/>
            <w:vAlign w:val="bottom"/>
          </w:tcPr>
          <w:p w14:paraId="442F6CEE" w14:textId="77777777" w:rsidR="00CC25B5" w:rsidRDefault="00CC25B5">
            <w:pPr>
              <w:rPr>
                <w:rFonts w:ascii="宋体"/>
                <w:vanish/>
              </w:rPr>
            </w:pPr>
          </w:p>
        </w:tc>
        <w:tc>
          <w:tcPr>
            <w:tcW w:w="0" w:type="auto"/>
            <w:gridSpan w:val="3"/>
            <w:shd w:val="clear" w:color="auto" w:fill="auto"/>
            <w:vAlign w:val="bottom"/>
          </w:tcPr>
          <w:p w14:paraId="442F6CEF" w14:textId="77777777" w:rsidR="00CC25B5" w:rsidRDefault="00CC25B5">
            <w:pPr>
              <w:rPr>
                <w:rFonts w:ascii="宋体"/>
                <w:vanish/>
              </w:rPr>
            </w:pPr>
          </w:p>
        </w:tc>
        <w:tc>
          <w:tcPr>
            <w:tcW w:w="0" w:type="auto"/>
            <w:gridSpan w:val="3"/>
            <w:shd w:val="clear" w:color="auto" w:fill="auto"/>
            <w:vAlign w:val="bottom"/>
          </w:tcPr>
          <w:p w14:paraId="442F6CF0" w14:textId="77777777" w:rsidR="00CC25B5" w:rsidRDefault="00CC25B5">
            <w:pPr>
              <w:rPr>
                <w:rFonts w:ascii="宋体"/>
                <w:vanish/>
              </w:rPr>
            </w:pPr>
          </w:p>
        </w:tc>
        <w:tc>
          <w:tcPr>
            <w:tcW w:w="0" w:type="auto"/>
            <w:gridSpan w:val="3"/>
            <w:shd w:val="clear" w:color="auto" w:fill="auto"/>
            <w:vAlign w:val="bottom"/>
          </w:tcPr>
          <w:p w14:paraId="442F6CF1" w14:textId="77777777" w:rsidR="00CC25B5" w:rsidRDefault="00CC25B5">
            <w:pPr>
              <w:rPr>
                <w:rFonts w:ascii="宋体"/>
                <w:vanish/>
              </w:rPr>
            </w:pPr>
          </w:p>
        </w:tc>
        <w:tc>
          <w:tcPr>
            <w:tcW w:w="0" w:type="auto"/>
            <w:shd w:val="clear" w:color="auto" w:fill="auto"/>
            <w:vAlign w:val="bottom"/>
          </w:tcPr>
          <w:p w14:paraId="442F6CF2" w14:textId="77777777" w:rsidR="00CC25B5" w:rsidRDefault="00CC25B5">
            <w:pPr>
              <w:rPr>
                <w:rFonts w:ascii="宋体"/>
                <w:vanish/>
              </w:rPr>
            </w:pPr>
          </w:p>
        </w:tc>
        <w:tc>
          <w:tcPr>
            <w:tcW w:w="0" w:type="auto"/>
            <w:shd w:val="clear" w:color="auto" w:fill="auto"/>
            <w:vAlign w:val="bottom"/>
          </w:tcPr>
          <w:p w14:paraId="442F6CF3" w14:textId="77777777" w:rsidR="00CC25B5" w:rsidRDefault="00CC25B5">
            <w:pPr>
              <w:rPr>
                <w:rFonts w:ascii="宋体"/>
                <w:vanish/>
              </w:rPr>
            </w:pPr>
          </w:p>
        </w:tc>
        <w:tc>
          <w:tcPr>
            <w:tcW w:w="0" w:type="auto"/>
            <w:shd w:val="clear" w:color="auto" w:fill="auto"/>
            <w:vAlign w:val="bottom"/>
          </w:tcPr>
          <w:p w14:paraId="442F6CF4" w14:textId="77777777" w:rsidR="00CC25B5" w:rsidRDefault="00CC25B5">
            <w:pPr>
              <w:rPr>
                <w:rFonts w:ascii="宋体"/>
                <w:vanish/>
              </w:rPr>
            </w:pPr>
          </w:p>
        </w:tc>
      </w:tr>
      <w:tr w:rsidR="00CC25B5" w14:paraId="442F6D09" w14:textId="77777777">
        <w:trPr>
          <w:hidden/>
        </w:trPr>
        <w:tc>
          <w:tcPr>
            <w:tcW w:w="0" w:type="auto"/>
            <w:gridSpan w:val="3"/>
            <w:shd w:val="clear" w:color="auto" w:fill="auto"/>
            <w:vAlign w:val="bottom"/>
          </w:tcPr>
          <w:p w14:paraId="442F6CF6" w14:textId="77777777" w:rsidR="00CC25B5" w:rsidRDefault="00CC25B5">
            <w:pPr>
              <w:rPr>
                <w:rFonts w:ascii="宋体"/>
                <w:vanish/>
              </w:rPr>
            </w:pPr>
          </w:p>
        </w:tc>
        <w:tc>
          <w:tcPr>
            <w:tcW w:w="0" w:type="auto"/>
            <w:gridSpan w:val="3"/>
            <w:shd w:val="clear" w:color="auto" w:fill="auto"/>
            <w:vAlign w:val="bottom"/>
          </w:tcPr>
          <w:p w14:paraId="442F6CF7" w14:textId="77777777" w:rsidR="00CC25B5" w:rsidRDefault="00CC25B5">
            <w:pPr>
              <w:rPr>
                <w:rFonts w:ascii="宋体"/>
                <w:vanish/>
              </w:rPr>
            </w:pPr>
          </w:p>
        </w:tc>
        <w:tc>
          <w:tcPr>
            <w:tcW w:w="0" w:type="auto"/>
            <w:gridSpan w:val="3"/>
            <w:shd w:val="clear" w:color="auto" w:fill="auto"/>
            <w:vAlign w:val="bottom"/>
          </w:tcPr>
          <w:p w14:paraId="442F6CF8" w14:textId="77777777" w:rsidR="00CC25B5" w:rsidRDefault="00CC25B5">
            <w:pPr>
              <w:rPr>
                <w:rFonts w:ascii="宋体"/>
                <w:vanish/>
              </w:rPr>
            </w:pPr>
          </w:p>
        </w:tc>
        <w:tc>
          <w:tcPr>
            <w:tcW w:w="0" w:type="auto"/>
            <w:gridSpan w:val="3"/>
            <w:shd w:val="clear" w:color="auto" w:fill="auto"/>
            <w:vAlign w:val="bottom"/>
          </w:tcPr>
          <w:p w14:paraId="442F6CF9" w14:textId="77777777" w:rsidR="00CC25B5" w:rsidRDefault="00CC25B5">
            <w:pPr>
              <w:rPr>
                <w:rFonts w:ascii="宋体"/>
                <w:vanish/>
              </w:rPr>
            </w:pPr>
          </w:p>
        </w:tc>
        <w:tc>
          <w:tcPr>
            <w:tcW w:w="0" w:type="auto"/>
            <w:gridSpan w:val="3"/>
            <w:shd w:val="clear" w:color="auto" w:fill="auto"/>
            <w:vAlign w:val="bottom"/>
          </w:tcPr>
          <w:p w14:paraId="442F6CFA" w14:textId="77777777" w:rsidR="00CC25B5" w:rsidRDefault="00CC25B5">
            <w:pPr>
              <w:rPr>
                <w:rFonts w:ascii="宋体"/>
                <w:vanish/>
              </w:rPr>
            </w:pPr>
          </w:p>
        </w:tc>
        <w:tc>
          <w:tcPr>
            <w:tcW w:w="0" w:type="auto"/>
            <w:gridSpan w:val="3"/>
            <w:shd w:val="clear" w:color="auto" w:fill="auto"/>
            <w:vAlign w:val="bottom"/>
          </w:tcPr>
          <w:p w14:paraId="442F6CFB" w14:textId="77777777" w:rsidR="00CC25B5" w:rsidRDefault="00CC25B5">
            <w:pPr>
              <w:rPr>
                <w:rFonts w:ascii="宋体"/>
                <w:vanish/>
              </w:rPr>
            </w:pPr>
          </w:p>
        </w:tc>
        <w:tc>
          <w:tcPr>
            <w:tcW w:w="0" w:type="auto"/>
            <w:gridSpan w:val="3"/>
            <w:shd w:val="clear" w:color="auto" w:fill="auto"/>
            <w:vAlign w:val="bottom"/>
          </w:tcPr>
          <w:p w14:paraId="442F6CFC" w14:textId="77777777" w:rsidR="00CC25B5" w:rsidRDefault="00CC25B5">
            <w:pPr>
              <w:rPr>
                <w:rFonts w:ascii="宋体"/>
                <w:vanish/>
              </w:rPr>
            </w:pPr>
          </w:p>
        </w:tc>
        <w:tc>
          <w:tcPr>
            <w:tcW w:w="0" w:type="auto"/>
            <w:gridSpan w:val="3"/>
            <w:shd w:val="clear" w:color="auto" w:fill="auto"/>
            <w:vAlign w:val="bottom"/>
          </w:tcPr>
          <w:p w14:paraId="442F6CFD" w14:textId="77777777" w:rsidR="00CC25B5" w:rsidRDefault="00CC25B5">
            <w:pPr>
              <w:rPr>
                <w:rFonts w:ascii="宋体"/>
                <w:vanish/>
              </w:rPr>
            </w:pPr>
          </w:p>
        </w:tc>
        <w:tc>
          <w:tcPr>
            <w:tcW w:w="0" w:type="auto"/>
            <w:gridSpan w:val="3"/>
            <w:shd w:val="clear" w:color="auto" w:fill="auto"/>
            <w:vAlign w:val="bottom"/>
          </w:tcPr>
          <w:p w14:paraId="442F6CFE" w14:textId="77777777" w:rsidR="00CC25B5" w:rsidRDefault="00CC25B5">
            <w:pPr>
              <w:rPr>
                <w:rFonts w:ascii="宋体"/>
                <w:vanish/>
              </w:rPr>
            </w:pPr>
          </w:p>
        </w:tc>
        <w:tc>
          <w:tcPr>
            <w:tcW w:w="0" w:type="auto"/>
            <w:gridSpan w:val="3"/>
            <w:shd w:val="clear" w:color="auto" w:fill="auto"/>
            <w:vAlign w:val="bottom"/>
          </w:tcPr>
          <w:p w14:paraId="442F6CFF" w14:textId="77777777" w:rsidR="00CC25B5" w:rsidRDefault="00CC25B5">
            <w:pPr>
              <w:rPr>
                <w:rFonts w:ascii="宋体"/>
                <w:vanish/>
              </w:rPr>
            </w:pPr>
          </w:p>
        </w:tc>
        <w:tc>
          <w:tcPr>
            <w:tcW w:w="0" w:type="auto"/>
            <w:gridSpan w:val="3"/>
            <w:shd w:val="clear" w:color="auto" w:fill="auto"/>
            <w:vAlign w:val="bottom"/>
          </w:tcPr>
          <w:p w14:paraId="442F6D00" w14:textId="77777777" w:rsidR="00CC25B5" w:rsidRDefault="00CC25B5">
            <w:pPr>
              <w:rPr>
                <w:rFonts w:ascii="宋体"/>
                <w:vanish/>
              </w:rPr>
            </w:pPr>
          </w:p>
        </w:tc>
        <w:tc>
          <w:tcPr>
            <w:tcW w:w="0" w:type="auto"/>
            <w:gridSpan w:val="3"/>
            <w:shd w:val="clear" w:color="auto" w:fill="auto"/>
            <w:vAlign w:val="bottom"/>
          </w:tcPr>
          <w:p w14:paraId="442F6D01" w14:textId="77777777" w:rsidR="00CC25B5" w:rsidRDefault="00CC25B5">
            <w:pPr>
              <w:rPr>
                <w:rFonts w:ascii="宋体"/>
                <w:vanish/>
              </w:rPr>
            </w:pPr>
          </w:p>
        </w:tc>
        <w:tc>
          <w:tcPr>
            <w:tcW w:w="0" w:type="auto"/>
            <w:gridSpan w:val="3"/>
            <w:shd w:val="clear" w:color="auto" w:fill="auto"/>
            <w:vAlign w:val="bottom"/>
          </w:tcPr>
          <w:p w14:paraId="442F6D02" w14:textId="77777777" w:rsidR="00CC25B5" w:rsidRDefault="00CC25B5">
            <w:pPr>
              <w:rPr>
                <w:rFonts w:ascii="宋体"/>
                <w:vanish/>
              </w:rPr>
            </w:pPr>
          </w:p>
        </w:tc>
        <w:tc>
          <w:tcPr>
            <w:tcW w:w="0" w:type="auto"/>
            <w:gridSpan w:val="3"/>
            <w:shd w:val="clear" w:color="auto" w:fill="auto"/>
            <w:vAlign w:val="bottom"/>
          </w:tcPr>
          <w:p w14:paraId="442F6D03" w14:textId="77777777" w:rsidR="00CC25B5" w:rsidRDefault="00CC25B5">
            <w:pPr>
              <w:rPr>
                <w:rFonts w:ascii="宋体"/>
                <w:vanish/>
              </w:rPr>
            </w:pPr>
          </w:p>
        </w:tc>
        <w:tc>
          <w:tcPr>
            <w:tcW w:w="0" w:type="auto"/>
            <w:gridSpan w:val="3"/>
            <w:shd w:val="clear" w:color="auto" w:fill="auto"/>
            <w:vAlign w:val="bottom"/>
          </w:tcPr>
          <w:p w14:paraId="442F6D04" w14:textId="77777777" w:rsidR="00CC25B5" w:rsidRDefault="00CC25B5">
            <w:pPr>
              <w:rPr>
                <w:rFonts w:ascii="宋体"/>
                <w:vanish/>
              </w:rPr>
            </w:pPr>
          </w:p>
        </w:tc>
        <w:tc>
          <w:tcPr>
            <w:tcW w:w="0" w:type="auto"/>
            <w:gridSpan w:val="3"/>
            <w:shd w:val="clear" w:color="auto" w:fill="auto"/>
            <w:vAlign w:val="bottom"/>
          </w:tcPr>
          <w:p w14:paraId="442F6D05" w14:textId="77777777" w:rsidR="00CC25B5" w:rsidRDefault="00CC25B5">
            <w:pPr>
              <w:rPr>
                <w:rFonts w:ascii="宋体"/>
                <w:vanish/>
              </w:rPr>
            </w:pPr>
          </w:p>
        </w:tc>
        <w:tc>
          <w:tcPr>
            <w:tcW w:w="0" w:type="auto"/>
            <w:shd w:val="clear" w:color="auto" w:fill="auto"/>
            <w:vAlign w:val="bottom"/>
          </w:tcPr>
          <w:p w14:paraId="442F6D06" w14:textId="77777777" w:rsidR="00CC25B5" w:rsidRDefault="00CC25B5">
            <w:pPr>
              <w:rPr>
                <w:rFonts w:ascii="宋体"/>
                <w:vanish/>
              </w:rPr>
            </w:pPr>
          </w:p>
        </w:tc>
        <w:tc>
          <w:tcPr>
            <w:tcW w:w="0" w:type="auto"/>
            <w:shd w:val="clear" w:color="auto" w:fill="auto"/>
            <w:vAlign w:val="bottom"/>
          </w:tcPr>
          <w:p w14:paraId="442F6D07" w14:textId="77777777" w:rsidR="00CC25B5" w:rsidRDefault="00CC25B5">
            <w:pPr>
              <w:rPr>
                <w:rFonts w:ascii="宋体"/>
                <w:vanish/>
              </w:rPr>
            </w:pPr>
          </w:p>
        </w:tc>
        <w:tc>
          <w:tcPr>
            <w:tcW w:w="0" w:type="auto"/>
            <w:shd w:val="clear" w:color="auto" w:fill="auto"/>
            <w:vAlign w:val="bottom"/>
          </w:tcPr>
          <w:p w14:paraId="442F6D08" w14:textId="77777777" w:rsidR="00CC25B5" w:rsidRDefault="00CC25B5">
            <w:pPr>
              <w:rPr>
                <w:rFonts w:ascii="宋体"/>
                <w:vanish/>
              </w:rPr>
            </w:pPr>
          </w:p>
        </w:tc>
      </w:tr>
      <w:tr w:rsidR="00CC25B5" w14:paraId="442F6D1D" w14:textId="77777777">
        <w:trPr>
          <w:hidden/>
        </w:trPr>
        <w:tc>
          <w:tcPr>
            <w:tcW w:w="0" w:type="auto"/>
            <w:gridSpan w:val="3"/>
            <w:shd w:val="clear" w:color="auto" w:fill="auto"/>
            <w:vAlign w:val="bottom"/>
          </w:tcPr>
          <w:p w14:paraId="442F6D0A" w14:textId="77777777" w:rsidR="00CC25B5" w:rsidRDefault="00CC25B5">
            <w:pPr>
              <w:rPr>
                <w:rFonts w:ascii="宋体"/>
                <w:vanish/>
              </w:rPr>
            </w:pPr>
          </w:p>
        </w:tc>
        <w:tc>
          <w:tcPr>
            <w:tcW w:w="0" w:type="auto"/>
            <w:gridSpan w:val="3"/>
            <w:shd w:val="clear" w:color="auto" w:fill="auto"/>
            <w:vAlign w:val="bottom"/>
          </w:tcPr>
          <w:p w14:paraId="442F6D0B" w14:textId="77777777" w:rsidR="00CC25B5" w:rsidRDefault="00CC25B5">
            <w:pPr>
              <w:rPr>
                <w:rFonts w:ascii="宋体"/>
                <w:vanish/>
              </w:rPr>
            </w:pPr>
          </w:p>
        </w:tc>
        <w:tc>
          <w:tcPr>
            <w:tcW w:w="0" w:type="auto"/>
            <w:gridSpan w:val="3"/>
            <w:shd w:val="clear" w:color="auto" w:fill="auto"/>
            <w:vAlign w:val="bottom"/>
          </w:tcPr>
          <w:p w14:paraId="442F6D0C" w14:textId="77777777" w:rsidR="00CC25B5" w:rsidRDefault="00CC25B5">
            <w:pPr>
              <w:rPr>
                <w:rFonts w:ascii="宋体"/>
                <w:vanish/>
              </w:rPr>
            </w:pPr>
          </w:p>
        </w:tc>
        <w:tc>
          <w:tcPr>
            <w:tcW w:w="0" w:type="auto"/>
            <w:gridSpan w:val="3"/>
            <w:shd w:val="clear" w:color="auto" w:fill="auto"/>
            <w:vAlign w:val="bottom"/>
          </w:tcPr>
          <w:p w14:paraId="442F6D0D" w14:textId="77777777" w:rsidR="00CC25B5" w:rsidRDefault="00CC25B5">
            <w:pPr>
              <w:rPr>
                <w:rFonts w:ascii="宋体"/>
                <w:vanish/>
              </w:rPr>
            </w:pPr>
          </w:p>
        </w:tc>
        <w:tc>
          <w:tcPr>
            <w:tcW w:w="0" w:type="auto"/>
            <w:gridSpan w:val="3"/>
            <w:shd w:val="clear" w:color="auto" w:fill="auto"/>
            <w:vAlign w:val="bottom"/>
          </w:tcPr>
          <w:p w14:paraId="442F6D0E" w14:textId="77777777" w:rsidR="00CC25B5" w:rsidRDefault="00CC25B5">
            <w:pPr>
              <w:rPr>
                <w:rFonts w:ascii="宋体"/>
                <w:vanish/>
              </w:rPr>
            </w:pPr>
          </w:p>
        </w:tc>
        <w:tc>
          <w:tcPr>
            <w:tcW w:w="0" w:type="auto"/>
            <w:gridSpan w:val="3"/>
            <w:shd w:val="clear" w:color="auto" w:fill="auto"/>
            <w:vAlign w:val="bottom"/>
          </w:tcPr>
          <w:p w14:paraId="442F6D0F" w14:textId="77777777" w:rsidR="00CC25B5" w:rsidRDefault="00CC25B5">
            <w:pPr>
              <w:rPr>
                <w:rFonts w:ascii="宋体"/>
                <w:vanish/>
              </w:rPr>
            </w:pPr>
          </w:p>
        </w:tc>
        <w:tc>
          <w:tcPr>
            <w:tcW w:w="0" w:type="auto"/>
            <w:gridSpan w:val="3"/>
            <w:shd w:val="clear" w:color="auto" w:fill="auto"/>
            <w:vAlign w:val="bottom"/>
          </w:tcPr>
          <w:p w14:paraId="442F6D10" w14:textId="77777777" w:rsidR="00CC25B5" w:rsidRDefault="00CC25B5">
            <w:pPr>
              <w:rPr>
                <w:rFonts w:ascii="宋体"/>
                <w:vanish/>
              </w:rPr>
            </w:pPr>
          </w:p>
        </w:tc>
        <w:tc>
          <w:tcPr>
            <w:tcW w:w="0" w:type="auto"/>
            <w:gridSpan w:val="3"/>
            <w:shd w:val="clear" w:color="auto" w:fill="auto"/>
            <w:vAlign w:val="bottom"/>
          </w:tcPr>
          <w:p w14:paraId="442F6D11" w14:textId="77777777" w:rsidR="00CC25B5" w:rsidRDefault="00CC25B5">
            <w:pPr>
              <w:rPr>
                <w:rFonts w:ascii="宋体"/>
                <w:vanish/>
              </w:rPr>
            </w:pPr>
          </w:p>
        </w:tc>
        <w:tc>
          <w:tcPr>
            <w:tcW w:w="0" w:type="auto"/>
            <w:gridSpan w:val="3"/>
            <w:shd w:val="clear" w:color="auto" w:fill="auto"/>
            <w:vAlign w:val="bottom"/>
          </w:tcPr>
          <w:p w14:paraId="442F6D12" w14:textId="77777777" w:rsidR="00CC25B5" w:rsidRDefault="00CC25B5">
            <w:pPr>
              <w:rPr>
                <w:rFonts w:ascii="宋体"/>
                <w:vanish/>
              </w:rPr>
            </w:pPr>
          </w:p>
        </w:tc>
        <w:tc>
          <w:tcPr>
            <w:tcW w:w="0" w:type="auto"/>
            <w:gridSpan w:val="3"/>
            <w:shd w:val="clear" w:color="auto" w:fill="auto"/>
            <w:vAlign w:val="bottom"/>
          </w:tcPr>
          <w:p w14:paraId="442F6D13" w14:textId="77777777" w:rsidR="00CC25B5" w:rsidRDefault="00CC25B5">
            <w:pPr>
              <w:rPr>
                <w:rFonts w:ascii="宋体"/>
                <w:vanish/>
              </w:rPr>
            </w:pPr>
          </w:p>
        </w:tc>
        <w:tc>
          <w:tcPr>
            <w:tcW w:w="0" w:type="auto"/>
            <w:gridSpan w:val="3"/>
            <w:shd w:val="clear" w:color="auto" w:fill="auto"/>
            <w:vAlign w:val="bottom"/>
          </w:tcPr>
          <w:p w14:paraId="442F6D14" w14:textId="77777777" w:rsidR="00CC25B5" w:rsidRDefault="00CC25B5">
            <w:pPr>
              <w:rPr>
                <w:rFonts w:ascii="宋体"/>
                <w:vanish/>
              </w:rPr>
            </w:pPr>
          </w:p>
        </w:tc>
        <w:tc>
          <w:tcPr>
            <w:tcW w:w="0" w:type="auto"/>
            <w:gridSpan w:val="3"/>
            <w:shd w:val="clear" w:color="auto" w:fill="auto"/>
            <w:vAlign w:val="bottom"/>
          </w:tcPr>
          <w:p w14:paraId="442F6D15" w14:textId="77777777" w:rsidR="00CC25B5" w:rsidRDefault="00CC25B5">
            <w:pPr>
              <w:rPr>
                <w:rFonts w:ascii="宋体"/>
                <w:vanish/>
              </w:rPr>
            </w:pPr>
          </w:p>
        </w:tc>
        <w:tc>
          <w:tcPr>
            <w:tcW w:w="0" w:type="auto"/>
            <w:gridSpan w:val="3"/>
            <w:shd w:val="clear" w:color="auto" w:fill="auto"/>
            <w:vAlign w:val="bottom"/>
          </w:tcPr>
          <w:p w14:paraId="442F6D16" w14:textId="77777777" w:rsidR="00CC25B5" w:rsidRDefault="00CC25B5">
            <w:pPr>
              <w:rPr>
                <w:rFonts w:ascii="宋体"/>
                <w:vanish/>
              </w:rPr>
            </w:pPr>
          </w:p>
        </w:tc>
        <w:tc>
          <w:tcPr>
            <w:tcW w:w="0" w:type="auto"/>
            <w:gridSpan w:val="3"/>
            <w:shd w:val="clear" w:color="auto" w:fill="auto"/>
            <w:vAlign w:val="bottom"/>
          </w:tcPr>
          <w:p w14:paraId="442F6D17" w14:textId="77777777" w:rsidR="00CC25B5" w:rsidRDefault="00CC25B5">
            <w:pPr>
              <w:rPr>
                <w:rFonts w:ascii="宋体"/>
                <w:vanish/>
              </w:rPr>
            </w:pPr>
          </w:p>
        </w:tc>
        <w:tc>
          <w:tcPr>
            <w:tcW w:w="0" w:type="auto"/>
            <w:gridSpan w:val="3"/>
            <w:shd w:val="clear" w:color="auto" w:fill="auto"/>
            <w:vAlign w:val="bottom"/>
          </w:tcPr>
          <w:p w14:paraId="442F6D18" w14:textId="77777777" w:rsidR="00CC25B5" w:rsidRDefault="00CC25B5">
            <w:pPr>
              <w:rPr>
                <w:rFonts w:ascii="宋体"/>
                <w:vanish/>
              </w:rPr>
            </w:pPr>
          </w:p>
        </w:tc>
        <w:tc>
          <w:tcPr>
            <w:tcW w:w="0" w:type="auto"/>
            <w:gridSpan w:val="3"/>
            <w:shd w:val="clear" w:color="auto" w:fill="auto"/>
            <w:vAlign w:val="bottom"/>
          </w:tcPr>
          <w:p w14:paraId="442F6D19" w14:textId="77777777" w:rsidR="00CC25B5" w:rsidRDefault="00CC25B5">
            <w:pPr>
              <w:rPr>
                <w:rFonts w:ascii="宋体"/>
                <w:vanish/>
              </w:rPr>
            </w:pPr>
          </w:p>
        </w:tc>
        <w:tc>
          <w:tcPr>
            <w:tcW w:w="0" w:type="auto"/>
            <w:shd w:val="clear" w:color="auto" w:fill="auto"/>
            <w:vAlign w:val="bottom"/>
          </w:tcPr>
          <w:p w14:paraId="442F6D1A" w14:textId="77777777" w:rsidR="00CC25B5" w:rsidRDefault="00CC25B5">
            <w:pPr>
              <w:rPr>
                <w:rFonts w:ascii="宋体"/>
                <w:vanish/>
              </w:rPr>
            </w:pPr>
          </w:p>
        </w:tc>
        <w:tc>
          <w:tcPr>
            <w:tcW w:w="0" w:type="auto"/>
            <w:shd w:val="clear" w:color="auto" w:fill="auto"/>
            <w:vAlign w:val="bottom"/>
          </w:tcPr>
          <w:p w14:paraId="442F6D1B" w14:textId="77777777" w:rsidR="00CC25B5" w:rsidRDefault="00CC25B5">
            <w:pPr>
              <w:rPr>
                <w:rFonts w:ascii="宋体"/>
                <w:vanish/>
              </w:rPr>
            </w:pPr>
          </w:p>
        </w:tc>
        <w:tc>
          <w:tcPr>
            <w:tcW w:w="0" w:type="auto"/>
            <w:shd w:val="clear" w:color="auto" w:fill="auto"/>
            <w:vAlign w:val="bottom"/>
          </w:tcPr>
          <w:p w14:paraId="442F6D1C" w14:textId="77777777" w:rsidR="00CC25B5" w:rsidRDefault="00CC25B5">
            <w:pPr>
              <w:rPr>
                <w:rFonts w:ascii="宋体"/>
                <w:vanish/>
              </w:rPr>
            </w:pPr>
          </w:p>
        </w:tc>
      </w:tr>
      <w:tr w:rsidR="00CC25B5" w14:paraId="442F6D31" w14:textId="77777777">
        <w:trPr>
          <w:hidden/>
        </w:trPr>
        <w:tc>
          <w:tcPr>
            <w:tcW w:w="0" w:type="auto"/>
            <w:gridSpan w:val="3"/>
            <w:shd w:val="clear" w:color="auto" w:fill="auto"/>
            <w:vAlign w:val="bottom"/>
          </w:tcPr>
          <w:p w14:paraId="442F6D1E" w14:textId="77777777" w:rsidR="00CC25B5" w:rsidRDefault="00CC25B5">
            <w:pPr>
              <w:rPr>
                <w:rFonts w:ascii="宋体"/>
                <w:vanish/>
              </w:rPr>
            </w:pPr>
          </w:p>
        </w:tc>
        <w:tc>
          <w:tcPr>
            <w:tcW w:w="0" w:type="auto"/>
            <w:gridSpan w:val="3"/>
            <w:shd w:val="clear" w:color="auto" w:fill="auto"/>
            <w:vAlign w:val="bottom"/>
          </w:tcPr>
          <w:p w14:paraId="442F6D1F" w14:textId="77777777" w:rsidR="00CC25B5" w:rsidRDefault="00CC25B5">
            <w:pPr>
              <w:rPr>
                <w:rFonts w:ascii="宋体"/>
                <w:vanish/>
              </w:rPr>
            </w:pPr>
          </w:p>
        </w:tc>
        <w:tc>
          <w:tcPr>
            <w:tcW w:w="0" w:type="auto"/>
            <w:gridSpan w:val="3"/>
            <w:shd w:val="clear" w:color="auto" w:fill="auto"/>
            <w:vAlign w:val="bottom"/>
          </w:tcPr>
          <w:p w14:paraId="442F6D20" w14:textId="77777777" w:rsidR="00CC25B5" w:rsidRDefault="00CC25B5">
            <w:pPr>
              <w:rPr>
                <w:rFonts w:ascii="宋体"/>
                <w:vanish/>
              </w:rPr>
            </w:pPr>
          </w:p>
        </w:tc>
        <w:tc>
          <w:tcPr>
            <w:tcW w:w="0" w:type="auto"/>
            <w:gridSpan w:val="3"/>
            <w:shd w:val="clear" w:color="auto" w:fill="auto"/>
            <w:vAlign w:val="bottom"/>
          </w:tcPr>
          <w:p w14:paraId="442F6D21" w14:textId="77777777" w:rsidR="00CC25B5" w:rsidRDefault="00CC25B5">
            <w:pPr>
              <w:rPr>
                <w:rFonts w:ascii="宋体"/>
                <w:vanish/>
              </w:rPr>
            </w:pPr>
          </w:p>
        </w:tc>
        <w:tc>
          <w:tcPr>
            <w:tcW w:w="0" w:type="auto"/>
            <w:gridSpan w:val="3"/>
            <w:shd w:val="clear" w:color="auto" w:fill="auto"/>
            <w:vAlign w:val="bottom"/>
          </w:tcPr>
          <w:p w14:paraId="442F6D22" w14:textId="77777777" w:rsidR="00CC25B5" w:rsidRDefault="00CC25B5">
            <w:pPr>
              <w:rPr>
                <w:rFonts w:ascii="宋体"/>
                <w:vanish/>
              </w:rPr>
            </w:pPr>
          </w:p>
        </w:tc>
        <w:tc>
          <w:tcPr>
            <w:tcW w:w="0" w:type="auto"/>
            <w:gridSpan w:val="3"/>
            <w:shd w:val="clear" w:color="auto" w:fill="auto"/>
            <w:vAlign w:val="bottom"/>
          </w:tcPr>
          <w:p w14:paraId="442F6D23" w14:textId="77777777" w:rsidR="00CC25B5" w:rsidRDefault="00CC25B5">
            <w:pPr>
              <w:rPr>
                <w:rFonts w:ascii="宋体"/>
                <w:vanish/>
              </w:rPr>
            </w:pPr>
          </w:p>
        </w:tc>
        <w:tc>
          <w:tcPr>
            <w:tcW w:w="0" w:type="auto"/>
            <w:gridSpan w:val="3"/>
            <w:shd w:val="clear" w:color="auto" w:fill="auto"/>
            <w:vAlign w:val="bottom"/>
          </w:tcPr>
          <w:p w14:paraId="442F6D24" w14:textId="77777777" w:rsidR="00CC25B5" w:rsidRDefault="00CC25B5">
            <w:pPr>
              <w:rPr>
                <w:rFonts w:ascii="宋体"/>
                <w:vanish/>
              </w:rPr>
            </w:pPr>
          </w:p>
        </w:tc>
        <w:tc>
          <w:tcPr>
            <w:tcW w:w="0" w:type="auto"/>
            <w:gridSpan w:val="3"/>
            <w:shd w:val="clear" w:color="auto" w:fill="auto"/>
            <w:vAlign w:val="bottom"/>
          </w:tcPr>
          <w:p w14:paraId="442F6D25" w14:textId="77777777" w:rsidR="00CC25B5" w:rsidRDefault="00CC25B5">
            <w:pPr>
              <w:rPr>
                <w:rFonts w:ascii="宋体"/>
                <w:vanish/>
              </w:rPr>
            </w:pPr>
          </w:p>
        </w:tc>
        <w:tc>
          <w:tcPr>
            <w:tcW w:w="0" w:type="auto"/>
            <w:gridSpan w:val="3"/>
            <w:shd w:val="clear" w:color="auto" w:fill="auto"/>
            <w:vAlign w:val="bottom"/>
          </w:tcPr>
          <w:p w14:paraId="442F6D26" w14:textId="77777777" w:rsidR="00CC25B5" w:rsidRDefault="00CC25B5">
            <w:pPr>
              <w:rPr>
                <w:rFonts w:ascii="宋体"/>
                <w:vanish/>
              </w:rPr>
            </w:pPr>
          </w:p>
        </w:tc>
        <w:tc>
          <w:tcPr>
            <w:tcW w:w="0" w:type="auto"/>
            <w:gridSpan w:val="3"/>
            <w:shd w:val="clear" w:color="auto" w:fill="auto"/>
            <w:vAlign w:val="bottom"/>
          </w:tcPr>
          <w:p w14:paraId="442F6D27" w14:textId="77777777" w:rsidR="00CC25B5" w:rsidRDefault="00CC25B5">
            <w:pPr>
              <w:rPr>
                <w:rFonts w:ascii="宋体"/>
                <w:vanish/>
              </w:rPr>
            </w:pPr>
          </w:p>
        </w:tc>
        <w:tc>
          <w:tcPr>
            <w:tcW w:w="0" w:type="auto"/>
            <w:gridSpan w:val="3"/>
            <w:shd w:val="clear" w:color="auto" w:fill="auto"/>
            <w:vAlign w:val="bottom"/>
          </w:tcPr>
          <w:p w14:paraId="442F6D28" w14:textId="77777777" w:rsidR="00CC25B5" w:rsidRDefault="00CC25B5">
            <w:pPr>
              <w:rPr>
                <w:rFonts w:ascii="宋体"/>
                <w:vanish/>
              </w:rPr>
            </w:pPr>
          </w:p>
        </w:tc>
        <w:tc>
          <w:tcPr>
            <w:tcW w:w="0" w:type="auto"/>
            <w:gridSpan w:val="3"/>
            <w:shd w:val="clear" w:color="auto" w:fill="auto"/>
            <w:vAlign w:val="bottom"/>
          </w:tcPr>
          <w:p w14:paraId="442F6D29" w14:textId="77777777" w:rsidR="00CC25B5" w:rsidRDefault="00CC25B5">
            <w:pPr>
              <w:rPr>
                <w:rFonts w:ascii="宋体"/>
                <w:vanish/>
              </w:rPr>
            </w:pPr>
          </w:p>
        </w:tc>
        <w:tc>
          <w:tcPr>
            <w:tcW w:w="0" w:type="auto"/>
            <w:gridSpan w:val="3"/>
            <w:shd w:val="clear" w:color="auto" w:fill="auto"/>
            <w:vAlign w:val="bottom"/>
          </w:tcPr>
          <w:p w14:paraId="442F6D2A" w14:textId="77777777" w:rsidR="00CC25B5" w:rsidRDefault="00CC25B5">
            <w:pPr>
              <w:rPr>
                <w:rFonts w:ascii="宋体"/>
                <w:vanish/>
              </w:rPr>
            </w:pPr>
          </w:p>
        </w:tc>
        <w:tc>
          <w:tcPr>
            <w:tcW w:w="0" w:type="auto"/>
            <w:gridSpan w:val="3"/>
            <w:shd w:val="clear" w:color="auto" w:fill="auto"/>
            <w:vAlign w:val="bottom"/>
          </w:tcPr>
          <w:p w14:paraId="442F6D2B" w14:textId="77777777" w:rsidR="00CC25B5" w:rsidRDefault="00CC25B5">
            <w:pPr>
              <w:rPr>
                <w:rFonts w:ascii="宋体"/>
                <w:vanish/>
              </w:rPr>
            </w:pPr>
          </w:p>
        </w:tc>
        <w:tc>
          <w:tcPr>
            <w:tcW w:w="0" w:type="auto"/>
            <w:gridSpan w:val="3"/>
            <w:shd w:val="clear" w:color="auto" w:fill="auto"/>
            <w:vAlign w:val="bottom"/>
          </w:tcPr>
          <w:p w14:paraId="442F6D2C" w14:textId="77777777" w:rsidR="00CC25B5" w:rsidRDefault="00CC25B5">
            <w:pPr>
              <w:rPr>
                <w:rFonts w:ascii="宋体"/>
                <w:vanish/>
              </w:rPr>
            </w:pPr>
          </w:p>
        </w:tc>
        <w:tc>
          <w:tcPr>
            <w:tcW w:w="0" w:type="auto"/>
            <w:gridSpan w:val="3"/>
            <w:shd w:val="clear" w:color="auto" w:fill="auto"/>
            <w:vAlign w:val="bottom"/>
          </w:tcPr>
          <w:p w14:paraId="442F6D2D" w14:textId="77777777" w:rsidR="00CC25B5" w:rsidRDefault="00CC25B5">
            <w:pPr>
              <w:rPr>
                <w:rFonts w:ascii="宋体"/>
                <w:vanish/>
              </w:rPr>
            </w:pPr>
          </w:p>
        </w:tc>
        <w:tc>
          <w:tcPr>
            <w:tcW w:w="0" w:type="auto"/>
            <w:shd w:val="clear" w:color="auto" w:fill="auto"/>
            <w:vAlign w:val="bottom"/>
          </w:tcPr>
          <w:p w14:paraId="442F6D2E" w14:textId="77777777" w:rsidR="00CC25B5" w:rsidRDefault="00CC25B5">
            <w:pPr>
              <w:rPr>
                <w:rFonts w:ascii="宋体"/>
                <w:vanish/>
              </w:rPr>
            </w:pPr>
          </w:p>
        </w:tc>
        <w:tc>
          <w:tcPr>
            <w:tcW w:w="0" w:type="auto"/>
            <w:shd w:val="clear" w:color="auto" w:fill="auto"/>
            <w:vAlign w:val="bottom"/>
          </w:tcPr>
          <w:p w14:paraId="442F6D2F" w14:textId="77777777" w:rsidR="00CC25B5" w:rsidRDefault="00CC25B5">
            <w:pPr>
              <w:rPr>
                <w:rFonts w:ascii="宋体"/>
                <w:vanish/>
              </w:rPr>
            </w:pPr>
          </w:p>
        </w:tc>
        <w:tc>
          <w:tcPr>
            <w:tcW w:w="0" w:type="auto"/>
            <w:shd w:val="clear" w:color="auto" w:fill="auto"/>
            <w:vAlign w:val="bottom"/>
          </w:tcPr>
          <w:p w14:paraId="442F6D30" w14:textId="77777777" w:rsidR="00CC25B5" w:rsidRDefault="00CC25B5">
            <w:pPr>
              <w:rPr>
                <w:rFonts w:ascii="宋体"/>
                <w:vanish/>
              </w:rPr>
            </w:pPr>
          </w:p>
        </w:tc>
      </w:tr>
    </w:tbl>
    <w:p w14:paraId="442F6D32" w14:textId="77777777" w:rsidR="00CC25B5" w:rsidRDefault="00900968">
      <w:pPr>
        <w:spacing w:before="80"/>
      </w:pPr>
      <w:r>
        <w:rPr>
          <w:rFonts w:ascii="Times New Roman" w:eastAsia="宋体" w:hAnsi="Times New Roman"/>
          <w:i/>
          <w:iCs/>
          <w:color w:val="000000"/>
          <w:sz w:val="16"/>
          <w:szCs w:val="16"/>
        </w:rPr>
        <w:t xml:space="preserve">See accompanying notes.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968"/>
        <w:gridCol w:w="38"/>
        <w:gridCol w:w="80"/>
        <w:gridCol w:w="412"/>
        <w:gridCol w:w="37"/>
        <w:gridCol w:w="40"/>
        <w:gridCol w:w="32"/>
        <w:gridCol w:w="36"/>
        <w:gridCol w:w="100"/>
        <w:gridCol w:w="487"/>
        <w:gridCol w:w="36"/>
        <w:gridCol w:w="40"/>
        <w:gridCol w:w="32"/>
        <w:gridCol w:w="36"/>
        <w:gridCol w:w="101"/>
        <w:gridCol w:w="623"/>
        <w:gridCol w:w="36"/>
        <w:gridCol w:w="40"/>
        <w:gridCol w:w="32"/>
        <w:gridCol w:w="36"/>
        <w:gridCol w:w="100"/>
        <w:gridCol w:w="558"/>
        <w:gridCol w:w="36"/>
        <w:gridCol w:w="40"/>
        <w:gridCol w:w="32"/>
        <w:gridCol w:w="36"/>
        <w:gridCol w:w="137"/>
        <w:gridCol w:w="946"/>
        <w:gridCol w:w="36"/>
        <w:gridCol w:w="40"/>
        <w:gridCol w:w="32"/>
        <w:gridCol w:w="36"/>
        <w:gridCol w:w="123"/>
        <w:gridCol w:w="847"/>
        <w:gridCol w:w="36"/>
        <w:gridCol w:w="40"/>
        <w:gridCol w:w="32"/>
        <w:gridCol w:w="36"/>
        <w:gridCol w:w="133"/>
        <w:gridCol w:w="916"/>
        <w:gridCol w:w="36"/>
        <w:gridCol w:w="40"/>
        <w:gridCol w:w="32"/>
        <w:gridCol w:w="36"/>
        <w:gridCol w:w="99"/>
        <w:gridCol w:w="475"/>
        <w:gridCol w:w="36"/>
        <w:gridCol w:w="36"/>
        <w:gridCol w:w="36"/>
        <w:gridCol w:w="36"/>
      </w:tblGrid>
      <w:tr w:rsidR="00CC25B5" w14:paraId="442F6D66" w14:textId="77777777">
        <w:trPr>
          <w:jc w:val="center"/>
        </w:trPr>
        <w:tc>
          <w:tcPr>
            <w:tcW w:w="50" w:type="pct"/>
            <w:shd w:val="clear" w:color="auto" w:fill="auto"/>
            <w:vAlign w:val="bottom"/>
          </w:tcPr>
          <w:p w14:paraId="442F6D33" w14:textId="77777777" w:rsidR="00CC25B5" w:rsidRDefault="00CC25B5">
            <w:pPr>
              <w:rPr>
                <w:rFonts w:ascii="宋体"/>
              </w:rPr>
            </w:pPr>
          </w:p>
        </w:tc>
        <w:tc>
          <w:tcPr>
            <w:tcW w:w="1732" w:type="pct"/>
            <w:shd w:val="clear" w:color="auto" w:fill="auto"/>
            <w:vAlign w:val="bottom"/>
          </w:tcPr>
          <w:p w14:paraId="442F6D34" w14:textId="77777777" w:rsidR="00CC25B5" w:rsidRDefault="00CC25B5">
            <w:pPr>
              <w:rPr>
                <w:rFonts w:ascii="宋体"/>
              </w:rPr>
            </w:pPr>
          </w:p>
        </w:tc>
        <w:tc>
          <w:tcPr>
            <w:tcW w:w="5" w:type="pct"/>
            <w:shd w:val="clear" w:color="auto" w:fill="auto"/>
            <w:vAlign w:val="bottom"/>
          </w:tcPr>
          <w:p w14:paraId="442F6D35" w14:textId="77777777" w:rsidR="00CC25B5" w:rsidRDefault="00CC25B5">
            <w:pPr>
              <w:rPr>
                <w:rFonts w:ascii="宋体"/>
              </w:rPr>
            </w:pPr>
          </w:p>
        </w:tc>
        <w:tc>
          <w:tcPr>
            <w:tcW w:w="50" w:type="pct"/>
            <w:shd w:val="clear" w:color="auto" w:fill="auto"/>
            <w:vAlign w:val="bottom"/>
          </w:tcPr>
          <w:p w14:paraId="442F6D36" w14:textId="77777777" w:rsidR="00CC25B5" w:rsidRDefault="00CC25B5">
            <w:pPr>
              <w:rPr>
                <w:rFonts w:ascii="宋体"/>
              </w:rPr>
            </w:pPr>
          </w:p>
        </w:tc>
        <w:tc>
          <w:tcPr>
            <w:tcW w:w="262" w:type="pct"/>
            <w:shd w:val="clear" w:color="auto" w:fill="auto"/>
            <w:vAlign w:val="bottom"/>
          </w:tcPr>
          <w:p w14:paraId="442F6D37" w14:textId="77777777" w:rsidR="00CC25B5" w:rsidRDefault="00CC25B5">
            <w:pPr>
              <w:rPr>
                <w:rFonts w:ascii="宋体"/>
              </w:rPr>
            </w:pPr>
          </w:p>
        </w:tc>
        <w:tc>
          <w:tcPr>
            <w:tcW w:w="5" w:type="pct"/>
            <w:shd w:val="clear" w:color="auto" w:fill="auto"/>
            <w:vAlign w:val="bottom"/>
          </w:tcPr>
          <w:p w14:paraId="442F6D38" w14:textId="77777777" w:rsidR="00CC25B5" w:rsidRDefault="00CC25B5">
            <w:pPr>
              <w:rPr>
                <w:rFonts w:ascii="宋体"/>
              </w:rPr>
            </w:pPr>
          </w:p>
        </w:tc>
        <w:tc>
          <w:tcPr>
            <w:tcW w:w="5" w:type="pct"/>
            <w:shd w:val="clear" w:color="auto" w:fill="auto"/>
            <w:vAlign w:val="bottom"/>
          </w:tcPr>
          <w:p w14:paraId="442F6D39" w14:textId="77777777" w:rsidR="00CC25B5" w:rsidRDefault="00CC25B5">
            <w:pPr>
              <w:rPr>
                <w:rFonts w:ascii="宋体"/>
              </w:rPr>
            </w:pPr>
          </w:p>
        </w:tc>
        <w:tc>
          <w:tcPr>
            <w:tcW w:w="15" w:type="pct"/>
            <w:shd w:val="clear" w:color="auto" w:fill="auto"/>
            <w:vAlign w:val="bottom"/>
          </w:tcPr>
          <w:p w14:paraId="442F6D3A" w14:textId="77777777" w:rsidR="00CC25B5" w:rsidRDefault="00CC25B5">
            <w:pPr>
              <w:rPr>
                <w:rFonts w:ascii="宋体"/>
              </w:rPr>
            </w:pPr>
          </w:p>
        </w:tc>
        <w:tc>
          <w:tcPr>
            <w:tcW w:w="5" w:type="pct"/>
            <w:shd w:val="clear" w:color="auto" w:fill="auto"/>
            <w:vAlign w:val="bottom"/>
          </w:tcPr>
          <w:p w14:paraId="442F6D3B" w14:textId="77777777" w:rsidR="00CC25B5" w:rsidRDefault="00CC25B5">
            <w:pPr>
              <w:rPr>
                <w:rFonts w:ascii="宋体"/>
              </w:rPr>
            </w:pPr>
          </w:p>
        </w:tc>
        <w:tc>
          <w:tcPr>
            <w:tcW w:w="50" w:type="pct"/>
            <w:shd w:val="clear" w:color="auto" w:fill="auto"/>
            <w:vAlign w:val="bottom"/>
          </w:tcPr>
          <w:p w14:paraId="442F6D3C" w14:textId="77777777" w:rsidR="00CC25B5" w:rsidRDefault="00CC25B5">
            <w:pPr>
              <w:rPr>
                <w:rFonts w:ascii="宋体"/>
              </w:rPr>
            </w:pPr>
          </w:p>
        </w:tc>
        <w:tc>
          <w:tcPr>
            <w:tcW w:w="247" w:type="pct"/>
            <w:shd w:val="clear" w:color="auto" w:fill="auto"/>
            <w:vAlign w:val="bottom"/>
          </w:tcPr>
          <w:p w14:paraId="442F6D3D" w14:textId="77777777" w:rsidR="00CC25B5" w:rsidRDefault="00CC25B5">
            <w:pPr>
              <w:rPr>
                <w:rFonts w:ascii="宋体"/>
              </w:rPr>
            </w:pPr>
          </w:p>
        </w:tc>
        <w:tc>
          <w:tcPr>
            <w:tcW w:w="5" w:type="pct"/>
            <w:shd w:val="clear" w:color="auto" w:fill="auto"/>
            <w:vAlign w:val="bottom"/>
          </w:tcPr>
          <w:p w14:paraId="442F6D3E" w14:textId="77777777" w:rsidR="00CC25B5" w:rsidRDefault="00CC25B5">
            <w:pPr>
              <w:rPr>
                <w:rFonts w:ascii="宋体"/>
              </w:rPr>
            </w:pPr>
          </w:p>
        </w:tc>
        <w:tc>
          <w:tcPr>
            <w:tcW w:w="5" w:type="pct"/>
            <w:shd w:val="clear" w:color="auto" w:fill="auto"/>
            <w:vAlign w:val="bottom"/>
          </w:tcPr>
          <w:p w14:paraId="442F6D3F" w14:textId="77777777" w:rsidR="00CC25B5" w:rsidRDefault="00CC25B5">
            <w:pPr>
              <w:rPr>
                <w:rFonts w:ascii="宋体"/>
              </w:rPr>
            </w:pPr>
          </w:p>
        </w:tc>
        <w:tc>
          <w:tcPr>
            <w:tcW w:w="15" w:type="pct"/>
            <w:shd w:val="clear" w:color="auto" w:fill="auto"/>
            <w:vAlign w:val="bottom"/>
          </w:tcPr>
          <w:p w14:paraId="442F6D40" w14:textId="77777777" w:rsidR="00CC25B5" w:rsidRDefault="00CC25B5">
            <w:pPr>
              <w:rPr>
                <w:rFonts w:ascii="宋体"/>
              </w:rPr>
            </w:pPr>
          </w:p>
        </w:tc>
        <w:tc>
          <w:tcPr>
            <w:tcW w:w="5" w:type="pct"/>
            <w:shd w:val="clear" w:color="auto" w:fill="auto"/>
            <w:vAlign w:val="bottom"/>
          </w:tcPr>
          <w:p w14:paraId="442F6D41" w14:textId="77777777" w:rsidR="00CC25B5" w:rsidRDefault="00CC25B5">
            <w:pPr>
              <w:rPr>
                <w:rFonts w:ascii="宋体"/>
              </w:rPr>
            </w:pPr>
          </w:p>
        </w:tc>
        <w:tc>
          <w:tcPr>
            <w:tcW w:w="50" w:type="pct"/>
            <w:shd w:val="clear" w:color="auto" w:fill="auto"/>
            <w:vAlign w:val="bottom"/>
          </w:tcPr>
          <w:p w14:paraId="442F6D42" w14:textId="77777777" w:rsidR="00CC25B5" w:rsidRDefault="00CC25B5">
            <w:pPr>
              <w:rPr>
                <w:rFonts w:ascii="宋体"/>
              </w:rPr>
            </w:pPr>
          </w:p>
        </w:tc>
        <w:tc>
          <w:tcPr>
            <w:tcW w:w="347" w:type="pct"/>
            <w:shd w:val="clear" w:color="auto" w:fill="auto"/>
            <w:vAlign w:val="bottom"/>
          </w:tcPr>
          <w:p w14:paraId="442F6D43" w14:textId="77777777" w:rsidR="00CC25B5" w:rsidRDefault="00CC25B5">
            <w:pPr>
              <w:rPr>
                <w:rFonts w:ascii="宋体"/>
              </w:rPr>
            </w:pPr>
          </w:p>
        </w:tc>
        <w:tc>
          <w:tcPr>
            <w:tcW w:w="5" w:type="pct"/>
            <w:shd w:val="clear" w:color="auto" w:fill="auto"/>
            <w:vAlign w:val="bottom"/>
          </w:tcPr>
          <w:p w14:paraId="442F6D44" w14:textId="77777777" w:rsidR="00CC25B5" w:rsidRDefault="00CC25B5">
            <w:pPr>
              <w:rPr>
                <w:rFonts w:ascii="宋体"/>
              </w:rPr>
            </w:pPr>
          </w:p>
        </w:tc>
        <w:tc>
          <w:tcPr>
            <w:tcW w:w="5" w:type="pct"/>
            <w:shd w:val="clear" w:color="auto" w:fill="auto"/>
            <w:vAlign w:val="bottom"/>
          </w:tcPr>
          <w:p w14:paraId="442F6D45" w14:textId="77777777" w:rsidR="00CC25B5" w:rsidRDefault="00CC25B5">
            <w:pPr>
              <w:rPr>
                <w:rFonts w:ascii="宋体"/>
              </w:rPr>
            </w:pPr>
          </w:p>
        </w:tc>
        <w:tc>
          <w:tcPr>
            <w:tcW w:w="15" w:type="pct"/>
            <w:shd w:val="clear" w:color="auto" w:fill="auto"/>
            <w:vAlign w:val="bottom"/>
          </w:tcPr>
          <w:p w14:paraId="442F6D46" w14:textId="77777777" w:rsidR="00CC25B5" w:rsidRDefault="00CC25B5">
            <w:pPr>
              <w:rPr>
                <w:rFonts w:ascii="宋体"/>
              </w:rPr>
            </w:pPr>
          </w:p>
        </w:tc>
        <w:tc>
          <w:tcPr>
            <w:tcW w:w="5" w:type="pct"/>
            <w:shd w:val="clear" w:color="auto" w:fill="auto"/>
            <w:vAlign w:val="bottom"/>
          </w:tcPr>
          <w:p w14:paraId="442F6D47" w14:textId="77777777" w:rsidR="00CC25B5" w:rsidRDefault="00CC25B5">
            <w:pPr>
              <w:rPr>
                <w:rFonts w:ascii="宋体"/>
              </w:rPr>
            </w:pPr>
          </w:p>
        </w:tc>
        <w:tc>
          <w:tcPr>
            <w:tcW w:w="50" w:type="pct"/>
            <w:shd w:val="clear" w:color="auto" w:fill="auto"/>
            <w:vAlign w:val="bottom"/>
          </w:tcPr>
          <w:p w14:paraId="442F6D48" w14:textId="77777777" w:rsidR="00CC25B5" w:rsidRDefault="00CC25B5">
            <w:pPr>
              <w:rPr>
                <w:rFonts w:ascii="宋体"/>
              </w:rPr>
            </w:pPr>
          </w:p>
        </w:tc>
        <w:tc>
          <w:tcPr>
            <w:tcW w:w="347" w:type="pct"/>
            <w:shd w:val="clear" w:color="auto" w:fill="auto"/>
            <w:vAlign w:val="bottom"/>
          </w:tcPr>
          <w:p w14:paraId="442F6D49" w14:textId="77777777" w:rsidR="00CC25B5" w:rsidRDefault="00CC25B5">
            <w:pPr>
              <w:rPr>
                <w:rFonts w:ascii="宋体"/>
              </w:rPr>
            </w:pPr>
          </w:p>
        </w:tc>
        <w:tc>
          <w:tcPr>
            <w:tcW w:w="5" w:type="pct"/>
            <w:shd w:val="clear" w:color="auto" w:fill="auto"/>
            <w:vAlign w:val="bottom"/>
          </w:tcPr>
          <w:p w14:paraId="442F6D4A" w14:textId="77777777" w:rsidR="00CC25B5" w:rsidRDefault="00CC25B5">
            <w:pPr>
              <w:rPr>
                <w:rFonts w:ascii="宋体"/>
              </w:rPr>
            </w:pPr>
          </w:p>
        </w:tc>
        <w:tc>
          <w:tcPr>
            <w:tcW w:w="5" w:type="pct"/>
            <w:shd w:val="clear" w:color="auto" w:fill="auto"/>
            <w:vAlign w:val="bottom"/>
          </w:tcPr>
          <w:p w14:paraId="442F6D4B" w14:textId="77777777" w:rsidR="00CC25B5" w:rsidRDefault="00CC25B5">
            <w:pPr>
              <w:rPr>
                <w:rFonts w:ascii="宋体"/>
              </w:rPr>
            </w:pPr>
          </w:p>
        </w:tc>
        <w:tc>
          <w:tcPr>
            <w:tcW w:w="15" w:type="pct"/>
            <w:shd w:val="clear" w:color="auto" w:fill="auto"/>
            <w:vAlign w:val="bottom"/>
          </w:tcPr>
          <w:p w14:paraId="442F6D4C" w14:textId="77777777" w:rsidR="00CC25B5" w:rsidRDefault="00CC25B5">
            <w:pPr>
              <w:rPr>
                <w:rFonts w:ascii="宋体"/>
              </w:rPr>
            </w:pPr>
          </w:p>
        </w:tc>
        <w:tc>
          <w:tcPr>
            <w:tcW w:w="5" w:type="pct"/>
            <w:shd w:val="clear" w:color="auto" w:fill="auto"/>
            <w:vAlign w:val="bottom"/>
          </w:tcPr>
          <w:p w14:paraId="442F6D4D" w14:textId="77777777" w:rsidR="00CC25B5" w:rsidRDefault="00CC25B5">
            <w:pPr>
              <w:rPr>
                <w:rFonts w:ascii="宋体"/>
              </w:rPr>
            </w:pPr>
          </w:p>
        </w:tc>
        <w:tc>
          <w:tcPr>
            <w:tcW w:w="50" w:type="pct"/>
            <w:shd w:val="clear" w:color="auto" w:fill="auto"/>
            <w:vAlign w:val="bottom"/>
          </w:tcPr>
          <w:p w14:paraId="442F6D4E" w14:textId="77777777" w:rsidR="00CC25B5" w:rsidRDefault="00CC25B5">
            <w:pPr>
              <w:rPr>
                <w:rFonts w:ascii="宋体"/>
              </w:rPr>
            </w:pPr>
          </w:p>
        </w:tc>
        <w:tc>
          <w:tcPr>
            <w:tcW w:w="347" w:type="pct"/>
            <w:shd w:val="clear" w:color="auto" w:fill="auto"/>
            <w:vAlign w:val="bottom"/>
          </w:tcPr>
          <w:p w14:paraId="442F6D4F" w14:textId="77777777" w:rsidR="00CC25B5" w:rsidRDefault="00CC25B5">
            <w:pPr>
              <w:rPr>
                <w:rFonts w:ascii="宋体"/>
              </w:rPr>
            </w:pPr>
          </w:p>
        </w:tc>
        <w:tc>
          <w:tcPr>
            <w:tcW w:w="5" w:type="pct"/>
            <w:shd w:val="clear" w:color="auto" w:fill="auto"/>
            <w:vAlign w:val="bottom"/>
          </w:tcPr>
          <w:p w14:paraId="442F6D50" w14:textId="77777777" w:rsidR="00CC25B5" w:rsidRDefault="00CC25B5">
            <w:pPr>
              <w:rPr>
                <w:rFonts w:ascii="宋体"/>
              </w:rPr>
            </w:pPr>
          </w:p>
        </w:tc>
        <w:tc>
          <w:tcPr>
            <w:tcW w:w="5" w:type="pct"/>
            <w:shd w:val="clear" w:color="auto" w:fill="auto"/>
            <w:vAlign w:val="bottom"/>
          </w:tcPr>
          <w:p w14:paraId="442F6D51" w14:textId="77777777" w:rsidR="00CC25B5" w:rsidRDefault="00CC25B5">
            <w:pPr>
              <w:rPr>
                <w:rFonts w:ascii="宋体"/>
              </w:rPr>
            </w:pPr>
          </w:p>
        </w:tc>
        <w:tc>
          <w:tcPr>
            <w:tcW w:w="15" w:type="pct"/>
            <w:shd w:val="clear" w:color="auto" w:fill="auto"/>
            <w:vAlign w:val="bottom"/>
          </w:tcPr>
          <w:p w14:paraId="442F6D52" w14:textId="77777777" w:rsidR="00CC25B5" w:rsidRDefault="00CC25B5">
            <w:pPr>
              <w:rPr>
                <w:rFonts w:ascii="宋体"/>
              </w:rPr>
            </w:pPr>
          </w:p>
        </w:tc>
        <w:tc>
          <w:tcPr>
            <w:tcW w:w="5" w:type="pct"/>
            <w:shd w:val="clear" w:color="auto" w:fill="auto"/>
            <w:vAlign w:val="bottom"/>
          </w:tcPr>
          <w:p w14:paraId="442F6D53" w14:textId="77777777" w:rsidR="00CC25B5" w:rsidRDefault="00CC25B5">
            <w:pPr>
              <w:rPr>
                <w:rFonts w:ascii="宋体"/>
              </w:rPr>
            </w:pPr>
          </w:p>
        </w:tc>
        <w:tc>
          <w:tcPr>
            <w:tcW w:w="50" w:type="pct"/>
            <w:shd w:val="clear" w:color="auto" w:fill="auto"/>
            <w:vAlign w:val="bottom"/>
          </w:tcPr>
          <w:p w14:paraId="442F6D54" w14:textId="77777777" w:rsidR="00CC25B5" w:rsidRDefault="00CC25B5">
            <w:pPr>
              <w:rPr>
                <w:rFonts w:ascii="宋体"/>
              </w:rPr>
            </w:pPr>
          </w:p>
        </w:tc>
        <w:tc>
          <w:tcPr>
            <w:tcW w:w="347" w:type="pct"/>
            <w:shd w:val="clear" w:color="auto" w:fill="auto"/>
            <w:vAlign w:val="bottom"/>
          </w:tcPr>
          <w:p w14:paraId="442F6D55" w14:textId="77777777" w:rsidR="00CC25B5" w:rsidRDefault="00CC25B5">
            <w:pPr>
              <w:rPr>
                <w:rFonts w:ascii="宋体"/>
              </w:rPr>
            </w:pPr>
          </w:p>
        </w:tc>
        <w:tc>
          <w:tcPr>
            <w:tcW w:w="5" w:type="pct"/>
            <w:shd w:val="clear" w:color="auto" w:fill="auto"/>
            <w:vAlign w:val="bottom"/>
          </w:tcPr>
          <w:p w14:paraId="442F6D56" w14:textId="77777777" w:rsidR="00CC25B5" w:rsidRDefault="00CC25B5">
            <w:pPr>
              <w:rPr>
                <w:rFonts w:ascii="宋体"/>
              </w:rPr>
            </w:pPr>
          </w:p>
        </w:tc>
        <w:tc>
          <w:tcPr>
            <w:tcW w:w="5" w:type="pct"/>
            <w:shd w:val="clear" w:color="auto" w:fill="auto"/>
            <w:vAlign w:val="bottom"/>
          </w:tcPr>
          <w:p w14:paraId="442F6D57" w14:textId="77777777" w:rsidR="00CC25B5" w:rsidRDefault="00CC25B5">
            <w:pPr>
              <w:rPr>
                <w:rFonts w:ascii="宋体"/>
              </w:rPr>
            </w:pPr>
          </w:p>
        </w:tc>
        <w:tc>
          <w:tcPr>
            <w:tcW w:w="15" w:type="pct"/>
            <w:shd w:val="clear" w:color="auto" w:fill="auto"/>
            <w:vAlign w:val="bottom"/>
          </w:tcPr>
          <w:p w14:paraId="442F6D58" w14:textId="77777777" w:rsidR="00CC25B5" w:rsidRDefault="00CC25B5">
            <w:pPr>
              <w:rPr>
                <w:rFonts w:ascii="宋体"/>
              </w:rPr>
            </w:pPr>
          </w:p>
        </w:tc>
        <w:tc>
          <w:tcPr>
            <w:tcW w:w="5" w:type="pct"/>
            <w:shd w:val="clear" w:color="auto" w:fill="auto"/>
            <w:vAlign w:val="bottom"/>
          </w:tcPr>
          <w:p w14:paraId="442F6D59" w14:textId="77777777" w:rsidR="00CC25B5" w:rsidRDefault="00CC25B5">
            <w:pPr>
              <w:rPr>
                <w:rFonts w:ascii="宋体"/>
              </w:rPr>
            </w:pPr>
          </w:p>
        </w:tc>
        <w:tc>
          <w:tcPr>
            <w:tcW w:w="50" w:type="pct"/>
            <w:shd w:val="clear" w:color="auto" w:fill="auto"/>
            <w:vAlign w:val="bottom"/>
          </w:tcPr>
          <w:p w14:paraId="442F6D5A" w14:textId="77777777" w:rsidR="00CC25B5" w:rsidRDefault="00CC25B5">
            <w:pPr>
              <w:rPr>
                <w:rFonts w:ascii="宋体"/>
              </w:rPr>
            </w:pPr>
          </w:p>
        </w:tc>
        <w:tc>
          <w:tcPr>
            <w:tcW w:w="347" w:type="pct"/>
            <w:shd w:val="clear" w:color="auto" w:fill="auto"/>
            <w:vAlign w:val="bottom"/>
          </w:tcPr>
          <w:p w14:paraId="442F6D5B" w14:textId="77777777" w:rsidR="00CC25B5" w:rsidRDefault="00CC25B5">
            <w:pPr>
              <w:rPr>
                <w:rFonts w:ascii="宋体"/>
              </w:rPr>
            </w:pPr>
          </w:p>
        </w:tc>
        <w:tc>
          <w:tcPr>
            <w:tcW w:w="5" w:type="pct"/>
            <w:shd w:val="clear" w:color="auto" w:fill="auto"/>
            <w:vAlign w:val="bottom"/>
          </w:tcPr>
          <w:p w14:paraId="442F6D5C" w14:textId="77777777" w:rsidR="00CC25B5" w:rsidRDefault="00CC25B5">
            <w:pPr>
              <w:rPr>
                <w:rFonts w:ascii="宋体"/>
              </w:rPr>
            </w:pPr>
          </w:p>
        </w:tc>
        <w:tc>
          <w:tcPr>
            <w:tcW w:w="5" w:type="pct"/>
            <w:shd w:val="clear" w:color="auto" w:fill="auto"/>
            <w:vAlign w:val="bottom"/>
          </w:tcPr>
          <w:p w14:paraId="442F6D5D" w14:textId="77777777" w:rsidR="00CC25B5" w:rsidRDefault="00CC25B5">
            <w:pPr>
              <w:rPr>
                <w:rFonts w:ascii="宋体"/>
              </w:rPr>
            </w:pPr>
          </w:p>
        </w:tc>
        <w:tc>
          <w:tcPr>
            <w:tcW w:w="15" w:type="pct"/>
            <w:shd w:val="clear" w:color="auto" w:fill="auto"/>
            <w:vAlign w:val="bottom"/>
          </w:tcPr>
          <w:p w14:paraId="442F6D5E" w14:textId="77777777" w:rsidR="00CC25B5" w:rsidRDefault="00CC25B5">
            <w:pPr>
              <w:rPr>
                <w:rFonts w:ascii="宋体"/>
              </w:rPr>
            </w:pPr>
          </w:p>
        </w:tc>
        <w:tc>
          <w:tcPr>
            <w:tcW w:w="5" w:type="pct"/>
            <w:shd w:val="clear" w:color="auto" w:fill="auto"/>
            <w:vAlign w:val="bottom"/>
          </w:tcPr>
          <w:p w14:paraId="442F6D5F" w14:textId="77777777" w:rsidR="00CC25B5" w:rsidRDefault="00CC25B5">
            <w:pPr>
              <w:rPr>
                <w:rFonts w:ascii="宋体"/>
              </w:rPr>
            </w:pPr>
          </w:p>
        </w:tc>
        <w:tc>
          <w:tcPr>
            <w:tcW w:w="50" w:type="pct"/>
            <w:shd w:val="clear" w:color="auto" w:fill="auto"/>
            <w:vAlign w:val="bottom"/>
          </w:tcPr>
          <w:p w14:paraId="442F6D60" w14:textId="77777777" w:rsidR="00CC25B5" w:rsidRDefault="00CC25B5">
            <w:pPr>
              <w:rPr>
                <w:rFonts w:ascii="宋体"/>
              </w:rPr>
            </w:pPr>
          </w:p>
        </w:tc>
        <w:tc>
          <w:tcPr>
            <w:tcW w:w="348" w:type="pct"/>
            <w:shd w:val="clear" w:color="auto" w:fill="auto"/>
            <w:vAlign w:val="bottom"/>
          </w:tcPr>
          <w:p w14:paraId="442F6D61" w14:textId="77777777" w:rsidR="00CC25B5" w:rsidRDefault="00CC25B5">
            <w:pPr>
              <w:rPr>
                <w:rFonts w:ascii="宋体"/>
              </w:rPr>
            </w:pPr>
          </w:p>
        </w:tc>
        <w:tc>
          <w:tcPr>
            <w:tcW w:w="5" w:type="pct"/>
            <w:shd w:val="clear" w:color="auto" w:fill="auto"/>
            <w:vAlign w:val="bottom"/>
          </w:tcPr>
          <w:p w14:paraId="442F6D62" w14:textId="77777777" w:rsidR="00CC25B5" w:rsidRDefault="00CC25B5">
            <w:pPr>
              <w:rPr>
                <w:rFonts w:ascii="宋体"/>
              </w:rPr>
            </w:pPr>
          </w:p>
        </w:tc>
        <w:tc>
          <w:tcPr>
            <w:tcW w:w="0" w:type="auto"/>
            <w:shd w:val="clear" w:color="auto" w:fill="auto"/>
            <w:vAlign w:val="bottom"/>
          </w:tcPr>
          <w:p w14:paraId="442F6D63" w14:textId="77777777" w:rsidR="00CC25B5" w:rsidRDefault="00CC25B5">
            <w:pPr>
              <w:rPr>
                <w:rFonts w:ascii="宋体"/>
                <w:vanish/>
              </w:rPr>
            </w:pPr>
          </w:p>
        </w:tc>
        <w:tc>
          <w:tcPr>
            <w:tcW w:w="0" w:type="auto"/>
            <w:shd w:val="clear" w:color="auto" w:fill="auto"/>
            <w:vAlign w:val="bottom"/>
          </w:tcPr>
          <w:p w14:paraId="442F6D64" w14:textId="77777777" w:rsidR="00CC25B5" w:rsidRDefault="00CC25B5">
            <w:pPr>
              <w:rPr>
                <w:rFonts w:ascii="宋体"/>
                <w:vanish/>
              </w:rPr>
            </w:pPr>
          </w:p>
        </w:tc>
        <w:tc>
          <w:tcPr>
            <w:tcW w:w="0" w:type="auto"/>
            <w:shd w:val="clear" w:color="auto" w:fill="auto"/>
            <w:vAlign w:val="bottom"/>
          </w:tcPr>
          <w:p w14:paraId="442F6D65" w14:textId="77777777" w:rsidR="00CC25B5" w:rsidRDefault="00CC25B5">
            <w:pPr>
              <w:rPr>
                <w:rFonts w:ascii="宋体"/>
                <w:vanish/>
              </w:rPr>
            </w:pPr>
          </w:p>
        </w:tc>
      </w:tr>
      <w:tr w:rsidR="00CC25B5" w14:paraId="442F6D7A" w14:textId="77777777">
        <w:trPr>
          <w:jc w:val="center"/>
        </w:trPr>
        <w:tc>
          <w:tcPr>
            <w:tcW w:w="0" w:type="auto"/>
            <w:gridSpan w:val="3"/>
            <w:shd w:val="clear" w:color="auto" w:fill="auto"/>
            <w:tcMar>
              <w:top w:w="0" w:type="dxa"/>
              <w:left w:w="20" w:type="dxa"/>
              <w:bottom w:w="0" w:type="dxa"/>
              <w:right w:w="20" w:type="dxa"/>
            </w:tcMar>
            <w:vAlign w:val="bottom"/>
          </w:tcPr>
          <w:p w14:paraId="442F6D6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9"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A"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B"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D"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6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70" w14:textId="77777777" w:rsidR="00CC25B5" w:rsidRDefault="00900968">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442F6D7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72" w14:textId="77777777" w:rsidR="00CC25B5" w:rsidRDefault="00900968">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442F6D73"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6" w14:textId="77777777" w:rsidR="00CC25B5" w:rsidRDefault="00CC25B5">
            <w:pPr>
              <w:rPr>
                <w:rFonts w:ascii="宋体"/>
              </w:rPr>
            </w:pPr>
          </w:p>
        </w:tc>
        <w:tc>
          <w:tcPr>
            <w:tcW w:w="0" w:type="auto"/>
            <w:shd w:val="clear" w:color="auto" w:fill="auto"/>
            <w:vAlign w:val="bottom"/>
          </w:tcPr>
          <w:p w14:paraId="442F6D77" w14:textId="77777777" w:rsidR="00CC25B5" w:rsidRDefault="00CC25B5">
            <w:pPr>
              <w:rPr>
                <w:rFonts w:ascii="宋体"/>
                <w:vanish/>
              </w:rPr>
            </w:pPr>
          </w:p>
        </w:tc>
        <w:tc>
          <w:tcPr>
            <w:tcW w:w="0" w:type="auto"/>
            <w:shd w:val="clear" w:color="auto" w:fill="auto"/>
            <w:vAlign w:val="bottom"/>
          </w:tcPr>
          <w:p w14:paraId="442F6D78" w14:textId="77777777" w:rsidR="00CC25B5" w:rsidRDefault="00CC25B5">
            <w:pPr>
              <w:rPr>
                <w:rFonts w:ascii="宋体"/>
                <w:vanish/>
              </w:rPr>
            </w:pPr>
          </w:p>
        </w:tc>
        <w:tc>
          <w:tcPr>
            <w:tcW w:w="0" w:type="auto"/>
            <w:shd w:val="clear" w:color="auto" w:fill="auto"/>
            <w:vAlign w:val="bottom"/>
          </w:tcPr>
          <w:p w14:paraId="442F6D79" w14:textId="77777777" w:rsidR="00CC25B5" w:rsidRDefault="00CC25B5">
            <w:pPr>
              <w:rPr>
                <w:rFonts w:ascii="宋体"/>
                <w:vanish/>
              </w:rPr>
            </w:pPr>
          </w:p>
        </w:tc>
      </w:tr>
      <w:tr w:rsidR="00CC25B5" w14:paraId="442F6D8E" w14:textId="77777777">
        <w:trPr>
          <w:jc w:val="center"/>
        </w:trPr>
        <w:tc>
          <w:tcPr>
            <w:tcW w:w="0" w:type="auto"/>
            <w:gridSpan w:val="3"/>
            <w:shd w:val="clear" w:color="auto" w:fill="auto"/>
            <w:tcMar>
              <w:top w:w="0" w:type="dxa"/>
              <w:left w:w="20" w:type="dxa"/>
              <w:bottom w:w="0" w:type="dxa"/>
              <w:right w:w="20" w:type="dxa"/>
            </w:tcMar>
            <w:vAlign w:val="bottom"/>
          </w:tcPr>
          <w:p w14:paraId="442F6D7B"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D"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7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80" w14:textId="77777777" w:rsidR="00CC25B5" w:rsidRDefault="00900968">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442F6D8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82"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8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84" w14:textId="77777777" w:rsidR="00CC25B5" w:rsidRDefault="00900968">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442F6D8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86" w14:textId="77777777" w:rsidR="00CC25B5" w:rsidRDefault="00900968">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442F6D8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8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89"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6D8A" w14:textId="77777777" w:rsidR="00CC25B5" w:rsidRDefault="00CC25B5">
            <w:pPr>
              <w:rPr>
                <w:rFonts w:ascii="宋体"/>
              </w:rPr>
            </w:pPr>
          </w:p>
        </w:tc>
        <w:tc>
          <w:tcPr>
            <w:tcW w:w="0" w:type="auto"/>
            <w:shd w:val="clear" w:color="auto" w:fill="auto"/>
            <w:vAlign w:val="bottom"/>
          </w:tcPr>
          <w:p w14:paraId="442F6D8B" w14:textId="77777777" w:rsidR="00CC25B5" w:rsidRDefault="00CC25B5">
            <w:pPr>
              <w:rPr>
                <w:rFonts w:ascii="宋体"/>
                <w:vanish/>
              </w:rPr>
            </w:pPr>
          </w:p>
        </w:tc>
        <w:tc>
          <w:tcPr>
            <w:tcW w:w="0" w:type="auto"/>
            <w:shd w:val="clear" w:color="auto" w:fill="auto"/>
            <w:vAlign w:val="bottom"/>
          </w:tcPr>
          <w:p w14:paraId="442F6D8C" w14:textId="77777777" w:rsidR="00CC25B5" w:rsidRDefault="00CC25B5">
            <w:pPr>
              <w:rPr>
                <w:rFonts w:ascii="宋体"/>
                <w:vanish/>
              </w:rPr>
            </w:pPr>
          </w:p>
        </w:tc>
        <w:tc>
          <w:tcPr>
            <w:tcW w:w="0" w:type="auto"/>
            <w:shd w:val="clear" w:color="auto" w:fill="auto"/>
            <w:vAlign w:val="bottom"/>
          </w:tcPr>
          <w:p w14:paraId="442F6D8D" w14:textId="77777777" w:rsidR="00CC25B5" w:rsidRDefault="00CC25B5">
            <w:pPr>
              <w:rPr>
                <w:rFonts w:ascii="宋体"/>
                <w:vanish/>
              </w:rPr>
            </w:pPr>
          </w:p>
        </w:tc>
      </w:tr>
      <w:tr w:rsidR="00CC25B5" w14:paraId="442F6DA0"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442F6D8F" w14:textId="77777777" w:rsidR="00CC25B5" w:rsidRDefault="00900968">
            <w:pPr>
              <w:textAlignment w:val="bottom"/>
            </w:pPr>
            <w:r>
              <w:rPr>
                <w:rFonts w:ascii="Times New Roman" w:eastAsia="宋体" w:hAnsi="Times New Roman"/>
                <w:i/>
                <w:iCs/>
                <w:color w:val="000000"/>
                <w:sz w:val="16"/>
                <w:szCs w:val="16"/>
              </w:rPr>
              <w:t>(Amou</w:t>
            </w:r>
            <w:r>
              <w:rPr>
                <w:rFonts w:ascii="Times New Roman" w:eastAsia="宋体" w:hAnsi="Times New Roman"/>
                <w:i/>
                <w:iCs/>
                <w:color w:val="000000"/>
                <w:sz w:val="16"/>
                <w:szCs w:val="16"/>
              </w:rPr>
              <w:t>nts in millions)</w:t>
            </w:r>
          </w:p>
        </w:tc>
        <w:tc>
          <w:tcPr>
            <w:tcW w:w="0" w:type="auto"/>
            <w:gridSpan w:val="9"/>
            <w:shd w:val="clear" w:color="auto" w:fill="auto"/>
            <w:tcMar>
              <w:top w:w="40" w:type="dxa"/>
              <w:left w:w="20" w:type="dxa"/>
              <w:bottom w:w="40" w:type="dxa"/>
              <w:right w:w="20" w:type="dxa"/>
            </w:tcMar>
            <w:vAlign w:val="bottom"/>
          </w:tcPr>
          <w:p w14:paraId="442F6D90" w14:textId="77777777" w:rsidR="00CC25B5" w:rsidRDefault="00900968">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442F6D9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92" w14:textId="77777777" w:rsidR="00CC25B5" w:rsidRDefault="00900968">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442F6D9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94" w14:textId="77777777" w:rsidR="00CC25B5" w:rsidRDefault="00900968">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442F6D9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96" w14:textId="77777777" w:rsidR="00CC25B5" w:rsidRDefault="00900968">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442F6D9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98" w14:textId="77777777" w:rsidR="00CC25B5" w:rsidRDefault="00900968">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442F6D9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9A" w14:textId="77777777" w:rsidR="00CC25B5" w:rsidRDefault="00900968">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442F6D9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9C" w14:textId="77777777" w:rsidR="00CC25B5" w:rsidRDefault="00900968">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442F6D9D" w14:textId="77777777" w:rsidR="00CC25B5" w:rsidRDefault="00CC25B5">
            <w:pPr>
              <w:rPr>
                <w:rFonts w:ascii="宋体"/>
                <w:vanish/>
              </w:rPr>
            </w:pPr>
          </w:p>
        </w:tc>
        <w:tc>
          <w:tcPr>
            <w:tcW w:w="0" w:type="auto"/>
            <w:shd w:val="clear" w:color="auto" w:fill="auto"/>
            <w:vAlign w:val="bottom"/>
          </w:tcPr>
          <w:p w14:paraId="442F6D9E" w14:textId="77777777" w:rsidR="00CC25B5" w:rsidRDefault="00CC25B5">
            <w:pPr>
              <w:rPr>
                <w:rFonts w:ascii="宋体"/>
                <w:vanish/>
              </w:rPr>
            </w:pPr>
          </w:p>
        </w:tc>
        <w:tc>
          <w:tcPr>
            <w:tcW w:w="0" w:type="auto"/>
            <w:shd w:val="clear" w:color="auto" w:fill="auto"/>
            <w:vAlign w:val="bottom"/>
          </w:tcPr>
          <w:p w14:paraId="442F6D9F" w14:textId="77777777" w:rsidR="00CC25B5" w:rsidRDefault="00CC25B5">
            <w:pPr>
              <w:rPr>
                <w:rFonts w:ascii="宋体"/>
                <w:vanish/>
              </w:rPr>
            </w:pPr>
          </w:p>
        </w:tc>
      </w:tr>
      <w:tr w:rsidR="00CC25B5" w14:paraId="442F6DB4" w14:textId="77777777">
        <w:trPr>
          <w:trHeight w:val="180"/>
          <w:jc w:val="center"/>
        </w:trPr>
        <w:tc>
          <w:tcPr>
            <w:tcW w:w="0" w:type="auto"/>
            <w:gridSpan w:val="3"/>
            <w:vMerge/>
            <w:shd w:val="clear" w:color="auto" w:fill="auto"/>
            <w:tcMar>
              <w:top w:w="40" w:type="dxa"/>
              <w:left w:w="20" w:type="dxa"/>
              <w:bottom w:w="40" w:type="dxa"/>
              <w:right w:w="20" w:type="dxa"/>
            </w:tcMar>
            <w:vAlign w:val="bottom"/>
          </w:tcPr>
          <w:p w14:paraId="442F6DA1"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DA2" w14:textId="77777777" w:rsidR="00CC25B5" w:rsidRDefault="00900968">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6DA3"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6DA4" w14:textId="77777777" w:rsidR="00CC25B5" w:rsidRDefault="00900968">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442F6DA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A6" w14:textId="77777777" w:rsidR="00CC25B5" w:rsidRDefault="00900968">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42F6DA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A8" w14:textId="77777777" w:rsidR="00CC25B5" w:rsidRDefault="00900968">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442F6DA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AA" w14:textId="77777777" w:rsidR="00CC25B5" w:rsidRDefault="00900968">
            <w:pPr>
              <w:jc w:val="center"/>
              <w:textAlignment w:val="bottom"/>
            </w:pPr>
            <w:r>
              <w:rPr>
                <w:rFonts w:ascii="Times New Roman" w:eastAsia="宋体" w:hAnsi="Times New Roman"/>
                <w:b/>
                <w:bCs/>
                <w:color w:val="000000"/>
                <w:sz w:val="16"/>
                <w:szCs w:val="16"/>
              </w:rPr>
              <w:t>Loss</w:t>
            </w:r>
          </w:p>
        </w:tc>
        <w:tc>
          <w:tcPr>
            <w:tcW w:w="0" w:type="auto"/>
            <w:gridSpan w:val="3"/>
            <w:shd w:val="clear" w:color="auto" w:fill="auto"/>
            <w:tcMar>
              <w:top w:w="0" w:type="dxa"/>
              <w:left w:w="20" w:type="dxa"/>
              <w:bottom w:w="0" w:type="dxa"/>
              <w:right w:w="20" w:type="dxa"/>
            </w:tcMar>
            <w:vAlign w:val="bottom"/>
          </w:tcPr>
          <w:p w14:paraId="442F6DA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AC" w14:textId="77777777" w:rsidR="00CC25B5" w:rsidRDefault="00900968">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442F6DA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AE" w14:textId="77777777" w:rsidR="00CC25B5" w:rsidRDefault="00900968">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442F6DA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6DB0" w14:textId="77777777" w:rsidR="00CC25B5" w:rsidRDefault="00900968">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442F6DB1" w14:textId="77777777" w:rsidR="00CC25B5" w:rsidRDefault="00CC25B5">
            <w:pPr>
              <w:rPr>
                <w:rFonts w:ascii="宋体"/>
                <w:vanish/>
              </w:rPr>
            </w:pPr>
          </w:p>
        </w:tc>
        <w:tc>
          <w:tcPr>
            <w:tcW w:w="0" w:type="auto"/>
            <w:shd w:val="clear" w:color="auto" w:fill="auto"/>
            <w:vAlign w:val="bottom"/>
          </w:tcPr>
          <w:p w14:paraId="442F6DB2" w14:textId="77777777" w:rsidR="00CC25B5" w:rsidRDefault="00CC25B5">
            <w:pPr>
              <w:rPr>
                <w:rFonts w:ascii="宋体"/>
                <w:vanish/>
              </w:rPr>
            </w:pPr>
          </w:p>
        </w:tc>
        <w:tc>
          <w:tcPr>
            <w:tcW w:w="0" w:type="auto"/>
            <w:shd w:val="clear" w:color="auto" w:fill="auto"/>
            <w:vAlign w:val="bottom"/>
          </w:tcPr>
          <w:p w14:paraId="442F6DB3" w14:textId="77777777" w:rsidR="00CC25B5" w:rsidRDefault="00CC25B5">
            <w:pPr>
              <w:rPr>
                <w:rFonts w:ascii="宋体"/>
                <w:vanish/>
              </w:rPr>
            </w:pPr>
          </w:p>
        </w:tc>
      </w:tr>
      <w:tr w:rsidR="00900968" w14:paraId="442F6DD7" w14:textId="77777777">
        <w:trPr>
          <w:jc w:val="center"/>
        </w:trPr>
        <w:tc>
          <w:tcPr>
            <w:tcW w:w="0" w:type="auto"/>
            <w:gridSpan w:val="3"/>
            <w:shd w:val="clear" w:color="auto" w:fill="CCEEFF"/>
            <w:tcMar>
              <w:top w:w="40" w:type="dxa"/>
              <w:left w:w="20" w:type="dxa"/>
              <w:bottom w:w="40" w:type="dxa"/>
              <w:right w:w="20" w:type="dxa"/>
            </w:tcMar>
            <w:vAlign w:val="center"/>
          </w:tcPr>
          <w:p w14:paraId="442F6DB5" w14:textId="77777777" w:rsidR="00CC25B5" w:rsidRDefault="00900968">
            <w:pPr>
              <w:textAlignment w:val="center"/>
            </w:pPr>
            <w:r>
              <w:rPr>
                <w:rFonts w:ascii="Times New Roman" w:eastAsia="宋体" w:hAnsi="Times New Roman"/>
                <w:b/>
                <w:bCs/>
                <w:color w:val="000000"/>
                <w:sz w:val="16"/>
                <w:szCs w:val="16"/>
              </w:rPr>
              <w:t>Balances as of February 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DB6" w14:textId="77777777" w:rsidR="00CC25B5" w:rsidRDefault="00900968">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B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B8"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B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BA" w14:textId="77777777" w:rsidR="00CC25B5" w:rsidRDefault="00900968">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B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B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B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BE" w14:textId="77777777" w:rsidR="00CC25B5" w:rsidRDefault="00900968">
            <w:pPr>
              <w:jc w:val="right"/>
              <w:textAlignment w:val="center"/>
            </w:pPr>
            <w:r>
              <w:rPr>
                <w:rFonts w:ascii="Times New Roman" w:eastAsia="宋体" w:hAnsi="Times New Roman"/>
                <w:color w:val="000000"/>
                <w:sz w:val="16"/>
                <w:szCs w:val="16"/>
              </w:rPr>
              <w:t>3,247 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B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C0"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C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C2" w14:textId="77777777" w:rsidR="00CC25B5" w:rsidRDefault="00900968">
            <w:pPr>
              <w:jc w:val="right"/>
              <w:textAlignment w:val="center"/>
            </w:pPr>
            <w:r>
              <w:rPr>
                <w:rFonts w:ascii="Times New Roman" w:eastAsia="宋体" w:hAnsi="Times New Roman"/>
                <w:color w:val="000000"/>
                <w:sz w:val="16"/>
                <w:szCs w:val="16"/>
              </w:rPr>
              <w:t>83,943 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C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C4"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C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C6" w14:textId="77777777" w:rsidR="00CC25B5" w:rsidRDefault="00900968">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C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C8"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C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CA" w14:textId="77777777" w:rsidR="00CC25B5" w:rsidRDefault="00900968">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C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C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C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CE" w14:textId="77777777" w:rsidR="00CC25B5" w:rsidRDefault="00900968">
            <w:pPr>
              <w:jc w:val="right"/>
              <w:textAlignment w:val="center"/>
            </w:pPr>
            <w:r>
              <w:rPr>
                <w:rFonts w:ascii="Times New Roman" w:eastAsia="宋体" w:hAnsi="Times New Roman"/>
                <w:color w:val="000000"/>
                <w:sz w:val="16"/>
                <w:szCs w:val="16"/>
              </w:rPr>
              <w:t>6,883 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C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DD0"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6DD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6DD2" w14:textId="77777777" w:rsidR="00CC25B5" w:rsidRDefault="00900968">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DD3" w14:textId="77777777" w:rsidR="00CC25B5" w:rsidRDefault="00CC25B5">
            <w:pPr>
              <w:jc w:val="right"/>
              <w:rPr>
                <w:rFonts w:ascii="宋体"/>
              </w:rPr>
            </w:pPr>
          </w:p>
        </w:tc>
        <w:tc>
          <w:tcPr>
            <w:tcW w:w="0" w:type="auto"/>
            <w:shd w:val="clear" w:color="auto" w:fill="auto"/>
            <w:vAlign w:val="bottom"/>
          </w:tcPr>
          <w:p w14:paraId="442F6DD4" w14:textId="77777777" w:rsidR="00CC25B5" w:rsidRDefault="00CC25B5">
            <w:pPr>
              <w:rPr>
                <w:rFonts w:ascii="宋体"/>
                <w:vanish/>
              </w:rPr>
            </w:pPr>
          </w:p>
        </w:tc>
        <w:tc>
          <w:tcPr>
            <w:tcW w:w="0" w:type="auto"/>
            <w:shd w:val="clear" w:color="auto" w:fill="auto"/>
            <w:vAlign w:val="bottom"/>
          </w:tcPr>
          <w:p w14:paraId="442F6DD5" w14:textId="77777777" w:rsidR="00CC25B5" w:rsidRDefault="00CC25B5">
            <w:pPr>
              <w:rPr>
                <w:rFonts w:ascii="宋体"/>
                <w:vanish/>
              </w:rPr>
            </w:pPr>
          </w:p>
        </w:tc>
        <w:tc>
          <w:tcPr>
            <w:tcW w:w="0" w:type="auto"/>
            <w:shd w:val="clear" w:color="auto" w:fill="auto"/>
            <w:vAlign w:val="bottom"/>
          </w:tcPr>
          <w:p w14:paraId="442F6DD6" w14:textId="77777777" w:rsidR="00CC25B5" w:rsidRDefault="00CC25B5">
            <w:pPr>
              <w:rPr>
                <w:rFonts w:ascii="宋体"/>
                <w:vanish/>
              </w:rPr>
            </w:pPr>
          </w:p>
        </w:tc>
      </w:tr>
      <w:tr w:rsidR="00CC25B5" w14:paraId="442F6DEB" w14:textId="77777777">
        <w:trPr>
          <w:jc w:val="center"/>
          <w:hidden/>
        </w:trPr>
        <w:tc>
          <w:tcPr>
            <w:tcW w:w="0" w:type="auto"/>
            <w:gridSpan w:val="3"/>
            <w:shd w:val="clear" w:color="auto" w:fill="auto"/>
            <w:vAlign w:val="bottom"/>
          </w:tcPr>
          <w:p w14:paraId="442F6DD8" w14:textId="77777777" w:rsidR="00CC25B5" w:rsidRDefault="00CC25B5">
            <w:pPr>
              <w:rPr>
                <w:rFonts w:ascii="宋体"/>
                <w:vanish/>
              </w:rPr>
            </w:pPr>
          </w:p>
        </w:tc>
        <w:tc>
          <w:tcPr>
            <w:tcW w:w="0" w:type="auto"/>
            <w:gridSpan w:val="3"/>
            <w:shd w:val="clear" w:color="auto" w:fill="auto"/>
            <w:vAlign w:val="bottom"/>
          </w:tcPr>
          <w:p w14:paraId="442F6DD9" w14:textId="77777777" w:rsidR="00CC25B5" w:rsidRDefault="00CC25B5">
            <w:pPr>
              <w:rPr>
                <w:rFonts w:ascii="宋体"/>
                <w:vanish/>
              </w:rPr>
            </w:pPr>
          </w:p>
        </w:tc>
        <w:tc>
          <w:tcPr>
            <w:tcW w:w="0" w:type="auto"/>
            <w:gridSpan w:val="3"/>
            <w:shd w:val="clear" w:color="auto" w:fill="auto"/>
            <w:vAlign w:val="bottom"/>
          </w:tcPr>
          <w:p w14:paraId="442F6DDA" w14:textId="77777777" w:rsidR="00CC25B5" w:rsidRDefault="00CC25B5">
            <w:pPr>
              <w:rPr>
                <w:rFonts w:ascii="宋体"/>
                <w:vanish/>
              </w:rPr>
            </w:pPr>
          </w:p>
        </w:tc>
        <w:tc>
          <w:tcPr>
            <w:tcW w:w="0" w:type="auto"/>
            <w:gridSpan w:val="3"/>
            <w:shd w:val="clear" w:color="auto" w:fill="auto"/>
            <w:vAlign w:val="bottom"/>
          </w:tcPr>
          <w:p w14:paraId="442F6DDB" w14:textId="77777777" w:rsidR="00CC25B5" w:rsidRDefault="00CC25B5">
            <w:pPr>
              <w:rPr>
                <w:rFonts w:ascii="宋体"/>
                <w:vanish/>
              </w:rPr>
            </w:pPr>
          </w:p>
        </w:tc>
        <w:tc>
          <w:tcPr>
            <w:tcW w:w="0" w:type="auto"/>
            <w:gridSpan w:val="3"/>
            <w:shd w:val="clear" w:color="auto" w:fill="auto"/>
            <w:vAlign w:val="bottom"/>
          </w:tcPr>
          <w:p w14:paraId="442F6DDC" w14:textId="77777777" w:rsidR="00CC25B5" w:rsidRDefault="00CC25B5">
            <w:pPr>
              <w:rPr>
                <w:rFonts w:ascii="宋体"/>
                <w:vanish/>
              </w:rPr>
            </w:pPr>
          </w:p>
        </w:tc>
        <w:tc>
          <w:tcPr>
            <w:tcW w:w="0" w:type="auto"/>
            <w:gridSpan w:val="3"/>
            <w:shd w:val="clear" w:color="auto" w:fill="auto"/>
            <w:vAlign w:val="bottom"/>
          </w:tcPr>
          <w:p w14:paraId="442F6DDD" w14:textId="77777777" w:rsidR="00CC25B5" w:rsidRDefault="00CC25B5">
            <w:pPr>
              <w:rPr>
                <w:rFonts w:ascii="宋体"/>
                <w:vanish/>
              </w:rPr>
            </w:pPr>
          </w:p>
        </w:tc>
        <w:tc>
          <w:tcPr>
            <w:tcW w:w="0" w:type="auto"/>
            <w:gridSpan w:val="3"/>
            <w:shd w:val="clear" w:color="auto" w:fill="auto"/>
            <w:vAlign w:val="bottom"/>
          </w:tcPr>
          <w:p w14:paraId="442F6DDE" w14:textId="77777777" w:rsidR="00CC25B5" w:rsidRDefault="00CC25B5">
            <w:pPr>
              <w:rPr>
                <w:rFonts w:ascii="宋体"/>
                <w:vanish/>
              </w:rPr>
            </w:pPr>
          </w:p>
        </w:tc>
        <w:tc>
          <w:tcPr>
            <w:tcW w:w="0" w:type="auto"/>
            <w:gridSpan w:val="3"/>
            <w:shd w:val="clear" w:color="auto" w:fill="auto"/>
            <w:vAlign w:val="bottom"/>
          </w:tcPr>
          <w:p w14:paraId="442F6DDF" w14:textId="77777777" w:rsidR="00CC25B5" w:rsidRDefault="00CC25B5">
            <w:pPr>
              <w:rPr>
                <w:rFonts w:ascii="宋体"/>
                <w:vanish/>
              </w:rPr>
            </w:pPr>
          </w:p>
        </w:tc>
        <w:tc>
          <w:tcPr>
            <w:tcW w:w="0" w:type="auto"/>
            <w:gridSpan w:val="3"/>
            <w:shd w:val="clear" w:color="auto" w:fill="auto"/>
            <w:vAlign w:val="bottom"/>
          </w:tcPr>
          <w:p w14:paraId="442F6DE0" w14:textId="77777777" w:rsidR="00CC25B5" w:rsidRDefault="00CC25B5">
            <w:pPr>
              <w:rPr>
                <w:rFonts w:ascii="宋体"/>
                <w:vanish/>
              </w:rPr>
            </w:pPr>
          </w:p>
        </w:tc>
        <w:tc>
          <w:tcPr>
            <w:tcW w:w="0" w:type="auto"/>
            <w:gridSpan w:val="3"/>
            <w:shd w:val="clear" w:color="auto" w:fill="auto"/>
            <w:vAlign w:val="bottom"/>
          </w:tcPr>
          <w:p w14:paraId="442F6DE1" w14:textId="77777777" w:rsidR="00CC25B5" w:rsidRDefault="00CC25B5">
            <w:pPr>
              <w:rPr>
                <w:rFonts w:ascii="宋体"/>
                <w:vanish/>
              </w:rPr>
            </w:pPr>
          </w:p>
        </w:tc>
        <w:tc>
          <w:tcPr>
            <w:tcW w:w="0" w:type="auto"/>
            <w:gridSpan w:val="3"/>
            <w:shd w:val="clear" w:color="auto" w:fill="auto"/>
            <w:vAlign w:val="bottom"/>
          </w:tcPr>
          <w:p w14:paraId="442F6DE2" w14:textId="77777777" w:rsidR="00CC25B5" w:rsidRDefault="00CC25B5">
            <w:pPr>
              <w:rPr>
                <w:rFonts w:ascii="宋体"/>
                <w:vanish/>
              </w:rPr>
            </w:pPr>
          </w:p>
        </w:tc>
        <w:tc>
          <w:tcPr>
            <w:tcW w:w="0" w:type="auto"/>
            <w:gridSpan w:val="3"/>
            <w:shd w:val="clear" w:color="auto" w:fill="auto"/>
            <w:vAlign w:val="bottom"/>
          </w:tcPr>
          <w:p w14:paraId="442F6DE3" w14:textId="77777777" w:rsidR="00CC25B5" w:rsidRDefault="00CC25B5">
            <w:pPr>
              <w:rPr>
                <w:rFonts w:ascii="宋体"/>
                <w:vanish/>
              </w:rPr>
            </w:pPr>
          </w:p>
        </w:tc>
        <w:tc>
          <w:tcPr>
            <w:tcW w:w="0" w:type="auto"/>
            <w:gridSpan w:val="3"/>
            <w:shd w:val="clear" w:color="auto" w:fill="auto"/>
            <w:vAlign w:val="bottom"/>
          </w:tcPr>
          <w:p w14:paraId="442F6DE4" w14:textId="77777777" w:rsidR="00CC25B5" w:rsidRDefault="00CC25B5">
            <w:pPr>
              <w:rPr>
                <w:rFonts w:ascii="宋体"/>
                <w:vanish/>
              </w:rPr>
            </w:pPr>
          </w:p>
        </w:tc>
        <w:tc>
          <w:tcPr>
            <w:tcW w:w="0" w:type="auto"/>
            <w:gridSpan w:val="3"/>
            <w:shd w:val="clear" w:color="auto" w:fill="auto"/>
            <w:vAlign w:val="bottom"/>
          </w:tcPr>
          <w:p w14:paraId="442F6DE5" w14:textId="77777777" w:rsidR="00CC25B5" w:rsidRDefault="00CC25B5">
            <w:pPr>
              <w:rPr>
                <w:rFonts w:ascii="宋体"/>
                <w:vanish/>
              </w:rPr>
            </w:pPr>
          </w:p>
        </w:tc>
        <w:tc>
          <w:tcPr>
            <w:tcW w:w="0" w:type="auto"/>
            <w:gridSpan w:val="3"/>
            <w:shd w:val="clear" w:color="auto" w:fill="auto"/>
            <w:vAlign w:val="bottom"/>
          </w:tcPr>
          <w:p w14:paraId="442F6DE6" w14:textId="77777777" w:rsidR="00CC25B5" w:rsidRDefault="00CC25B5">
            <w:pPr>
              <w:rPr>
                <w:rFonts w:ascii="宋体"/>
                <w:vanish/>
              </w:rPr>
            </w:pPr>
          </w:p>
        </w:tc>
        <w:tc>
          <w:tcPr>
            <w:tcW w:w="0" w:type="auto"/>
            <w:gridSpan w:val="3"/>
            <w:shd w:val="clear" w:color="auto" w:fill="auto"/>
            <w:vAlign w:val="bottom"/>
          </w:tcPr>
          <w:p w14:paraId="442F6DE7" w14:textId="77777777" w:rsidR="00CC25B5" w:rsidRDefault="00CC25B5">
            <w:pPr>
              <w:rPr>
                <w:rFonts w:ascii="宋体"/>
                <w:vanish/>
              </w:rPr>
            </w:pPr>
          </w:p>
        </w:tc>
        <w:tc>
          <w:tcPr>
            <w:tcW w:w="0" w:type="auto"/>
            <w:shd w:val="clear" w:color="auto" w:fill="auto"/>
            <w:vAlign w:val="bottom"/>
          </w:tcPr>
          <w:p w14:paraId="442F6DE8" w14:textId="77777777" w:rsidR="00CC25B5" w:rsidRDefault="00CC25B5">
            <w:pPr>
              <w:rPr>
                <w:rFonts w:ascii="宋体"/>
                <w:vanish/>
              </w:rPr>
            </w:pPr>
          </w:p>
        </w:tc>
        <w:tc>
          <w:tcPr>
            <w:tcW w:w="0" w:type="auto"/>
            <w:shd w:val="clear" w:color="auto" w:fill="auto"/>
            <w:vAlign w:val="bottom"/>
          </w:tcPr>
          <w:p w14:paraId="442F6DE9" w14:textId="77777777" w:rsidR="00CC25B5" w:rsidRDefault="00CC25B5">
            <w:pPr>
              <w:rPr>
                <w:rFonts w:ascii="宋体"/>
                <w:vanish/>
              </w:rPr>
            </w:pPr>
          </w:p>
        </w:tc>
        <w:tc>
          <w:tcPr>
            <w:tcW w:w="0" w:type="auto"/>
            <w:shd w:val="clear" w:color="auto" w:fill="auto"/>
            <w:vAlign w:val="bottom"/>
          </w:tcPr>
          <w:p w14:paraId="442F6DEA" w14:textId="77777777" w:rsidR="00CC25B5" w:rsidRDefault="00CC25B5">
            <w:pPr>
              <w:rPr>
                <w:rFonts w:ascii="宋体"/>
                <w:vanish/>
              </w:rPr>
            </w:pPr>
          </w:p>
        </w:tc>
      </w:tr>
      <w:tr w:rsidR="00CC25B5" w14:paraId="442F6E07" w14:textId="77777777">
        <w:trPr>
          <w:jc w:val="center"/>
        </w:trPr>
        <w:tc>
          <w:tcPr>
            <w:tcW w:w="0" w:type="auto"/>
            <w:gridSpan w:val="3"/>
            <w:shd w:val="clear" w:color="auto" w:fill="FFFFFF"/>
            <w:tcMar>
              <w:top w:w="40" w:type="dxa"/>
              <w:left w:w="20" w:type="dxa"/>
              <w:bottom w:w="40" w:type="dxa"/>
              <w:right w:w="20" w:type="dxa"/>
            </w:tcMar>
            <w:vAlign w:val="center"/>
          </w:tcPr>
          <w:p w14:paraId="442F6DEC" w14:textId="77777777" w:rsidR="00CC25B5" w:rsidRDefault="00900968">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442F6DE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DE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DE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DF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DF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DF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DF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DF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DF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DF6" w14:textId="77777777" w:rsidR="00CC25B5" w:rsidRDefault="00900968">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442F6DF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DF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DF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DF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DF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DFC" w14:textId="77777777" w:rsidR="00CC25B5" w:rsidRDefault="00900968">
            <w:pPr>
              <w:jc w:val="right"/>
              <w:textAlignment w:val="center"/>
            </w:pPr>
            <w:r>
              <w:rPr>
                <w:rFonts w:ascii="Times New Roman" w:eastAsia="宋体" w:hAnsi="Times New Roman"/>
                <w:color w:val="000000"/>
                <w:sz w:val="16"/>
                <w:szCs w:val="16"/>
              </w:rPr>
              <w:t>3,990 </w:t>
            </w:r>
          </w:p>
        </w:tc>
        <w:tc>
          <w:tcPr>
            <w:tcW w:w="0" w:type="auto"/>
            <w:shd w:val="clear" w:color="auto" w:fill="FFFFFF"/>
            <w:tcMar>
              <w:top w:w="40" w:type="dxa"/>
              <w:left w:w="0" w:type="dxa"/>
              <w:bottom w:w="40" w:type="dxa"/>
              <w:right w:w="20" w:type="dxa"/>
            </w:tcMar>
            <w:vAlign w:val="center"/>
          </w:tcPr>
          <w:p w14:paraId="442F6DF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DF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DFF" w14:textId="77777777" w:rsidR="00CC25B5" w:rsidRDefault="00900968">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442F6E0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0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02" w14:textId="77777777" w:rsidR="00CC25B5" w:rsidRDefault="00900968">
            <w:pPr>
              <w:jc w:val="right"/>
              <w:textAlignment w:val="center"/>
            </w:pPr>
            <w:r>
              <w:rPr>
                <w:rFonts w:ascii="Times New Roman" w:eastAsia="宋体" w:hAnsi="Times New Roman"/>
                <w:color w:val="000000"/>
                <w:sz w:val="16"/>
                <w:szCs w:val="16"/>
              </w:rPr>
              <w:t>4,074 </w:t>
            </w:r>
          </w:p>
        </w:tc>
        <w:tc>
          <w:tcPr>
            <w:tcW w:w="0" w:type="auto"/>
            <w:shd w:val="clear" w:color="auto" w:fill="FFFFFF"/>
            <w:tcMar>
              <w:top w:w="40" w:type="dxa"/>
              <w:left w:w="0" w:type="dxa"/>
              <w:bottom w:w="40" w:type="dxa"/>
              <w:right w:w="20" w:type="dxa"/>
            </w:tcMar>
            <w:vAlign w:val="center"/>
          </w:tcPr>
          <w:p w14:paraId="442F6E03" w14:textId="77777777" w:rsidR="00CC25B5" w:rsidRDefault="00CC25B5">
            <w:pPr>
              <w:jc w:val="right"/>
              <w:rPr>
                <w:rFonts w:ascii="宋体"/>
              </w:rPr>
            </w:pPr>
          </w:p>
        </w:tc>
        <w:tc>
          <w:tcPr>
            <w:tcW w:w="0" w:type="auto"/>
            <w:shd w:val="clear" w:color="auto" w:fill="auto"/>
            <w:vAlign w:val="bottom"/>
          </w:tcPr>
          <w:p w14:paraId="442F6E04" w14:textId="77777777" w:rsidR="00CC25B5" w:rsidRDefault="00CC25B5">
            <w:pPr>
              <w:rPr>
                <w:rFonts w:ascii="宋体"/>
                <w:vanish/>
              </w:rPr>
            </w:pPr>
          </w:p>
        </w:tc>
        <w:tc>
          <w:tcPr>
            <w:tcW w:w="0" w:type="auto"/>
            <w:shd w:val="clear" w:color="auto" w:fill="auto"/>
            <w:vAlign w:val="bottom"/>
          </w:tcPr>
          <w:p w14:paraId="442F6E05" w14:textId="77777777" w:rsidR="00CC25B5" w:rsidRDefault="00CC25B5">
            <w:pPr>
              <w:rPr>
                <w:rFonts w:ascii="宋体"/>
                <w:vanish/>
              </w:rPr>
            </w:pPr>
          </w:p>
        </w:tc>
        <w:tc>
          <w:tcPr>
            <w:tcW w:w="0" w:type="auto"/>
            <w:shd w:val="clear" w:color="auto" w:fill="auto"/>
            <w:vAlign w:val="bottom"/>
          </w:tcPr>
          <w:p w14:paraId="442F6E06" w14:textId="77777777" w:rsidR="00CC25B5" w:rsidRDefault="00CC25B5">
            <w:pPr>
              <w:rPr>
                <w:rFonts w:ascii="宋体"/>
                <w:vanish/>
              </w:rPr>
            </w:pPr>
          </w:p>
        </w:tc>
      </w:tr>
      <w:tr w:rsidR="00CC25B5" w14:paraId="442F6E23" w14:textId="77777777">
        <w:trPr>
          <w:jc w:val="center"/>
        </w:trPr>
        <w:tc>
          <w:tcPr>
            <w:tcW w:w="0" w:type="auto"/>
            <w:gridSpan w:val="3"/>
            <w:shd w:val="clear" w:color="auto" w:fill="CCEEFF"/>
            <w:tcMar>
              <w:top w:w="40" w:type="dxa"/>
              <w:left w:w="20" w:type="dxa"/>
              <w:bottom w:w="40" w:type="dxa"/>
              <w:right w:w="20" w:type="dxa"/>
            </w:tcMar>
            <w:vAlign w:val="center"/>
          </w:tcPr>
          <w:p w14:paraId="442F6E08" w14:textId="77777777" w:rsidR="00CC25B5" w:rsidRDefault="00900968">
            <w:pPr>
              <w:textAlignment w:val="center"/>
            </w:pPr>
            <w:r>
              <w:rPr>
                <w:rFonts w:ascii="Times New Roman" w:eastAsia="宋体" w:hAnsi="Times New Roman"/>
                <w:color w:val="000000"/>
                <w:sz w:val="16"/>
                <w:szCs w:val="16"/>
              </w:rPr>
              <w:t>Other comprehensive loss, net of income taxes</w:t>
            </w:r>
          </w:p>
        </w:tc>
        <w:tc>
          <w:tcPr>
            <w:tcW w:w="0" w:type="auto"/>
            <w:gridSpan w:val="2"/>
            <w:shd w:val="clear" w:color="auto" w:fill="CCEEFF"/>
            <w:tcMar>
              <w:top w:w="40" w:type="dxa"/>
              <w:left w:w="20" w:type="dxa"/>
              <w:bottom w:w="40" w:type="dxa"/>
              <w:right w:w="0" w:type="dxa"/>
            </w:tcMar>
            <w:vAlign w:val="center"/>
          </w:tcPr>
          <w:p w14:paraId="442F6E0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0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0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0C"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0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0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0F"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1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1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12"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1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1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15" w14:textId="77777777" w:rsidR="00CC25B5" w:rsidRDefault="00900968">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442F6E1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1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18" w14:textId="77777777" w:rsidR="00CC25B5" w:rsidRDefault="00900968">
            <w:pPr>
              <w:jc w:val="right"/>
              <w:textAlignment w:val="center"/>
            </w:pPr>
            <w:r>
              <w:rPr>
                <w:rFonts w:ascii="Times New Roman" w:eastAsia="宋体" w:hAnsi="Times New Roman"/>
                <w:color w:val="000000"/>
                <w:sz w:val="16"/>
                <w:szCs w:val="16"/>
              </w:rPr>
              <w:t>(3,363)</w:t>
            </w:r>
          </w:p>
        </w:tc>
        <w:tc>
          <w:tcPr>
            <w:tcW w:w="0" w:type="auto"/>
            <w:shd w:val="clear" w:color="auto" w:fill="CCEEFF"/>
            <w:tcMar>
              <w:top w:w="40" w:type="dxa"/>
              <w:left w:w="0" w:type="dxa"/>
              <w:bottom w:w="40" w:type="dxa"/>
              <w:right w:w="20" w:type="dxa"/>
            </w:tcMar>
            <w:vAlign w:val="center"/>
          </w:tcPr>
          <w:p w14:paraId="442F6E1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1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1B" w14:textId="77777777" w:rsidR="00CC25B5" w:rsidRDefault="00900968">
            <w:pPr>
              <w:jc w:val="right"/>
              <w:textAlignment w:val="center"/>
            </w:pPr>
            <w:r>
              <w:rPr>
                <w:rFonts w:ascii="Times New Roman" w:eastAsia="宋体" w:hAnsi="Times New Roman"/>
                <w:color w:val="000000"/>
                <w:sz w:val="16"/>
                <w:szCs w:val="16"/>
              </w:rPr>
              <w:t>(712)</w:t>
            </w:r>
          </w:p>
        </w:tc>
        <w:tc>
          <w:tcPr>
            <w:tcW w:w="0" w:type="auto"/>
            <w:shd w:val="clear" w:color="auto" w:fill="CCEEFF"/>
            <w:tcMar>
              <w:top w:w="40" w:type="dxa"/>
              <w:left w:w="0" w:type="dxa"/>
              <w:bottom w:w="40" w:type="dxa"/>
              <w:right w:w="20" w:type="dxa"/>
            </w:tcMar>
            <w:vAlign w:val="center"/>
          </w:tcPr>
          <w:p w14:paraId="442F6E1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1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1E" w14:textId="77777777" w:rsidR="00CC25B5" w:rsidRDefault="00900968">
            <w:pPr>
              <w:jc w:val="right"/>
              <w:textAlignment w:val="center"/>
            </w:pPr>
            <w:r>
              <w:rPr>
                <w:rFonts w:ascii="Times New Roman" w:eastAsia="宋体" w:hAnsi="Times New Roman"/>
                <w:color w:val="000000"/>
                <w:sz w:val="16"/>
                <w:szCs w:val="16"/>
              </w:rPr>
              <w:t>(4,075)</w:t>
            </w:r>
          </w:p>
        </w:tc>
        <w:tc>
          <w:tcPr>
            <w:tcW w:w="0" w:type="auto"/>
            <w:shd w:val="clear" w:color="auto" w:fill="CCEEFF"/>
            <w:tcMar>
              <w:top w:w="40" w:type="dxa"/>
              <w:left w:w="0" w:type="dxa"/>
              <w:bottom w:w="40" w:type="dxa"/>
              <w:right w:w="20" w:type="dxa"/>
            </w:tcMar>
            <w:vAlign w:val="center"/>
          </w:tcPr>
          <w:p w14:paraId="442F6E1F" w14:textId="77777777" w:rsidR="00CC25B5" w:rsidRDefault="00CC25B5">
            <w:pPr>
              <w:jc w:val="right"/>
              <w:rPr>
                <w:rFonts w:ascii="宋体"/>
              </w:rPr>
            </w:pPr>
          </w:p>
        </w:tc>
        <w:tc>
          <w:tcPr>
            <w:tcW w:w="0" w:type="auto"/>
            <w:shd w:val="clear" w:color="auto" w:fill="auto"/>
            <w:vAlign w:val="bottom"/>
          </w:tcPr>
          <w:p w14:paraId="442F6E20" w14:textId="77777777" w:rsidR="00CC25B5" w:rsidRDefault="00CC25B5">
            <w:pPr>
              <w:rPr>
                <w:rFonts w:ascii="宋体"/>
                <w:vanish/>
              </w:rPr>
            </w:pPr>
          </w:p>
        </w:tc>
        <w:tc>
          <w:tcPr>
            <w:tcW w:w="0" w:type="auto"/>
            <w:shd w:val="clear" w:color="auto" w:fill="auto"/>
            <w:vAlign w:val="bottom"/>
          </w:tcPr>
          <w:p w14:paraId="442F6E21" w14:textId="77777777" w:rsidR="00CC25B5" w:rsidRDefault="00CC25B5">
            <w:pPr>
              <w:rPr>
                <w:rFonts w:ascii="宋体"/>
                <w:vanish/>
              </w:rPr>
            </w:pPr>
          </w:p>
        </w:tc>
        <w:tc>
          <w:tcPr>
            <w:tcW w:w="0" w:type="auto"/>
            <w:shd w:val="clear" w:color="auto" w:fill="auto"/>
            <w:vAlign w:val="bottom"/>
          </w:tcPr>
          <w:p w14:paraId="442F6E22" w14:textId="77777777" w:rsidR="00CC25B5" w:rsidRDefault="00CC25B5">
            <w:pPr>
              <w:rPr>
                <w:rFonts w:ascii="宋体"/>
                <w:vanish/>
              </w:rPr>
            </w:pPr>
          </w:p>
        </w:tc>
      </w:tr>
      <w:tr w:rsidR="00CC25B5" w14:paraId="442F6E37" w14:textId="77777777">
        <w:trPr>
          <w:jc w:val="center"/>
          <w:hidden/>
        </w:trPr>
        <w:tc>
          <w:tcPr>
            <w:tcW w:w="0" w:type="auto"/>
            <w:gridSpan w:val="3"/>
            <w:shd w:val="clear" w:color="auto" w:fill="auto"/>
            <w:vAlign w:val="bottom"/>
          </w:tcPr>
          <w:p w14:paraId="442F6E24" w14:textId="77777777" w:rsidR="00CC25B5" w:rsidRDefault="00CC25B5">
            <w:pPr>
              <w:rPr>
                <w:rFonts w:ascii="宋体"/>
                <w:vanish/>
              </w:rPr>
            </w:pPr>
          </w:p>
        </w:tc>
        <w:tc>
          <w:tcPr>
            <w:tcW w:w="0" w:type="auto"/>
            <w:gridSpan w:val="3"/>
            <w:shd w:val="clear" w:color="auto" w:fill="auto"/>
            <w:vAlign w:val="bottom"/>
          </w:tcPr>
          <w:p w14:paraId="442F6E25" w14:textId="77777777" w:rsidR="00CC25B5" w:rsidRDefault="00CC25B5">
            <w:pPr>
              <w:rPr>
                <w:rFonts w:ascii="宋体"/>
                <w:vanish/>
              </w:rPr>
            </w:pPr>
          </w:p>
        </w:tc>
        <w:tc>
          <w:tcPr>
            <w:tcW w:w="0" w:type="auto"/>
            <w:gridSpan w:val="3"/>
            <w:shd w:val="clear" w:color="auto" w:fill="auto"/>
            <w:vAlign w:val="bottom"/>
          </w:tcPr>
          <w:p w14:paraId="442F6E26" w14:textId="77777777" w:rsidR="00CC25B5" w:rsidRDefault="00CC25B5">
            <w:pPr>
              <w:rPr>
                <w:rFonts w:ascii="宋体"/>
                <w:vanish/>
              </w:rPr>
            </w:pPr>
          </w:p>
        </w:tc>
        <w:tc>
          <w:tcPr>
            <w:tcW w:w="0" w:type="auto"/>
            <w:gridSpan w:val="3"/>
            <w:shd w:val="clear" w:color="auto" w:fill="auto"/>
            <w:vAlign w:val="bottom"/>
          </w:tcPr>
          <w:p w14:paraId="442F6E27" w14:textId="77777777" w:rsidR="00CC25B5" w:rsidRDefault="00CC25B5">
            <w:pPr>
              <w:rPr>
                <w:rFonts w:ascii="宋体"/>
                <w:vanish/>
              </w:rPr>
            </w:pPr>
          </w:p>
        </w:tc>
        <w:tc>
          <w:tcPr>
            <w:tcW w:w="0" w:type="auto"/>
            <w:gridSpan w:val="3"/>
            <w:shd w:val="clear" w:color="auto" w:fill="auto"/>
            <w:vAlign w:val="bottom"/>
          </w:tcPr>
          <w:p w14:paraId="442F6E28" w14:textId="77777777" w:rsidR="00CC25B5" w:rsidRDefault="00CC25B5">
            <w:pPr>
              <w:rPr>
                <w:rFonts w:ascii="宋体"/>
                <w:vanish/>
              </w:rPr>
            </w:pPr>
          </w:p>
        </w:tc>
        <w:tc>
          <w:tcPr>
            <w:tcW w:w="0" w:type="auto"/>
            <w:gridSpan w:val="3"/>
            <w:shd w:val="clear" w:color="auto" w:fill="auto"/>
            <w:vAlign w:val="bottom"/>
          </w:tcPr>
          <w:p w14:paraId="442F6E29" w14:textId="77777777" w:rsidR="00CC25B5" w:rsidRDefault="00CC25B5">
            <w:pPr>
              <w:rPr>
                <w:rFonts w:ascii="宋体"/>
                <w:vanish/>
              </w:rPr>
            </w:pPr>
          </w:p>
        </w:tc>
        <w:tc>
          <w:tcPr>
            <w:tcW w:w="0" w:type="auto"/>
            <w:gridSpan w:val="3"/>
            <w:shd w:val="clear" w:color="auto" w:fill="auto"/>
            <w:vAlign w:val="bottom"/>
          </w:tcPr>
          <w:p w14:paraId="442F6E2A" w14:textId="77777777" w:rsidR="00CC25B5" w:rsidRDefault="00CC25B5">
            <w:pPr>
              <w:rPr>
                <w:rFonts w:ascii="宋体"/>
                <w:vanish/>
              </w:rPr>
            </w:pPr>
          </w:p>
        </w:tc>
        <w:tc>
          <w:tcPr>
            <w:tcW w:w="0" w:type="auto"/>
            <w:gridSpan w:val="3"/>
            <w:shd w:val="clear" w:color="auto" w:fill="auto"/>
            <w:vAlign w:val="bottom"/>
          </w:tcPr>
          <w:p w14:paraId="442F6E2B" w14:textId="77777777" w:rsidR="00CC25B5" w:rsidRDefault="00CC25B5">
            <w:pPr>
              <w:rPr>
                <w:rFonts w:ascii="宋体"/>
                <w:vanish/>
              </w:rPr>
            </w:pPr>
          </w:p>
        </w:tc>
        <w:tc>
          <w:tcPr>
            <w:tcW w:w="0" w:type="auto"/>
            <w:gridSpan w:val="3"/>
            <w:shd w:val="clear" w:color="auto" w:fill="auto"/>
            <w:vAlign w:val="bottom"/>
          </w:tcPr>
          <w:p w14:paraId="442F6E2C" w14:textId="77777777" w:rsidR="00CC25B5" w:rsidRDefault="00CC25B5">
            <w:pPr>
              <w:rPr>
                <w:rFonts w:ascii="宋体"/>
                <w:vanish/>
              </w:rPr>
            </w:pPr>
          </w:p>
        </w:tc>
        <w:tc>
          <w:tcPr>
            <w:tcW w:w="0" w:type="auto"/>
            <w:gridSpan w:val="3"/>
            <w:shd w:val="clear" w:color="auto" w:fill="auto"/>
            <w:vAlign w:val="bottom"/>
          </w:tcPr>
          <w:p w14:paraId="442F6E2D" w14:textId="77777777" w:rsidR="00CC25B5" w:rsidRDefault="00CC25B5">
            <w:pPr>
              <w:rPr>
                <w:rFonts w:ascii="宋体"/>
                <w:vanish/>
              </w:rPr>
            </w:pPr>
          </w:p>
        </w:tc>
        <w:tc>
          <w:tcPr>
            <w:tcW w:w="0" w:type="auto"/>
            <w:gridSpan w:val="3"/>
            <w:shd w:val="clear" w:color="auto" w:fill="auto"/>
            <w:vAlign w:val="bottom"/>
          </w:tcPr>
          <w:p w14:paraId="442F6E2E" w14:textId="77777777" w:rsidR="00CC25B5" w:rsidRDefault="00CC25B5">
            <w:pPr>
              <w:rPr>
                <w:rFonts w:ascii="宋体"/>
                <w:vanish/>
              </w:rPr>
            </w:pPr>
          </w:p>
        </w:tc>
        <w:tc>
          <w:tcPr>
            <w:tcW w:w="0" w:type="auto"/>
            <w:gridSpan w:val="3"/>
            <w:shd w:val="clear" w:color="auto" w:fill="auto"/>
            <w:vAlign w:val="bottom"/>
          </w:tcPr>
          <w:p w14:paraId="442F6E2F" w14:textId="77777777" w:rsidR="00CC25B5" w:rsidRDefault="00CC25B5">
            <w:pPr>
              <w:rPr>
                <w:rFonts w:ascii="宋体"/>
                <w:vanish/>
              </w:rPr>
            </w:pPr>
          </w:p>
        </w:tc>
        <w:tc>
          <w:tcPr>
            <w:tcW w:w="0" w:type="auto"/>
            <w:gridSpan w:val="3"/>
            <w:shd w:val="clear" w:color="auto" w:fill="auto"/>
            <w:vAlign w:val="bottom"/>
          </w:tcPr>
          <w:p w14:paraId="442F6E30" w14:textId="77777777" w:rsidR="00CC25B5" w:rsidRDefault="00CC25B5">
            <w:pPr>
              <w:rPr>
                <w:rFonts w:ascii="宋体"/>
                <w:vanish/>
              </w:rPr>
            </w:pPr>
          </w:p>
        </w:tc>
        <w:tc>
          <w:tcPr>
            <w:tcW w:w="0" w:type="auto"/>
            <w:gridSpan w:val="3"/>
            <w:shd w:val="clear" w:color="auto" w:fill="auto"/>
            <w:vAlign w:val="bottom"/>
          </w:tcPr>
          <w:p w14:paraId="442F6E31" w14:textId="77777777" w:rsidR="00CC25B5" w:rsidRDefault="00CC25B5">
            <w:pPr>
              <w:rPr>
                <w:rFonts w:ascii="宋体"/>
                <w:vanish/>
              </w:rPr>
            </w:pPr>
          </w:p>
        </w:tc>
        <w:tc>
          <w:tcPr>
            <w:tcW w:w="0" w:type="auto"/>
            <w:gridSpan w:val="3"/>
            <w:shd w:val="clear" w:color="auto" w:fill="auto"/>
            <w:vAlign w:val="bottom"/>
          </w:tcPr>
          <w:p w14:paraId="442F6E32" w14:textId="77777777" w:rsidR="00CC25B5" w:rsidRDefault="00CC25B5">
            <w:pPr>
              <w:rPr>
                <w:rFonts w:ascii="宋体"/>
                <w:vanish/>
              </w:rPr>
            </w:pPr>
          </w:p>
        </w:tc>
        <w:tc>
          <w:tcPr>
            <w:tcW w:w="0" w:type="auto"/>
            <w:gridSpan w:val="3"/>
            <w:shd w:val="clear" w:color="auto" w:fill="auto"/>
            <w:vAlign w:val="bottom"/>
          </w:tcPr>
          <w:p w14:paraId="442F6E33" w14:textId="77777777" w:rsidR="00CC25B5" w:rsidRDefault="00CC25B5">
            <w:pPr>
              <w:rPr>
                <w:rFonts w:ascii="宋体"/>
                <w:vanish/>
              </w:rPr>
            </w:pPr>
          </w:p>
        </w:tc>
        <w:tc>
          <w:tcPr>
            <w:tcW w:w="0" w:type="auto"/>
            <w:shd w:val="clear" w:color="auto" w:fill="auto"/>
            <w:vAlign w:val="bottom"/>
          </w:tcPr>
          <w:p w14:paraId="442F6E34" w14:textId="77777777" w:rsidR="00CC25B5" w:rsidRDefault="00CC25B5">
            <w:pPr>
              <w:rPr>
                <w:rFonts w:ascii="宋体"/>
                <w:vanish/>
              </w:rPr>
            </w:pPr>
          </w:p>
        </w:tc>
        <w:tc>
          <w:tcPr>
            <w:tcW w:w="0" w:type="auto"/>
            <w:shd w:val="clear" w:color="auto" w:fill="auto"/>
            <w:vAlign w:val="bottom"/>
          </w:tcPr>
          <w:p w14:paraId="442F6E35" w14:textId="77777777" w:rsidR="00CC25B5" w:rsidRDefault="00CC25B5">
            <w:pPr>
              <w:rPr>
                <w:rFonts w:ascii="宋体"/>
                <w:vanish/>
              </w:rPr>
            </w:pPr>
          </w:p>
        </w:tc>
        <w:tc>
          <w:tcPr>
            <w:tcW w:w="0" w:type="auto"/>
            <w:shd w:val="clear" w:color="auto" w:fill="auto"/>
            <w:vAlign w:val="bottom"/>
          </w:tcPr>
          <w:p w14:paraId="442F6E36" w14:textId="77777777" w:rsidR="00CC25B5" w:rsidRDefault="00CC25B5">
            <w:pPr>
              <w:rPr>
                <w:rFonts w:ascii="宋体"/>
                <w:vanish/>
              </w:rPr>
            </w:pPr>
          </w:p>
        </w:tc>
      </w:tr>
      <w:tr w:rsidR="00CC25B5" w14:paraId="442F6E4B" w14:textId="77777777">
        <w:trPr>
          <w:jc w:val="center"/>
          <w:hidden/>
        </w:trPr>
        <w:tc>
          <w:tcPr>
            <w:tcW w:w="0" w:type="auto"/>
            <w:gridSpan w:val="3"/>
            <w:shd w:val="clear" w:color="auto" w:fill="auto"/>
            <w:vAlign w:val="bottom"/>
          </w:tcPr>
          <w:p w14:paraId="442F6E38" w14:textId="77777777" w:rsidR="00CC25B5" w:rsidRDefault="00CC25B5">
            <w:pPr>
              <w:rPr>
                <w:rFonts w:ascii="宋体"/>
                <w:vanish/>
              </w:rPr>
            </w:pPr>
          </w:p>
        </w:tc>
        <w:tc>
          <w:tcPr>
            <w:tcW w:w="0" w:type="auto"/>
            <w:gridSpan w:val="3"/>
            <w:shd w:val="clear" w:color="auto" w:fill="auto"/>
            <w:vAlign w:val="bottom"/>
          </w:tcPr>
          <w:p w14:paraId="442F6E39" w14:textId="77777777" w:rsidR="00CC25B5" w:rsidRDefault="00CC25B5">
            <w:pPr>
              <w:rPr>
                <w:rFonts w:ascii="宋体"/>
                <w:vanish/>
              </w:rPr>
            </w:pPr>
          </w:p>
        </w:tc>
        <w:tc>
          <w:tcPr>
            <w:tcW w:w="0" w:type="auto"/>
            <w:gridSpan w:val="3"/>
            <w:shd w:val="clear" w:color="auto" w:fill="auto"/>
            <w:vAlign w:val="bottom"/>
          </w:tcPr>
          <w:p w14:paraId="442F6E3A" w14:textId="77777777" w:rsidR="00CC25B5" w:rsidRDefault="00CC25B5">
            <w:pPr>
              <w:rPr>
                <w:rFonts w:ascii="宋体"/>
                <w:vanish/>
              </w:rPr>
            </w:pPr>
          </w:p>
        </w:tc>
        <w:tc>
          <w:tcPr>
            <w:tcW w:w="0" w:type="auto"/>
            <w:gridSpan w:val="3"/>
            <w:shd w:val="clear" w:color="auto" w:fill="auto"/>
            <w:vAlign w:val="bottom"/>
          </w:tcPr>
          <w:p w14:paraId="442F6E3B" w14:textId="77777777" w:rsidR="00CC25B5" w:rsidRDefault="00CC25B5">
            <w:pPr>
              <w:rPr>
                <w:rFonts w:ascii="宋体"/>
                <w:vanish/>
              </w:rPr>
            </w:pPr>
          </w:p>
        </w:tc>
        <w:tc>
          <w:tcPr>
            <w:tcW w:w="0" w:type="auto"/>
            <w:gridSpan w:val="3"/>
            <w:shd w:val="clear" w:color="auto" w:fill="auto"/>
            <w:vAlign w:val="bottom"/>
          </w:tcPr>
          <w:p w14:paraId="442F6E3C" w14:textId="77777777" w:rsidR="00CC25B5" w:rsidRDefault="00CC25B5">
            <w:pPr>
              <w:rPr>
                <w:rFonts w:ascii="宋体"/>
                <w:vanish/>
              </w:rPr>
            </w:pPr>
          </w:p>
        </w:tc>
        <w:tc>
          <w:tcPr>
            <w:tcW w:w="0" w:type="auto"/>
            <w:gridSpan w:val="3"/>
            <w:shd w:val="clear" w:color="auto" w:fill="auto"/>
            <w:vAlign w:val="bottom"/>
          </w:tcPr>
          <w:p w14:paraId="442F6E3D" w14:textId="77777777" w:rsidR="00CC25B5" w:rsidRDefault="00CC25B5">
            <w:pPr>
              <w:rPr>
                <w:rFonts w:ascii="宋体"/>
                <w:vanish/>
              </w:rPr>
            </w:pPr>
          </w:p>
        </w:tc>
        <w:tc>
          <w:tcPr>
            <w:tcW w:w="0" w:type="auto"/>
            <w:gridSpan w:val="3"/>
            <w:shd w:val="clear" w:color="auto" w:fill="auto"/>
            <w:vAlign w:val="bottom"/>
          </w:tcPr>
          <w:p w14:paraId="442F6E3E" w14:textId="77777777" w:rsidR="00CC25B5" w:rsidRDefault="00CC25B5">
            <w:pPr>
              <w:rPr>
                <w:rFonts w:ascii="宋体"/>
                <w:vanish/>
              </w:rPr>
            </w:pPr>
          </w:p>
        </w:tc>
        <w:tc>
          <w:tcPr>
            <w:tcW w:w="0" w:type="auto"/>
            <w:gridSpan w:val="3"/>
            <w:shd w:val="clear" w:color="auto" w:fill="auto"/>
            <w:vAlign w:val="bottom"/>
          </w:tcPr>
          <w:p w14:paraId="442F6E3F" w14:textId="77777777" w:rsidR="00CC25B5" w:rsidRDefault="00CC25B5">
            <w:pPr>
              <w:rPr>
                <w:rFonts w:ascii="宋体"/>
                <w:vanish/>
              </w:rPr>
            </w:pPr>
          </w:p>
        </w:tc>
        <w:tc>
          <w:tcPr>
            <w:tcW w:w="0" w:type="auto"/>
            <w:gridSpan w:val="3"/>
            <w:shd w:val="clear" w:color="auto" w:fill="auto"/>
            <w:vAlign w:val="bottom"/>
          </w:tcPr>
          <w:p w14:paraId="442F6E40" w14:textId="77777777" w:rsidR="00CC25B5" w:rsidRDefault="00CC25B5">
            <w:pPr>
              <w:rPr>
                <w:rFonts w:ascii="宋体"/>
                <w:vanish/>
              </w:rPr>
            </w:pPr>
          </w:p>
        </w:tc>
        <w:tc>
          <w:tcPr>
            <w:tcW w:w="0" w:type="auto"/>
            <w:gridSpan w:val="3"/>
            <w:shd w:val="clear" w:color="auto" w:fill="auto"/>
            <w:vAlign w:val="bottom"/>
          </w:tcPr>
          <w:p w14:paraId="442F6E41" w14:textId="77777777" w:rsidR="00CC25B5" w:rsidRDefault="00CC25B5">
            <w:pPr>
              <w:rPr>
                <w:rFonts w:ascii="宋体"/>
                <w:vanish/>
              </w:rPr>
            </w:pPr>
          </w:p>
        </w:tc>
        <w:tc>
          <w:tcPr>
            <w:tcW w:w="0" w:type="auto"/>
            <w:gridSpan w:val="3"/>
            <w:shd w:val="clear" w:color="auto" w:fill="auto"/>
            <w:vAlign w:val="bottom"/>
          </w:tcPr>
          <w:p w14:paraId="442F6E42" w14:textId="77777777" w:rsidR="00CC25B5" w:rsidRDefault="00CC25B5">
            <w:pPr>
              <w:rPr>
                <w:rFonts w:ascii="宋体"/>
                <w:vanish/>
              </w:rPr>
            </w:pPr>
          </w:p>
        </w:tc>
        <w:tc>
          <w:tcPr>
            <w:tcW w:w="0" w:type="auto"/>
            <w:gridSpan w:val="3"/>
            <w:shd w:val="clear" w:color="auto" w:fill="auto"/>
            <w:vAlign w:val="bottom"/>
          </w:tcPr>
          <w:p w14:paraId="442F6E43" w14:textId="77777777" w:rsidR="00CC25B5" w:rsidRDefault="00CC25B5">
            <w:pPr>
              <w:rPr>
                <w:rFonts w:ascii="宋体"/>
                <w:vanish/>
              </w:rPr>
            </w:pPr>
          </w:p>
        </w:tc>
        <w:tc>
          <w:tcPr>
            <w:tcW w:w="0" w:type="auto"/>
            <w:gridSpan w:val="3"/>
            <w:shd w:val="clear" w:color="auto" w:fill="auto"/>
            <w:vAlign w:val="bottom"/>
          </w:tcPr>
          <w:p w14:paraId="442F6E44" w14:textId="77777777" w:rsidR="00CC25B5" w:rsidRDefault="00CC25B5">
            <w:pPr>
              <w:rPr>
                <w:rFonts w:ascii="宋体"/>
                <w:vanish/>
              </w:rPr>
            </w:pPr>
          </w:p>
        </w:tc>
        <w:tc>
          <w:tcPr>
            <w:tcW w:w="0" w:type="auto"/>
            <w:gridSpan w:val="3"/>
            <w:shd w:val="clear" w:color="auto" w:fill="auto"/>
            <w:vAlign w:val="bottom"/>
          </w:tcPr>
          <w:p w14:paraId="442F6E45" w14:textId="77777777" w:rsidR="00CC25B5" w:rsidRDefault="00CC25B5">
            <w:pPr>
              <w:rPr>
                <w:rFonts w:ascii="宋体"/>
                <w:vanish/>
              </w:rPr>
            </w:pPr>
          </w:p>
        </w:tc>
        <w:tc>
          <w:tcPr>
            <w:tcW w:w="0" w:type="auto"/>
            <w:gridSpan w:val="3"/>
            <w:shd w:val="clear" w:color="auto" w:fill="auto"/>
            <w:vAlign w:val="bottom"/>
          </w:tcPr>
          <w:p w14:paraId="442F6E46" w14:textId="77777777" w:rsidR="00CC25B5" w:rsidRDefault="00CC25B5">
            <w:pPr>
              <w:rPr>
                <w:rFonts w:ascii="宋体"/>
                <w:vanish/>
              </w:rPr>
            </w:pPr>
          </w:p>
        </w:tc>
        <w:tc>
          <w:tcPr>
            <w:tcW w:w="0" w:type="auto"/>
            <w:gridSpan w:val="3"/>
            <w:shd w:val="clear" w:color="auto" w:fill="auto"/>
            <w:vAlign w:val="bottom"/>
          </w:tcPr>
          <w:p w14:paraId="442F6E47" w14:textId="77777777" w:rsidR="00CC25B5" w:rsidRDefault="00CC25B5">
            <w:pPr>
              <w:rPr>
                <w:rFonts w:ascii="宋体"/>
                <w:vanish/>
              </w:rPr>
            </w:pPr>
          </w:p>
        </w:tc>
        <w:tc>
          <w:tcPr>
            <w:tcW w:w="0" w:type="auto"/>
            <w:shd w:val="clear" w:color="auto" w:fill="auto"/>
            <w:vAlign w:val="bottom"/>
          </w:tcPr>
          <w:p w14:paraId="442F6E48" w14:textId="77777777" w:rsidR="00CC25B5" w:rsidRDefault="00CC25B5">
            <w:pPr>
              <w:rPr>
                <w:rFonts w:ascii="宋体"/>
                <w:vanish/>
              </w:rPr>
            </w:pPr>
          </w:p>
        </w:tc>
        <w:tc>
          <w:tcPr>
            <w:tcW w:w="0" w:type="auto"/>
            <w:shd w:val="clear" w:color="auto" w:fill="auto"/>
            <w:vAlign w:val="bottom"/>
          </w:tcPr>
          <w:p w14:paraId="442F6E49" w14:textId="77777777" w:rsidR="00CC25B5" w:rsidRDefault="00CC25B5">
            <w:pPr>
              <w:rPr>
                <w:rFonts w:ascii="宋体"/>
                <w:vanish/>
              </w:rPr>
            </w:pPr>
          </w:p>
        </w:tc>
        <w:tc>
          <w:tcPr>
            <w:tcW w:w="0" w:type="auto"/>
            <w:shd w:val="clear" w:color="auto" w:fill="auto"/>
            <w:vAlign w:val="bottom"/>
          </w:tcPr>
          <w:p w14:paraId="442F6E4A" w14:textId="77777777" w:rsidR="00CC25B5" w:rsidRDefault="00CC25B5">
            <w:pPr>
              <w:rPr>
                <w:rFonts w:ascii="宋体"/>
                <w:vanish/>
              </w:rPr>
            </w:pPr>
          </w:p>
        </w:tc>
      </w:tr>
      <w:tr w:rsidR="00CC25B5" w14:paraId="442F6E5F" w14:textId="77777777">
        <w:trPr>
          <w:jc w:val="center"/>
          <w:hidden/>
        </w:trPr>
        <w:tc>
          <w:tcPr>
            <w:tcW w:w="0" w:type="auto"/>
            <w:gridSpan w:val="3"/>
            <w:shd w:val="clear" w:color="auto" w:fill="auto"/>
            <w:vAlign w:val="bottom"/>
          </w:tcPr>
          <w:p w14:paraId="442F6E4C" w14:textId="77777777" w:rsidR="00CC25B5" w:rsidRDefault="00CC25B5">
            <w:pPr>
              <w:rPr>
                <w:rFonts w:ascii="宋体"/>
                <w:vanish/>
              </w:rPr>
            </w:pPr>
          </w:p>
        </w:tc>
        <w:tc>
          <w:tcPr>
            <w:tcW w:w="0" w:type="auto"/>
            <w:gridSpan w:val="3"/>
            <w:shd w:val="clear" w:color="auto" w:fill="auto"/>
            <w:vAlign w:val="bottom"/>
          </w:tcPr>
          <w:p w14:paraId="442F6E4D" w14:textId="77777777" w:rsidR="00CC25B5" w:rsidRDefault="00CC25B5">
            <w:pPr>
              <w:rPr>
                <w:rFonts w:ascii="宋体"/>
                <w:vanish/>
              </w:rPr>
            </w:pPr>
          </w:p>
        </w:tc>
        <w:tc>
          <w:tcPr>
            <w:tcW w:w="0" w:type="auto"/>
            <w:gridSpan w:val="3"/>
            <w:shd w:val="clear" w:color="auto" w:fill="auto"/>
            <w:vAlign w:val="bottom"/>
          </w:tcPr>
          <w:p w14:paraId="442F6E4E" w14:textId="77777777" w:rsidR="00CC25B5" w:rsidRDefault="00CC25B5">
            <w:pPr>
              <w:rPr>
                <w:rFonts w:ascii="宋体"/>
                <w:vanish/>
              </w:rPr>
            </w:pPr>
          </w:p>
        </w:tc>
        <w:tc>
          <w:tcPr>
            <w:tcW w:w="0" w:type="auto"/>
            <w:gridSpan w:val="3"/>
            <w:shd w:val="clear" w:color="auto" w:fill="auto"/>
            <w:vAlign w:val="bottom"/>
          </w:tcPr>
          <w:p w14:paraId="442F6E4F" w14:textId="77777777" w:rsidR="00CC25B5" w:rsidRDefault="00CC25B5">
            <w:pPr>
              <w:rPr>
                <w:rFonts w:ascii="宋体"/>
                <w:vanish/>
              </w:rPr>
            </w:pPr>
          </w:p>
        </w:tc>
        <w:tc>
          <w:tcPr>
            <w:tcW w:w="0" w:type="auto"/>
            <w:gridSpan w:val="3"/>
            <w:shd w:val="clear" w:color="auto" w:fill="auto"/>
            <w:vAlign w:val="bottom"/>
          </w:tcPr>
          <w:p w14:paraId="442F6E50" w14:textId="77777777" w:rsidR="00CC25B5" w:rsidRDefault="00CC25B5">
            <w:pPr>
              <w:rPr>
                <w:rFonts w:ascii="宋体"/>
                <w:vanish/>
              </w:rPr>
            </w:pPr>
          </w:p>
        </w:tc>
        <w:tc>
          <w:tcPr>
            <w:tcW w:w="0" w:type="auto"/>
            <w:gridSpan w:val="3"/>
            <w:shd w:val="clear" w:color="auto" w:fill="auto"/>
            <w:vAlign w:val="bottom"/>
          </w:tcPr>
          <w:p w14:paraId="442F6E51" w14:textId="77777777" w:rsidR="00CC25B5" w:rsidRDefault="00CC25B5">
            <w:pPr>
              <w:rPr>
                <w:rFonts w:ascii="宋体"/>
                <w:vanish/>
              </w:rPr>
            </w:pPr>
          </w:p>
        </w:tc>
        <w:tc>
          <w:tcPr>
            <w:tcW w:w="0" w:type="auto"/>
            <w:gridSpan w:val="3"/>
            <w:shd w:val="clear" w:color="auto" w:fill="auto"/>
            <w:vAlign w:val="bottom"/>
          </w:tcPr>
          <w:p w14:paraId="442F6E52" w14:textId="77777777" w:rsidR="00CC25B5" w:rsidRDefault="00CC25B5">
            <w:pPr>
              <w:rPr>
                <w:rFonts w:ascii="宋体"/>
                <w:vanish/>
              </w:rPr>
            </w:pPr>
          </w:p>
        </w:tc>
        <w:tc>
          <w:tcPr>
            <w:tcW w:w="0" w:type="auto"/>
            <w:gridSpan w:val="3"/>
            <w:shd w:val="clear" w:color="auto" w:fill="auto"/>
            <w:vAlign w:val="bottom"/>
          </w:tcPr>
          <w:p w14:paraId="442F6E53" w14:textId="77777777" w:rsidR="00CC25B5" w:rsidRDefault="00CC25B5">
            <w:pPr>
              <w:rPr>
                <w:rFonts w:ascii="宋体"/>
                <w:vanish/>
              </w:rPr>
            </w:pPr>
          </w:p>
        </w:tc>
        <w:tc>
          <w:tcPr>
            <w:tcW w:w="0" w:type="auto"/>
            <w:gridSpan w:val="3"/>
            <w:shd w:val="clear" w:color="auto" w:fill="auto"/>
            <w:vAlign w:val="bottom"/>
          </w:tcPr>
          <w:p w14:paraId="442F6E54" w14:textId="77777777" w:rsidR="00CC25B5" w:rsidRDefault="00CC25B5">
            <w:pPr>
              <w:rPr>
                <w:rFonts w:ascii="宋体"/>
                <w:vanish/>
              </w:rPr>
            </w:pPr>
          </w:p>
        </w:tc>
        <w:tc>
          <w:tcPr>
            <w:tcW w:w="0" w:type="auto"/>
            <w:gridSpan w:val="3"/>
            <w:shd w:val="clear" w:color="auto" w:fill="auto"/>
            <w:vAlign w:val="bottom"/>
          </w:tcPr>
          <w:p w14:paraId="442F6E55" w14:textId="77777777" w:rsidR="00CC25B5" w:rsidRDefault="00CC25B5">
            <w:pPr>
              <w:rPr>
                <w:rFonts w:ascii="宋体"/>
                <w:vanish/>
              </w:rPr>
            </w:pPr>
          </w:p>
        </w:tc>
        <w:tc>
          <w:tcPr>
            <w:tcW w:w="0" w:type="auto"/>
            <w:gridSpan w:val="3"/>
            <w:shd w:val="clear" w:color="auto" w:fill="auto"/>
            <w:vAlign w:val="bottom"/>
          </w:tcPr>
          <w:p w14:paraId="442F6E56" w14:textId="77777777" w:rsidR="00CC25B5" w:rsidRDefault="00CC25B5">
            <w:pPr>
              <w:rPr>
                <w:rFonts w:ascii="宋体"/>
                <w:vanish/>
              </w:rPr>
            </w:pPr>
          </w:p>
        </w:tc>
        <w:tc>
          <w:tcPr>
            <w:tcW w:w="0" w:type="auto"/>
            <w:gridSpan w:val="3"/>
            <w:shd w:val="clear" w:color="auto" w:fill="auto"/>
            <w:vAlign w:val="bottom"/>
          </w:tcPr>
          <w:p w14:paraId="442F6E57" w14:textId="77777777" w:rsidR="00CC25B5" w:rsidRDefault="00CC25B5">
            <w:pPr>
              <w:rPr>
                <w:rFonts w:ascii="宋体"/>
                <w:vanish/>
              </w:rPr>
            </w:pPr>
          </w:p>
        </w:tc>
        <w:tc>
          <w:tcPr>
            <w:tcW w:w="0" w:type="auto"/>
            <w:gridSpan w:val="3"/>
            <w:shd w:val="clear" w:color="auto" w:fill="auto"/>
            <w:vAlign w:val="bottom"/>
          </w:tcPr>
          <w:p w14:paraId="442F6E58" w14:textId="77777777" w:rsidR="00CC25B5" w:rsidRDefault="00CC25B5">
            <w:pPr>
              <w:rPr>
                <w:rFonts w:ascii="宋体"/>
                <w:vanish/>
              </w:rPr>
            </w:pPr>
          </w:p>
        </w:tc>
        <w:tc>
          <w:tcPr>
            <w:tcW w:w="0" w:type="auto"/>
            <w:gridSpan w:val="3"/>
            <w:shd w:val="clear" w:color="auto" w:fill="auto"/>
            <w:vAlign w:val="bottom"/>
          </w:tcPr>
          <w:p w14:paraId="442F6E59" w14:textId="77777777" w:rsidR="00CC25B5" w:rsidRDefault="00CC25B5">
            <w:pPr>
              <w:rPr>
                <w:rFonts w:ascii="宋体"/>
                <w:vanish/>
              </w:rPr>
            </w:pPr>
          </w:p>
        </w:tc>
        <w:tc>
          <w:tcPr>
            <w:tcW w:w="0" w:type="auto"/>
            <w:gridSpan w:val="3"/>
            <w:shd w:val="clear" w:color="auto" w:fill="auto"/>
            <w:vAlign w:val="bottom"/>
          </w:tcPr>
          <w:p w14:paraId="442F6E5A" w14:textId="77777777" w:rsidR="00CC25B5" w:rsidRDefault="00CC25B5">
            <w:pPr>
              <w:rPr>
                <w:rFonts w:ascii="宋体"/>
                <w:vanish/>
              </w:rPr>
            </w:pPr>
          </w:p>
        </w:tc>
        <w:tc>
          <w:tcPr>
            <w:tcW w:w="0" w:type="auto"/>
            <w:gridSpan w:val="3"/>
            <w:shd w:val="clear" w:color="auto" w:fill="auto"/>
            <w:vAlign w:val="bottom"/>
          </w:tcPr>
          <w:p w14:paraId="442F6E5B" w14:textId="77777777" w:rsidR="00CC25B5" w:rsidRDefault="00CC25B5">
            <w:pPr>
              <w:rPr>
                <w:rFonts w:ascii="宋体"/>
                <w:vanish/>
              </w:rPr>
            </w:pPr>
          </w:p>
        </w:tc>
        <w:tc>
          <w:tcPr>
            <w:tcW w:w="0" w:type="auto"/>
            <w:shd w:val="clear" w:color="auto" w:fill="auto"/>
            <w:vAlign w:val="bottom"/>
          </w:tcPr>
          <w:p w14:paraId="442F6E5C" w14:textId="77777777" w:rsidR="00CC25B5" w:rsidRDefault="00CC25B5">
            <w:pPr>
              <w:rPr>
                <w:rFonts w:ascii="宋体"/>
                <w:vanish/>
              </w:rPr>
            </w:pPr>
          </w:p>
        </w:tc>
        <w:tc>
          <w:tcPr>
            <w:tcW w:w="0" w:type="auto"/>
            <w:shd w:val="clear" w:color="auto" w:fill="auto"/>
            <w:vAlign w:val="bottom"/>
          </w:tcPr>
          <w:p w14:paraId="442F6E5D" w14:textId="77777777" w:rsidR="00CC25B5" w:rsidRDefault="00CC25B5">
            <w:pPr>
              <w:rPr>
                <w:rFonts w:ascii="宋体"/>
                <w:vanish/>
              </w:rPr>
            </w:pPr>
          </w:p>
        </w:tc>
        <w:tc>
          <w:tcPr>
            <w:tcW w:w="0" w:type="auto"/>
            <w:shd w:val="clear" w:color="auto" w:fill="auto"/>
            <w:vAlign w:val="bottom"/>
          </w:tcPr>
          <w:p w14:paraId="442F6E5E" w14:textId="77777777" w:rsidR="00CC25B5" w:rsidRDefault="00CC25B5">
            <w:pPr>
              <w:rPr>
                <w:rFonts w:ascii="宋体"/>
                <w:vanish/>
              </w:rPr>
            </w:pPr>
          </w:p>
        </w:tc>
      </w:tr>
      <w:tr w:rsidR="00CC25B5" w14:paraId="442F6E73" w14:textId="77777777">
        <w:trPr>
          <w:jc w:val="center"/>
          <w:hidden/>
        </w:trPr>
        <w:tc>
          <w:tcPr>
            <w:tcW w:w="0" w:type="auto"/>
            <w:gridSpan w:val="3"/>
            <w:shd w:val="clear" w:color="auto" w:fill="auto"/>
            <w:vAlign w:val="bottom"/>
          </w:tcPr>
          <w:p w14:paraId="442F6E60" w14:textId="77777777" w:rsidR="00CC25B5" w:rsidRDefault="00CC25B5">
            <w:pPr>
              <w:rPr>
                <w:rFonts w:ascii="宋体"/>
                <w:vanish/>
              </w:rPr>
            </w:pPr>
          </w:p>
        </w:tc>
        <w:tc>
          <w:tcPr>
            <w:tcW w:w="0" w:type="auto"/>
            <w:gridSpan w:val="3"/>
            <w:shd w:val="clear" w:color="auto" w:fill="auto"/>
            <w:vAlign w:val="bottom"/>
          </w:tcPr>
          <w:p w14:paraId="442F6E61" w14:textId="77777777" w:rsidR="00CC25B5" w:rsidRDefault="00CC25B5">
            <w:pPr>
              <w:rPr>
                <w:rFonts w:ascii="宋体"/>
                <w:vanish/>
              </w:rPr>
            </w:pPr>
          </w:p>
        </w:tc>
        <w:tc>
          <w:tcPr>
            <w:tcW w:w="0" w:type="auto"/>
            <w:gridSpan w:val="3"/>
            <w:shd w:val="clear" w:color="auto" w:fill="auto"/>
            <w:vAlign w:val="bottom"/>
          </w:tcPr>
          <w:p w14:paraId="442F6E62" w14:textId="77777777" w:rsidR="00CC25B5" w:rsidRDefault="00CC25B5">
            <w:pPr>
              <w:rPr>
                <w:rFonts w:ascii="宋体"/>
                <w:vanish/>
              </w:rPr>
            </w:pPr>
          </w:p>
        </w:tc>
        <w:tc>
          <w:tcPr>
            <w:tcW w:w="0" w:type="auto"/>
            <w:gridSpan w:val="3"/>
            <w:shd w:val="clear" w:color="auto" w:fill="auto"/>
            <w:vAlign w:val="bottom"/>
          </w:tcPr>
          <w:p w14:paraId="442F6E63" w14:textId="77777777" w:rsidR="00CC25B5" w:rsidRDefault="00CC25B5">
            <w:pPr>
              <w:rPr>
                <w:rFonts w:ascii="宋体"/>
                <w:vanish/>
              </w:rPr>
            </w:pPr>
          </w:p>
        </w:tc>
        <w:tc>
          <w:tcPr>
            <w:tcW w:w="0" w:type="auto"/>
            <w:gridSpan w:val="3"/>
            <w:shd w:val="clear" w:color="auto" w:fill="auto"/>
            <w:vAlign w:val="bottom"/>
          </w:tcPr>
          <w:p w14:paraId="442F6E64" w14:textId="77777777" w:rsidR="00CC25B5" w:rsidRDefault="00CC25B5">
            <w:pPr>
              <w:rPr>
                <w:rFonts w:ascii="宋体"/>
                <w:vanish/>
              </w:rPr>
            </w:pPr>
          </w:p>
        </w:tc>
        <w:tc>
          <w:tcPr>
            <w:tcW w:w="0" w:type="auto"/>
            <w:gridSpan w:val="3"/>
            <w:shd w:val="clear" w:color="auto" w:fill="auto"/>
            <w:vAlign w:val="bottom"/>
          </w:tcPr>
          <w:p w14:paraId="442F6E65" w14:textId="77777777" w:rsidR="00CC25B5" w:rsidRDefault="00CC25B5">
            <w:pPr>
              <w:rPr>
                <w:rFonts w:ascii="宋体"/>
                <w:vanish/>
              </w:rPr>
            </w:pPr>
          </w:p>
        </w:tc>
        <w:tc>
          <w:tcPr>
            <w:tcW w:w="0" w:type="auto"/>
            <w:gridSpan w:val="3"/>
            <w:shd w:val="clear" w:color="auto" w:fill="auto"/>
            <w:vAlign w:val="bottom"/>
          </w:tcPr>
          <w:p w14:paraId="442F6E66" w14:textId="77777777" w:rsidR="00CC25B5" w:rsidRDefault="00CC25B5">
            <w:pPr>
              <w:rPr>
                <w:rFonts w:ascii="宋体"/>
                <w:vanish/>
              </w:rPr>
            </w:pPr>
          </w:p>
        </w:tc>
        <w:tc>
          <w:tcPr>
            <w:tcW w:w="0" w:type="auto"/>
            <w:gridSpan w:val="3"/>
            <w:shd w:val="clear" w:color="auto" w:fill="auto"/>
            <w:vAlign w:val="bottom"/>
          </w:tcPr>
          <w:p w14:paraId="442F6E67" w14:textId="77777777" w:rsidR="00CC25B5" w:rsidRDefault="00CC25B5">
            <w:pPr>
              <w:rPr>
                <w:rFonts w:ascii="宋体"/>
                <w:vanish/>
              </w:rPr>
            </w:pPr>
          </w:p>
        </w:tc>
        <w:tc>
          <w:tcPr>
            <w:tcW w:w="0" w:type="auto"/>
            <w:gridSpan w:val="3"/>
            <w:shd w:val="clear" w:color="auto" w:fill="auto"/>
            <w:vAlign w:val="bottom"/>
          </w:tcPr>
          <w:p w14:paraId="442F6E68" w14:textId="77777777" w:rsidR="00CC25B5" w:rsidRDefault="00CC25B5">
            <w:pPr>
              <w:rPr>
                <w:rFonts w:ascii="宋体"/>
                <w:vanish/>
              </w:rPr>
            </w:pPr>
          </w:p>
        </w:tc>
        <w:tc>
          <w:tcPr>
            <w:tcW w:w="0" w:type="auto"/>
            <w:gridSpan w:val="3"/>
            <w:shd w:val="clear" w:color="auto" w:fill="auto"/>
            <w:vAlign w:val="bottom"/>
          </w:tcPr>
          <w:p w14:paraId="442F6E69" w14:textId="77777777" w:rsidR="00CC25B5" w:rsidRDefault="00CC25B5">
            <w:pPr>
              <w:rPr>
                <w:rFonts w:ascii="宋体"/>
                <w:vanish/>
              </w:rPr>
            </w:pPr>
          </w:p>
        </w:tc>
        <w:tc>
          <w:tcPr>
            <w:tcW w:w="0" w:type="auto"/>
            <w:gridSpan w:val="3"/>
            <w:shd w:val="clear" w:color="auto" w:fill="auto"/>
            <w:vAlign w:val="bottom"/>
          </w:tcPr>
          <w:p w14:paraId="442F6E6A" w14:textId="77777777" w:rsidR="00CC25B5" w:rsidRDefault="00CC25B5">
            <w:pPr>
              <w:rPr>
                <w:rFonts w:ascii="宋体"/>
                <w:vanish/>
              </w:rPr>
            </w:pPr>
          </w:p>
        </w:tc>
        <w:tc>
          <w:tcPr>
            <w:tcW w:w="0" w:type="auto"/>
            <w:gridSpan w:val="3"/>
            <w:shd w:val="clear" w:color="auto" w:fill="auto"/>
            <w:vAlign w:val="bottom"/>
          </w:tcPr>
          <w:p w14:paraId="442F6E6B" w14:textId="77777777" w:rsidR="00CC25B5" w:rsidRDefault="00CC25B5">
            <w:pPr>
              <w:rPr>
                <w:rFonts w:ascii="宋体"/>
                <w:vanish/>
              </w:rPr>
            </w:pPr>
          </w:p>
        </w:tc>
        <w:tc>
          <w:tcPr>
            <w:tcW w:w="0" w:type="auto"/>
            <w:gridSpan w:val="3"/>
            <w:shd w:val="clear" w:color="auto" w:fill="auto"/>
            <w:vAlign w:val="bottom"/>
          </w:tcPr>
          <w:p w14:paraId="442F6E6C" w14:textId="77777777" w:rsidR="00CC25B5" w:rsidRDefault="00CC25B5">
            <w:pPr>
              <w:rPr>
                <w:rFonts w:ascii="宋体"/>
                <w:vanish/>
              </w:rPr>
            </w:pPr>
          </w:p>
        </w:tc>
        <w:tc>
          <w:tcPr>
            <w:tcW w:w="0" w:type="auto"/>
            <w:gridSpan w:val="3"/>
            <w:shd w:val="clear" w:color="auto" w:fill="auto"/>
            <w:vAlign w:val="bottom"/>
          </w:tcPr>
          <w:p w14:paraId="442F6E6D" w14:textId="77777777" w:rsidR="00CC25B5" w:rsidRDefault="00CC25B5">
            <w:pPr>
              <w:rPr>
                <w:rFonts w:ascii="宋体"/>
                <w:vanish/>
              </w:rPr>
            </w:pPr>
          </w:p>
        </w:tc>
        <w:tc>
          <w:tcPr>
            <w:tcW w:w="0" w:type="auto"/>
            <w:gridSpan w:val="3"/>
            <w:shd w:val="clear" w:color="auto" w:fill="auto"/>
            <w:vAlign w:val="bottom"/>
          </w:tcPr>
          <w:p w14:paraId="442F6E6E" w14:textId="77777777" w:rsidR="00CC25B5" w:rsidRDefault="00CC25B5">
            <w:pPr>
              <w:rPr>
                <w:rFonts w:ascii="宋体"/>
                <w:vanish/>
              </w:rPr>
            </w:pPr>
          </w:p>
        </w:tc>
        <w:tc>
          <w:tcPr>
            <w:tcW w:w="0" w:type="auto"/>
            <w:gridSpan w:val="3"/>
            <w:shd w:val="clear" w:color="auto" w:fill="auto"/>
            <w:vAlign w:val="bottom"/>
          </w:tcPr>
          <w:p w14:paraId="442F6E6F" w14:textId="77777777" w:rsidR="00CC25B5" w:rsidRDefault="00CC25B5">
            <w:pPr>
              <w:rPr>
                <w:rFonts w:ascii="宋体"/>
                <w:vanish/>
              </w:rPr>
            </w:pPr>
          </w:p>
        </w:tc>
        <w:tc>
          <w:tcPr>
            <w:tcW w:w="0" w:type="auto"/>
            <w:shd w:val="clear" w:color="auto" w:fill="auto"/>
            <w:vAlign w:val="bottom"/>
          </w:tcPr>
          <w:p w14:paraId="442F6E70" w14:textId="77777777" w:rsidR="00CC25B5" w:rsidRDefault="00CC25B5">
            <w:pPr>
              <w:rPr>
                <w:rFonts w:ascii="宋体"/>
                <w:vanish/>
              </w:rPr>
            </w:pPr>
          </w:p>
        </w:tc>
        <w:tc>
          <w:tcPr>
            <w:tcW w:w="0" w:type="auto"/>
            <w:shd w:val="clear" w:color="auto" w:fill="auto"/>
            <w:vAlign w:val="bottom"/>
          </w:tcPr>
          <w:p w14:paraId="442F6E71" w14:textId="77777777" w:rsidR="00CC25B5" w:rsidRDefault="00CC25B5">
            <w:pPr>
              <w:rPr>
                <w:rFonts w:ascii="宋体"/>
                <w:vanish/>
              </w:rPr>
            </w:pPr>
          </w:p>
        </w:tc>
        <w:tc>
          <w:tcPr>
            <w:tcW w:w="0" w:type="auto"/>
            <w:shd w:val="clear" w:color="auto" w:fill="auto"/>
            <w:vAlign w:val="bottom"/>
          </w:tcPr>
          <w:p w14:paraId="442F6E72" w14:textId="77777777" w:rsidR="00CC25B5" w:rsidRDefault="00CC25B5">
            <w:pPr>
              <w:rPr>
                <w:rFonts w:ascii="宋体"/>
                <w:vanish/>
              </w:rPr>
            </w:pPr>
          </w:p>
        </w:tc>
      </w:tr>
      <w:tr w:rsidR="00CC25B5" w14:paraId="442F6E8F" w14:textId="77777777">
        <w:trPr>
          <w:jc w:val="center"/>
        </w:trPr>
        <w:tc>
          <w:tcPr>
            <w:tcW w:w="0" w:type="auto"/>
            <w:gridSpan w:val="3"/>
            <w:shd w:val="clear" w:color="auto" w:fill="FFFFFF"/>
            <w:tcMar>
              <w:top w:w="40" w:type="dxa"/>
              <w:left w:w="20" w:type="dxa"/>
              <w:bottom w:w="40" w:type="dxa"/>
              <w:right w:w="20" w:type="dxa"/>
            </w:tcMar>
            <w:vAlign w:val="center"/>
          </w:tcPr>
          <w:p w14:paraId="442F6E74" w14:textId="77777777" w:rsidR="00CC25B5" w:rsidRDefault="00900968">
            <w:pPr>
              <w:textAlignment w:val="center"/>
            </w:pPr>
            <w:r>
              <w:rPr>
                <w:rFonts w:ascii="Times New Roman" w:eastAsia="宋体" w:hAnsi="Times New Roman"/>
                <w:color w:val="000000"/>
                <w:sz w:val="16"/>
                <w:szCs w:val="16"/>
              </w:rPr>
              <w:t>Dividends declared ($2.16 per share)</w:t>
            </w:r>
          </w:p>
        </w:tc>
        <w:tc>
          <w:tcPr>
            <w:tcW w:w="0" w:type="auto"/>
            <w:gridSpan w:val="2"/>
            <w:shd w:val="clear" w:color="auto" w:fill="FFFFFF"/>
            <w:tcMar>
              <w:top w:w="40" w:type="dxa"/>
              <w:left w:w="20" w:type="dxa"/>
              <w:bottom w:w="40" w:type="dxa"/>
              <w:right w:w="0" w:type="dxa"/>
            </w:tcMar>
            <w:vAlign w:val="center"/>
          </w:tcPr>
          <w:p w14:paraId="442F6E75"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7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7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78"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7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7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7B"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7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7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7E" w14:textId="77777777" w:rsidR="00CC25B5" w:rsidRDefault="00900968">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442F6E7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8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81"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8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8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84" w14:textId="77777777" w:rsidR="00CC25B5" w:rsidRDefault="00900968">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442F6E8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8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87"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8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8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8A" w14:textId="77777777" w:rsidR="00CC25B5" w:rsidRDefault="00900968">
            <w:pPr>
              <w:jc w:val="right"/>
              <w:textAlignment w:val="center"/>
            </w:pPr>
            <w:r>
              <w:rPr>
                <w:rFonts w:ascii="Times New Roman" w:eastAsia="宋体" w:hAnsi="Times New Roman"/>
                <w:color w:val="000000"/>
                <w:sz w:val="16"/>
                <w:szCs w:val="16"/>
              </w:rPr>
              <w:t>(6,117)</w:t>
            </w:r>
          </w:p>
        </w:tc>
        <w:tc>
          <w:tcPr>
            <w:tcW w:w="0" w:type="auto"/>
            <w:shd w:val="clear" w:color="auto" w:fill="FFFFFF"/>
            <w:tcMar>
              <w:top w:w="40" w:type="dxa"/>
              <w:left w:w="0" w:type="dxa"/>
              <w:bottom w:w="40" w:type="dxa"/>
              <w:right w:w="20" w:type="dxa"/>
            </w:tcMar>
            <w:vAlign w:val="center"/>
          </w:tcPr>
          <w:p w14:paraId="442F6E8B" w14:textId="77777777" w:rsidR="00CC25B5" w:rsidRDefault="00CC25B5">
            <w:pPr>
              <w:jc w:val="right"/>
              <w:rPr>
                <w:rFonts w:ascii="宋体"/>
              </w:rPr>
            </w:pPr>
          </w:p>
        </w:tc>
        <w:tc>
          <w:tcPr>
            <w:tcW w:w="0" w:type="auto"/>
            <w:shd w:val="clear" w:color="auto" w:fill="auto"/>
            <w:vAlign w:val="bottom"/>
          </w:tcPr>
          <w:p w14:paraId="442F6E8C" w14:textId="77777777" w:rsidR="00CC25B5" w:rsidRDefault="00CC25B5">
            <w:pPr>
              <w:rPr>
                <w:rFonts w:ascii="宋体"/>
                <w:vanish/>
              </w:rPr>
            </w:pPr>
          </w:p>
        </w:tc>
        <w:tc>
          <w:tcPr>
            <w:tcW w:w="0" w:type="auto"/>
            <w:shd w:val="clear" w:color="auto" w:fill="auto"/>
            <w:vAlign w:val="bottom"/>
          </w:tcPr>
          <w:p w14:paraId="442F6E8D" w14:textId="77777777" w:rsidR="00CC25B5" w:rsidRDefault="00CC25B5">
            <w:pPr>
              <w:rPr>
                <w:rFonts w:ascii="宋体"/>
                <w:vanish/>
              </w:rPr>
            </w:pPr>
          </w:p>
        </w:tc>
        <w:tc>
          <w:tcPr>
            <w:tcW w:w="0" w:type="auto"/>
            <w:shd w:val="clear" w:color="auto" w:fill="auto"/>
            <w:vAlign w:val="bottom"/>
          </w:tcPr>
          <w:p w14:paraId="442F6E8E" w14:textId="77777777" w:rsidR="00CC25B5" w:rsidRDefault="00CC25B5">
            <w:pPr>
              <w:rPr>
                <w:rFonts w:ascii="宋体"/>
                <w:vanish/>
              </w:rPr>
            </w:pPr>
          </w:p>
        </w:tc>
      </w:tr>
      <w:tr w:rsidR="00CC25B5" w14:paraId="442F6EAB" w14:textId="77777777">
        <w:trPr>
          <w:jc w:val="center"/>
        </w:trPr>
        <w:tc>
          <w:tcPr>
            <w:tcW w:w="0" w:type="auto"/>
            <w:gridSpan w:val="3"/>
            <w:shd w:val="clear" w:color="auto" w:fill="CCEEFF"/>
            <w:tcMar>
              <w:top w:w="40" w:type="dxa"/>
              <w:left w:w="20" w:type="dxa"/>
              <w:bottom w:w="40" w:type="dxa"/>
              <w:right w:w="20" w:type="dxa"/>
            </w:tcMar>
            <w:vAlign w:val="center"/>
          </w:tcPr>
          <w:p w14:paraId="442F6E90" w14:textId="77777777" w:rsidR="00CC25B5" w:rsidRDefault="00900968">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42F6E91" w14:textId="77777777" w:rsidR="00CC25B5" w:rsidRDefault="00900968">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442F6E9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9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94" w14:textId="77777777" w:rsidR="00CC25B5" w:rsidRDefault="00900968">
            <w:pPr>
              <w:jc w:val="right"/>
              <w:textAlignment w:val="center"/>
            </w:pPr>
            <w:r>
              <w:rPr>
                <w:rFonts w:ascii="Times New Roman" w:eastAsia="宋体" w:hAnsi="Times New Roman"/>
                <w:color w:val="000000"/>
                <w:sz w:val="16"/>
                <w:szCs w:val="16"/>
              </w:rPr>
              <w:t>(1)</w:t>
            </w:r>
          </w:p>
        </w:tc>
        <w:tc>
          <w:tcPr>
            <w:tcW w:w="0" w:type="auto"/>
            <w:shd w:val="clear" w:color="auto" w:fill="CCEEFF"/>
            <w:tcMar>
              <w:top w:w="40" w:type="dxa"/>
              <w:left w:w="0" w:type="dxa"/>
              <w:bottom w:w="40" w:type="dxa"/>
              <w:right w:w="20" w:type="dxa"/>
            </w:tcMar>
            <w:vAlign w:val="center"/>
          </w:tcPr>
          <w:p w14:paraId="442F6E9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9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97" w14:textId="77777777" w:rsidR="00CC25B5" w:rsidRDefault="00900968">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442F6E9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9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9A" w14:textId="77777777" w:rsidR="00CC25B5" w:rsidRDefault="00900968">
            <w:pPr>
              <w:jc w:val="right"/>
              <w:textAlignment w:val="center"/>
            </w:pPr>
            <w:r>
              <w:rPr>
                <w:rFonts w:ascii="Times New Roman" w:eastAsia="宋体" w:hAnsi="Times New Roman"/>
                <w:color w:val="000000"/>
                <w:sz w:val="16"/>
                <w:szCs w:val="16"/>
              </w:rPr>
              <w:t>(666)</w:t>
            </w:r>
          </w:p>
        </w:tc>
        <w:tc>
          <w:tcPr>
            <w:tcW w:w="0" w:type="auto"/>
            <w:shd w:val="clear" w:color="auto" w:fill="CCEEFF"/>
            <w:tcMar>
              <w:top w:w="40" w:type="dxa"/>
              <w:left w:w="0" w:type="dxa"/>
              <w:bottom w:w="40" w:type="dxa"/>
              <w:right w:w="20" w:type="dxa"/>
            </w:tcMar>
            <w:vAlign w:val="center"/>
          </w:tcPr>
          <w:p w14:paraId="442F6E9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9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9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9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9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A0" w14:textId="77777777" w:rsidR="00CC25B5" w:rsidRDefault="00900968">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442F6EA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A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A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A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A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A6" w14:textId="77777777" w:rsidR="00CC25B5" w:rsidRDefault="00900968">
            <w:pPr>
              <w:jc w:val="right"/>
              <w:textAlignment w:val="center"/>
            </w:pPr>
            <w:r>
              <w:rPr>
                <w:rFonts w:ascii="Times New Roman" w:eastAsia="宋体" w:hAnsi="Times New Roman"/>
                <w:color w:val="000000"/>
                <w:sz w:val="16"/>
                <w:szCs w:val="16"/>
              </w:rPr>
              <w:t>(693)</w:t>
            </w:r>
          </w:p>
        </w:tc>
        <w:tc>
          <w:tcPr>
            <w:tcW w:w="0" w:type="auto"/>
            <w:shd w:val="clear" w:color="auto" w:fill="CCEEFF"/>
            <w:tcMar>
              <w:top w:w="40" w:type="dxa"/>
              <w:left w:w="0" w:type="dxa"/>
              <w:bottom w:w="40" w:type="dxa"/>
              <w:right w:w="20" w:type="dxa"/>
            </w:tcMar>
            <w:vAlign w:val="center"/>
          </w:tcPr>
          <w:p w14:paraId="442F6EA7" w14:textId="77777777" w:rsidR="00CC25B5" w:rsidRDefault="00CC25B5">
            <w:pPr>
              <w:jc w:val="right"/>
              <w:rPr>
                <w:rFonts w:ascii="宋体"/>
              </w:rPr>
            </w:pPr>
          </w:p>
        </w:tc>
        <w:tc>
          <w:tcPr>
            <w:tcW w:w="0" w:type="auto"/>
            <w:shd w:val="clear" w:color="auto" w:fill="auto"/>
            <w:vAlign w:val="bottom"/>
          </w:tcPr>
          <w:p w14:paraId="442F6EA8" w14:textId="77777777" w:rsidR="00CC25B5" w:rsidRDefault="00CC25B5">
            <w:pPr>
              <w:rPr>
                <w:rFonts w:ascii="宋体"/>
                <w:vanish/>
              </w:rPr>
            </w:pPr>
          </w:p>
        </w:tc>
        <w:tc>
          <w:tcPr>
            <w:tcW w:w="0" w:type="auto"/>
            <w:shd w:val="clear" w:color="auto" w:fill="auto"/>
            <w:vAlign w:val="bottom"/>
          </w:tcPr>
          <w:p w14:paraId="442F6EA9" w14:textId="77777777" w:rsidR="00CC25B5" w:rsidRDefault="00CC25B5">
            <w:pPr>
              <w:rPr>
                <w:rFonts w:ascii="宋体"/>
                <w:vanish/>
              </w:rPr>
            </w:pPr>
          </w:p>
        </w:tc>
        <w:tc>
          <w:tcPr>
            <w:tcW w:w="0" w:type="auto"/>
            <w:shd w:val="clear" w:color="auto" w:fill="auto"/>
            <w:vAlign w:val="bottom"/>
          </w:tcPr>
          <w:p w14:paraId="442F6EAA" w14:textId="77777777" w:rsidR="00CC25B5" w:rsidRDefault="00CC25B5">
            <w:pPr>
              <w:rPr>
                <w:rFonts w:ascii="宋体"/>
                <w:vanish/>
              </w:rPr>
            </w:pPr>
          </w:p>
        </w:tc>
      </w:tr>
      <w:tr w:rsidR="00CC25B5" w14:paraId="442F6EC7" w14:textId="77777777">
        <w:trPr>
          <w:jc w:val="center"/>
        </w:trPr>
        <w:tc>
          <w:tcPr>
            <w:tcW w:w="0" w:type="auto"/>
            <w:gridSpan w:val="3"/>
            <w:shd w:val="clear" w:color="auto" w:fill="FFFFFF"/>
            <w:tcMar>
              <w:top w:w="40" w:type="dxa"/>
              <w:left w:w="20" w:type="dxa"/>
              <w:bottom w:w="40" w:type="dxa"/>
              <w:right w:w="20" w:type="dxa"/>
            </w:tcMar>
            <w:vAlign w:val="center"/>
          </w:tcPr>
          <w:p w14:paraId="442F6EAC" w14:textId="77777777" w:rsidR="00CC25B5" w:rsidRDefault="00900968">
            <w:pPr>
              <w:textAlignment w:val="center"/>
            </w:pPr>
            <w:r>
              <w:rPr>
                <w:rFonts w:ascii="Times New Roman" w:eastAsia="宋体" w:hAnsi="Times New Roman"/>
                <w:color w:val="000000"/>
                <w:sz w:val="16"/>
                <w:szCs w:val="16"/>
              </w:rPr>
              <w:t>Dividends declared to noncontrolling interest</w:t>
            </w:r>
          </w:p>
        </w:tc>
        <w:tc>
          <w:tcPr>
            <w:tcW w:w="0" w:type="auto"/>
            <w:gridSpan w:val="2"/>
            <w:shd w:val="clear" w:color="auto" w:fill="FFFFFF"/>
            <w:tcMar>
              <w:top w:w="40" w:type="dxa"/>
              <w:left w:w="20" w:type="dxa"/>
              <w:bottom w:w="40" w:type="dxa"/>
              <w:right w:w="0" w:type="dxa"/>
            </w:tcMar>
            <w:vAlign w:val="center"/>
          </w:tcPr>
          <w:p w14:paraId="442F6EA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A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A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B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B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B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B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B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B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B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B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B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B9"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B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B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BC"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EB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B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BF" w14:textId="77777777" w:rsidR="00CC25B5" w:rsidRDefault="00900968">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442F6EC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C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EC2" w14:textId="77777777" w:rsidR="00CC25B5" w:rsidRDefault="00900968">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442F6EC3" w14:textId="77777777" w:rsidR="00CC25B5" w:rsidRDefault="00CC25B5">
            <w:pPr>
              <w:jc w:val="right"/>
              <w:rPr>
                <w:rFonts w:ascii="宋体"/>
              </w:rPr>
            </w:pPr>
          </w:p>
        </w:tc>
        <w:tc>
          <w:tcPr>
            <w:tcW w:w="0" w:type="auto"/>
            <w:shd w:val="clear" w:color="auto" w:fill="auto"/>
            <w:vAlign w:val="bottom"/>
          </w:tcPr>
          <w:p w14:paraId="442F6EC4" w14:textId="77777777" w:rsidR="00CC25B5" w:rsidRDefault="00CC25B5">
            <w:pPr>
              <w:rPr>
                <w:rFonts w:ascii="宋体"/>
                <w:vanish/>
              </w:rPr>
            </w:pPr>
          </w:p>
        </w:tc>
        <w:tc>
          <w:tcPr>
            <w:tcW w:w="0" w:type="auto"/>
            <w:shd w:val="clear" w:color="auto" w:fill="auto"/>
            <w:vAlign w:val="bottom"/>
          </w:tcPr>
          <w:p w14:paraId="442F6EC5" w14:textId="77777777" w:rsidR="00CC25B5" w:rsidRDefault="00CC25B5">
            <w:pPr>
              <w:rPr>
                <w:rFonts w:ascii="宋体"/>
                <w:vanish/>
              </w:rPr>
            </w:pPr>
          </w:p>
        </w:tc>
        <w:tc>
          <w:tcPr>
            <w:tcW w:w="0" w:type="auto"/>
            <w:shd w:val="clear" w:color="auto" w:fill="auto"/>
            <w:vAlign w:val="bottom"/>
          </w:tcPr>
          <w:p w14:paraId="442F6EC6" w14:textId="77777777" w:rsidR="00CC25B5" w:rsidRDefault="00CC25B5">
            <w:pPr>
              <w:rPr>
                <w:rFonts w:ascii="宋体"/>
                <w:vanish/>
              </w:rPr>
            </w:pPr>
          </w:p>
        </w:tc>
      </w:tr>
      <w:tr w:rsidR="00CC25B5" w14:paraId="442F6EE3" w14:textId="77777777">
        <w:trPr>
          <w:jc w:val="center"/>
        </w:trPr>
        <w:tc>
          <w:tcPr>
            <w:tcW w:w="0" w:type="auto"/>
            <w:gridSpan w:val="3"/>
            <w:shd w:val="clear" w:color="auto" w:fill="CCEEFF"/>
            <w:tcMar>
              <w:top w:w="40" w:type="dxa"/>
              <w:left w:w="20" w:type="dxa"/>
              <w:bottom w:w="40" w:type="dxa"/>
              <w:right w:w="20" w:type="dxa"/>
            </w:tcMar>
            <w:vAlign w:val="center"/>
          </w:tcPr>
          <w:p w14:paraId="442F6EC8" w14:textId="77777777" w:rsidR="00CC25B5" w:rsidRDefault="00900968">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42F6EC9" w14:textId="77777777" w:rsidR="00CC25B5" w:rsidRDefault="00900968">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442F6EC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C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CC" w14:textId="77777777" w:rsidR="00CC25B5" w:rsidRDefault="00900968">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42F6EC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C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CF" w14:textId="77777777" w:rsidR="00CC25B5" w:rsidRDefault="00900968">
            <w:pPr>
              <w:jc w:val="right"/>
              <w:textAlignment w:val="center"/>
            </w:pPr>
            <w:r>
              <w:rPr>
                <w:rFonts w:ascii="Times New Roman" w:eastAsia="宋体" w:hAnsi="Times New Roman"/>
                <w:color w:val="000000"/>
                <w:sz w:val="16"/>
                <w:szCs w:val="16"/>
              </w:rPr>
              <w:t>(238)</w:t>
            </w:r>
          </w:p>
        </w:tc>
        <w:tc>
          <w:tcPr>
            <w:tcW w:w="0" w:type="auto"/>
            <w:shd w:val="clear" w:color="auto" w:fill="CCEEFF"/>
            <w:tcMar>
              <w:top w:w="40" w:type="dxa"/>
              <w:left w:w="0" w:type="dxa"/>
              <w:bottom w:w="40" w:type="dxa"/>
              <w:right w:w="20" w:type="dxa"/>
            </w:tcMar>
            <w:vAlign w:val="center"/>
          </w:tcPr>
          <w:p w14:paraId="442F6ED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D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D2" w14:textId="77777777" w:rsidR="00CC25B5" w:rsidRDefault="00900968">
            <w:pPr>
              <w:jc w:val="right"/>
              <w:textAlignment w:val="center"/>
            </w:pPr>
            <w:r>
              <w:rPr>
                <w:rFonts w:ascii="Times New Roman" w:eastAsia="宋体" w:hAnsi="Times New Roman"/>
                <w:color w:val="000000"/>
                <w:sz w:val="16"/>
                <w:szCs w:val="16"/>
              </w:rPr>
              <w:t>(9)</w:t>
            </w:r>
          </w:p>
        </w:tc>
        <w:tc>
          <w:tcPr>
            <w:tcW w:w="0" w:type="auto"/>
            <w:shd w:val="clear" w:color="auto" w:fill="CCEEFF"/>
            <w:tcMar>
              <w:top w:w="40" w:type="dxa"/>
              <w:left w:w="0" w:type="dxa"/>
              <w:bottom w:w="40" w:type="dxa"/>
              <w:right w:w="20" w:type="dxa"/>
            </w:tcMar>
            <w:vAlign w:val="center"/>
          </w:tcPr>
          <w:p w14:paraId="442F6ED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D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D5"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ED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D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D8" w14:textId="77777777" w:rsidR="00CC25B5" w:rsidRDefault="00900968">
            <w:pPr>
              <w:jc w:val="right"/>
              <w:textAlignment w:val="center"/>
            </w:pPr>
            <w:r>
              <w:rPr>
                <w:rFonts w:ascii="Times New Roman" w:eastAsia="宋体" w:hAnsi="Times New Roman"/>
                <w:color w:val="000000"/>
                <w:sz w:val="16"/>
                <w:szCs w:val="16"/>
              </w:rPr>
              <w:t>(246)</w:t>
            </w:r>
          </w:p>
        </w:tc>
        <w:tc>
          <w:tcPr>
            <w:tcW w:w="0" w:type="auto"/>
            <w:shd w:val="clear" w:color="auto" w:fill="CCEEFF"/>
            <w:tcMar>
              <w:top w:w="40" w:type="dxa"/>
              <w:left w:w="0" w:type="dxa"/>
              <w:bottom w:w="40" w:type="dxa"/>
              <w:right w:w="20" w:type="dxa"/>
            </w:tcMar>
            <w:vAlign w:val="center"/>
          </w:tcPr>
          <w:p w14:paraId="442F6ED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D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DB" w14:textId="77777777" w:rsidR="00CC25B5" w:rsidRDefault="00900968">
            <w:pPr>
              <w:jc w:val="right"/>
              <w:textAlignment w:val="center"/>
            </w:pPr>
            <w:r>
              <w:rPr>
                <w:rFonts w:ascii="Times New Roman" w:eastAsia="宋体" w:hAnsi="Times New Roman"/>
                <w:color w:val="000000"/>
                <w:sz w:val="16"/>
                <w:szCs w:val="16"/>
              </w:rPr>
              <w:t>(26)</w:t>
            </w:r>
          </w:p>
        </w:tc>
        <w:tc>
          <w:tcPr>
            <w:tcW w:w="0" w:type="auto"/>
            <w:shd w:val="clear" w:color="auto" w:fill="CCEEFF"/>
            <w:tcMar>
              <w:top w:w="40" w:type="dxa"/>
              <w:left w:w="0" w:type="dxa"/>
              <w:bottom w:w="40" w:type="dxa"/>
              <w:right w:w="20" w:type="dxa"/>
            </w:tcMar>
            <w:vAlign w:val="center"/>
          </w:tcPr>
          <w:p w14:paraId="442F6ED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ED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EDE" w14:textId="77777777" w:rsidR="00CC25B5" w:rsidRDefault="00900968">
            <w:pPr>
              <w:jc w:val="right"/>
              <w:textAlignment w:val="center"/>
            </w:pPr>
            <w:r>
              <w:rPr>
                <w:rFonts w:ascii="Times New Roman" w:eastAsia="宋体" w:hAnsi="Times New Roman"/>
                <w:color w:val="000000"/>
                <w:sz w:val="16"/>
                <w:szCs w:val="16"/>
              </w:rPr>
              <w:t>(272)</w:t>
            </w:r>
          </w:p>
        </w:tc>
        <w:tc>
          <w:tcPr>
            <w:tcW w:w="0" w:type="auto"/>
            <w:shd w:val="clear" w:color="auto" w:fill="CCEEFF"/>
            <w:tcMar>
              <w:top w:w="40" w:type="dxa"/>
              <w:left w:w="0" w:type="dxa"/>
              <w:bottom w:w="40" w:type="dxa"/>
              <w:right w:w="20" w:type="dxa"/>
            </w:tcMar>
            <w:vAlign w:val="center"/>
          </w:tcPr>
          <w:p w14:paraId="442F6EDF" w14:textId="77777777" w:rsidR="00CC25B5" w:rsidRDefault="00CC25B5">
            <w:pPr>
              <w:jc w:val="right"/>
              <w:rPr>
                <w:rFonts w:ascii="宋体"/>
              </w:rPr>
            </w:pPr>
          </w:p>
        </w:tc>
        <w:tc>
          <w:tcPr>
            <w:tcW w:w="0" w:type="auto"/>
            <w:shd w:val="clear" w:color="auto" w:fill="auto"/>
            <w:vAlign w:val="bottom"/>
          </w:tcPr>
          <w:p w14:paraId="442F6EE0" w14:textId="77777777" w:rsidR="00CC25B5" w:rsidRDefault="00CC25B5">
            <w:pPr>
              <w:rPr>
                <w:rFonts w:ascii="宋体"/>
                <w:vanish/>
              </w:rPr>
            </w:pPr>
          </w:p>
        </w:tc>
        <w:tc>
          <w:tcPr>
            <w:tcW w:w="0" w:type="auto"/>
            <w:shd w:val="clear" w:color="auto" w:fill="auto"/>
            <w:vAlign w:val="bottom"/>
          </w:tcPr>
          <w:p w14:paraId="442F6EE1" w14:textId="77777777" w:rsidR="00CC25B5" w:rsidRDefault="00CC25B5">
            <w:pPr>
              <w:rPr>
                <w:rFonts w:ascii="宋体"/>
                <w:vanish/>
              </w:rPr>
            </w:pPr>
          </w:p>
        </w:tc>
        <w:tc>
          <w:tcPr>
            <w:tcW w:w="0" w:type="auto"/>
            <w:shd w:val="clear" w:color="auto" w:fill="auto"/>
            <w:vAlign w:val="bottom"/>
          </w:tcPr>
          <w:p w14:paraId="442F6EE2" w14:textId="77777777" w:rsidR="00CC25B5" w:rsidRDefault="00CC25B5">
            <w:pPr>
              <w:rPr>
                <w:rFonts w:ascii="宋体"/>
                <w:vanish/>
              </w:rPr>
            </w:pPr>
          </w:p>
        </w:tc>
      </w:tr>
      <w:tr w:rsidR="00900968" w14:paraId="442F6F06" w14:textId="77777777">
        <w:trPr>
          <w:jc w:val="center"/>
        </w:trPr>
        <w:tc>
          <w:tcPr>
            <w:tcW w:w="0" w:type="auto"/>
            <w:gridSpan w:val="3"/>
            <w:shd w:val="clear" w:color="auto" w:fill="FFFFFF"/>
            <w:tcMar>
              <w:top w:w="40" w:type="dxa"/>
              <w:left w:w="20" w:type="dxa"/>
              <w:bottom w:w="40" w:type="dxa"/>
              <w:right w:w="20" w:type="dxa"/>
            </w:tcMar>
            <w:vAlign w:val="center"/>
          </w:tcPr>
          <w:p w14:paraId="442F6EE4" w14:textId="77777777" w:rsidR="00CC25B5" w:rsidRDefault="00900968">
            <w:pPr>
              <w:textAlignment w:val="center"/>
            </w:pPr>
            <w:r>
              <w:rPr>
                <w:rFonts w:ascii="Times New Roman" w:eastAsia="宋体" w:hAnsi="Times New Roman"/>
                <w:b/>
                <w:bCs/>
                <w:color w:val="000000"/>
                <w:sz w:val="16"/>
                <w:szCs w:val="16"/>
              </w:rPr>
              <w:t>Balances as of April 30, 2020</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6EE5" w14:textId="77777777" w:rsidR="00CC25B5" w:rsidRDefault="00900968">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E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E7"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EE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EE9" w14:textId="77777777" w:rsidR="00CC25B5" w:rsidRDefault="00900968">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E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EB"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EE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EED" w14:textId="77777777" w:rsidR="00CC25B5" w:rsidRDefault="00900968">
            <w:pPr>
              <w:jc w:val="right"/>
              <w:textAlignment w:val="center"/>
            </w:pPr>
            <w:r>
              <w:rPr>
                <w:rFonts w:ascii="Times New Roman" w:eastAsia="宋体" w:hAnsi="Times New Roman"/>
                <w:color w:val="000000"/>
                <w:sz w:val="16"/>
                <w:szCs w:val="16"/>
              </w:rPr>
              <w:t>2,983 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E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EF"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EF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EF1" w14:textId="77777777" w:rsidR="00CC25B5" w:rsidRDefault="00900968">
            <w:pPr>
              <w:jc w:val="right"/>
              <w:textAlignment w:val="center"/>
            </w:pPr>
            <w:r>
              <w:rPr>
                <w:rFonts w:ascii="Times New Roman" w:eastAsia="宋体" w:hAnsi="Times New Roman"/>
                <w:color w:val="000000"/>
                <w:sz w:val="16"/>
                <w:szCs w:val="16"/>
              </w:rPr>
              <w:t>81,141 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F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F3"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EF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EF5" w14:textId="77777777" w:rsidR="00CC25B5" w:rsidRDefault="00900968">
            <w:pPr>
              <w:jc w:val="right"/>
              <w:textAlignment w:val="center"/>
            </w:pPr>
            <w:r>
              <w:rPr>
                <w:rFonts w:ascii="Times New Roman" w:eastAsia="宋体" w:hAnsi="Times New Roman"/>
                <w:color w:val="000000"/>
                <w:sz w:val="16"/>
                <w:szCs w:val="16"/>
              </w:rPr>
              <w:t>(16,168)</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F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F7"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EF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EF9" w14:textId="77777777" w:rsidR="00CC25B5" w:rsidRDefault="00900968">
            <w:pPr>
              <w:jc w:val="right"/>
              <w:textAlignment w:val="center"/>
            </w:pPr>
            <w:r>
              <w:rPr>
                <w:rFonts w:ascii="Times New Roman" w:eastAsia="宋体" w:hAnsi="Times New Roman"/>
                <w:color w:val="000000"/>
                <w:sz w:val="16"/>
                <w:szCs w:val="16"/>
              </w:rPr>
              <w:t>68,240 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F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FB"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EF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EFD" w14:textId="77777777" w:rsidR="00CC25B5" w:rsidRDefault="00900968">
            <w:pPr>
              <w:jc w:val="right"/>
              <w:textAlignment w:val="center"/>
            </w:pPr>
            <w:r>
              <w:rPr>
                <w:rFonts w:ascii="Times New Roman" w:eastAsia="宋体" w:hAnsi="Times New Roman"/>
                <w:color w:val="000000"/>
                <w:sz w:val="16"/>
                <w:szCs w:val="16"/>
              </w:rPr>
              <w:t>5,870 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EF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EFF"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6F0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6F01" w14:textId="77777777" w:rsidR="00CC25B5" w:rsidRDefault="00900968">
            <w:pPr>
              <w:jc w:val="right"/>
              <w:textAlignment w:val="center"/>
            </w:pPr>
            <w:r>
              <w:rPr>
                <w:rFonts w:ascii="Times New Roman" w:eastAsia="宋体" w:hAnsi="Times New Roman"/>
                <w:color w:val="000000"/>
                <w:sz w:val="16"/>
                <w:szCs w:val="16"/>
              </w:rPr>
              <w:t>74,110 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6F02" w14:textId="77777777" w:rsidR="00CC25B5" w:rsidRDefault="00CC25B5">
            <w:pPr>
              <w:jc w:val="right"/>
              <w:rPr>
                <w:rFonts w:ascii="宋体"/>
              </w:rPr>
            </w:pPr>
          </w:p>
        </w:tc>
        <w:tc>
          <w:tcPr>
            <w:tcW w:w="0" w:type="auto"/>
            <w:shd w:val="clear" w:color="auto" w:fill="auto"/>
            <w:vAlign w:val="bottom"/>
          </w:tcPr>
          <w:p w14:paraId="442F6F03" w14:textId="77777777" w:rsidR="00CC25B5" w:rsidRDefault="00CC25B5">
            <w:pPr>
              <w:rPr>
                <w:rFonts w:ascii="宋体"/>
                <w:vanish/>
              </w:rPr>
            </w:pPr>
          </w:p>
        </w:tc>
        <w:tc>
          <w:tcPr>
            <w:tcW w:w="0" w:type="auto"/>
            <w:shd w:val="clear" w:color="auto" w:fill="auto"/>
            <w:vAlign w:val="bottom"/>
          </w:tcPr>
          <w:p w14:paraId="442F6F04" w14:textId="77777777" w:rsidR="00CC25B5" w:rsidRDefault="00CC25B5">
            <w:pPr>
              <w:rPr>
                <w:rFonts w:ascii="宋体"/>
                <w:vanish/>
              </w:rPr>
            </w:pPr>
          </w:p>
        </w:tc>
        <w:tc>
          <w:tcPr>
            <w:tcW w:w="0" w:type="auto"/>
            <w:shd w:val="clear" w:color="auto" w:fill="auto"/>
            <w:vAlign w:val="bottom"/>
          </w:tcPr>
          <w:p w14:paraId="442F6F05" w14:textId="77777777" w:rsidR="00CC25B5" w:rsidRDefault="00CC25B5">
            <w:pPr>
              <w:rPr>
                <w:rFonts w:ascii="宋体"/>
                <w:vanish/>
              </w:rPr>
            </w:pPr>
          </w:p>
        </w:tc>
      </w:tr>
      <w:tr w:rsidR="00CC25B5" w14:paraId="442F6F22" w14:textId="77777777">
        <w:trPr>
          <w:jc w:val="center"/>
        </w:trPr>
        <w:tc>
          <w:tcPr>
            <w:tcW w:w="0" w:type="auto"/>
            <w:gridSpan w:val="3"/>
            <w:shd w:val="clear" w:color="auto" w:fill="CCEEFF"/>
            <w:tcMar>
              <w:top w:w="40" w:type="dxa"/>
              <w:left w:w="20" w:type="dxa"/>
              <w:bottom w:w="40" w:type="dxa"/>
              <w:right w:w="20" w:type="dxa"/>
            </w:tcMar>
            <w:vAlign w:val="center"/>
          </w:tcPr>
          <w:p w14:paraId="442F6F07" w14:textId="77777777" w:rsidR="00CC25B5" w:rsidRDefault="00900968">
            <w:pPr>
              <w:textAlignment w:val="center"/>
            </w:pPr>
            <w:r>
              <w:rPr>
                <w:rFonts w:ascii="Times New Roman" w:eastAsia="宋体" w:hAnsi="Times New Roman"/>
                <w:color w:val="000000"/>
                <w:sz w:val="16"/>
                <w:szCs w:val="16"/>
              </w:rPr>
              <w:t>Consolida</w:t>
            </w:r>
            <w:r>
              <w:rPr>
                <w:rFonts w:ascii="Times New Roman" w:eastAsia="宋体" w:hAnsi="Times New Roman"/>
                <w:color w:val="000000"/>
                <w:sz w:val="16"/>
                <w:szCs w:val="16"/>
              </w:rPr>
              <w:t>ted net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08"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0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0A"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0B"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0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0D"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0E"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0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10"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11" w14:textId="77777777" w:rsidR="00CC25B5" w:rsidRDefault="00900968">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1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13"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14" w14:textId="77777777" w:rsidR="00CC25B5" w:rsidRDefault="00900968">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1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16"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17" w14:textId="77777777" w:rsidR="00CC25B5" w:rsidRDefault="00900968">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1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19"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1A" w14:textId="77777777" w:rsidR="00CC25B5" w:rsidRDefault="00900968">
            <w:pPr>
              <w:jc w:val="right"/>
              <w:textAlignment w:val="center"/>
            </w:pPr>
            <w:r>
              <w:rPr>
                <w:rFonts w:ascii="Times New Roman" w:eastAsia="宋体" w:hAnsi="Times New Roman"/>
                <w:color w:val="000000"/>
                <w:sz w:val="16"/>
                <w:szCs w:val="16"/>
              </w:rPr>
              <w:t>(37)</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1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1C"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6F1D" w14:textId="77777777" w:rsidR="00CC25B5" w:rsidRDefault="00900968">
            <w:pPr>
              <w:jc w:val="right"/>
              <w:textAlignment w:val="center"/>
            </w:pPr>
            <w:r>
              <w:rPr>
                <w:rFonts w:ascii="Times New Roman" w:eastAsia="宋体" w:hAnsi="Times New Roman"/>
                <w:color w:val="000000"/>
                <w:sz w:val="16"/>
                <w:szCs w:val="16"/>
              </w:rPr>
              <w:t>6,439 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6F1E" w14:textId="77777777" w:rsidR="00CC25B5" w:rsidRDefault="00CC25B5">
            <w:pPr>
              <w:jc w:val="right"/>
              <w:rPr>
                <w:rFonts w:ascii="宋体"/>
              </w:rPr>
            </w:pPr>
          </w:p>
        </w:tc>
        <w:tc>
          <w:tcPr>
            <w:tcW w:w="0" w:type="auto"/>
            <w:shd w:val="clear" w:color="auto" w:fill="auto"/>
            <w:vAlign w:val="bottom"/>
          </w:tcPr>
          <w:p w14:paraId="442F6F1F" w14:textId="77777777" w:rsidR="00CC25B5" w:rsidRDefault="00CC25B5">
            <w:pPr>
              <w:rPr>
                <w:rFonts w:ascii="宋体"/>
                <w:vanish/>
              </w:rPr>
            </w:pPr>
          </w:p>
        </w:tc>
        <w:tc>
          <w:tcPr>
            <w:tcW w:w="0" w:type="auto"/>
            <w:shd w:val="clear" w:color="auto" w:fill="auto"/>
            <w:vAlign w:val="bottom"/>
          </w:tcPr>
          <w:p w14:paraId="442F6F20" w14:textId="77777777" w:rsidR="00CC25B5" w:rsidRDefault="00CC25B5">
            <w:pPr>
              <w:rPr>
                <w:rFonts w:ascii="宋体"/>
                <w:vanish/>
              </w:rPr>
            </w:pPr>
          </w:p>
        </w:tc>
        <w:tc>
          <w:tcPr>
            <w:tcW w:w="0" w:type="auto"/>
            <w:shd w:val="clear" w:color="auto" w:fill="auto"/>
            <w:vAlign w:val="bottom"/>
          </w:tcPr>
          <w:p w14:paraId="442F6F21" w14:textId="77777777" w:rsidR="00CC25B5" w:rsidRDefault="00CC25B5">
            <w:pPr>
              <w:rPr>
                <w:rFonts w:ascii="宋体"/>
                <w:vanish/>
              </w:rPr>
            </w:pPr>
          </w:p>
        </w:tc>
      </w:tr>
      <w:tr w:rsidR="00CC25B5" w14:paraId="442F6F3E" w14:textId="77777777">
        <w:trPr>
          <w:jc w:val="center"/>
        </w:trPr>
        <w:tc>
          <w:tcPr>
            <w:tcW w:w="0" w:type="auto"/>
            <w:gridSpan w:val="3"/>
            <w:shd w:val="clear" w:color="auto" w:fill="FFFFFF"/>
            <w:tcMar>
              <w:top w:w="40" w:type="dxa"/>
              <w:left w:w="20" w:type="dxa"/>
              <w:bottom w:w="40" w:type="dxa"/>
              <w:right w:w="20" w:type="dxa"/>
            </w:tcMar>
            <w:vAlign w:val="center"/>
          </w:tcPr>
          <w:p w14:paraId="442F6F23" w14:textId="77777777" w:rsidR="00CC25B5" w:rsidRDefault="00900968">
            <w:pPr>
              <w:textAlignment w:val="center"/>
            </w:pPr>
            <w:r>
              <w:rPr>
                <w:rFonts w:ascii="Times New Roman" w:eastAsia="宋体" w:hAnsi="Times New Roman"/>
                <w:color w:val="000000"/>
                <w:sz w:val="16"/>
                <w:szCs w:val="16"/>
              </w:rPr>
              <w:t>Other comprehensive income, net of income taxes</w:t>
            </w:r>
          </w:p>
        </w:tc>
        <w:tc>
          <w:tcPr>
            <w:tcW w:w="0" w:type="auto"/>
            <w:gridSpan w:val="2"/>
            <w:shd w:val="clear" w:color="auto" w:fill="FFFFFF"/>
            <w:tcMar>
              <w:top w:w="40" w:type="dxa"/>
              <w:left w:w="20" w:type="dxa"/>
              <w:bottom w:w="40" w:type="dxa"/>
              <w:right w:w="0" w:type="dxa"/>
            </w:tcMar>
            <w:vAlign w:val="center"/>
          </w:tcPr>
          <w:p w14:paraId="442F6F24"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F2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2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27"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F2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2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2A"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F2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2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2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F2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2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30" w14:textId="77777777" w:rsidR="00CC25B5" w:rsidRDefault="00900968">
            <w:pPr>
              <w:jc w:val="right"/>
              <w:textAlignment w:val="center"/>
            </w:pPr>
            <w:r>
              <w:rPr>
                <w:rFonts w:ascii="Times New Roman" w:eastAsia="宋体" w:hAnsi="Times New Roman"/>
                <w:color w:val="000000"/>
                <w:sz w:val="16"/>
                <w:szCs w:val="16"/>
              </w:rPr>
              <w:t>384 </w:t>
            </w:r>
          </w:p>
        </w:tc>
        <w:tc>
          <w:tcPr>
            <w:tcW w:w="0" w:type="auto"/>
            <w:shd w:val="clear" w:color="auto" w:fill="FFFFFF"/>
            <w:tcMar>
              <w:top w:w="40" w:type="dxa"/>
              <w:left w:w="0" w:type="dxa"/>
              <w:bottom w:w="40" w:type="dxa"/>
              <w:right w:w="20" w:type="dxa"/>
            </w:tcMar>
            <w:vAlign w:val="center"/>
          </w:tcPr>
          <w:p w14:paraId="442F6F3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3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33" w14:textId="77777777" w:rsidR="00CC25B5" w:rsidRDefault="00900968">
            <w:pPr>
              <w:jc w:val="right"/>
              <w:textAlignment w:val="center"/>
            </w:pPr>
            <w:r>
              <w:rPr>
                <w:rFonts w:ascii="Times New Roman" w:eastAsia="宋体" w:hAnsi="Times New Roman"/>
                <w:color w:val="000000"/>
                <w:sz w:val="16"/>
                <w:szCs w:val="16"/>
              </w:rPr>
              <w:t>384 </w:t>
            </w:r>
          </w:p>
        </w:tc>
        <w:tc>
          <w:tcPr>
            <w:tcW w:w="0" w:type="auto"/>
            <w:shd w:val="clear" w:color="auto" w:fill="FFFFFF"/>
            <w:tcMar>
              <w:top w:w="40" w:type="dxa"/>
              <w:left w:w="0" w:type="dxa"/>
              <w:bottom w:w="40" w:type="dxa"/>
              <w:right w:w="20" w:type="dxa"/>
            </w:tcMar>
            <w:vAlign w:val="center"/>
          </w:tcPr>
          <w:p w14:paraId="442F6F3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3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36" w14:textId="77777777" w:rsidR="00CC25B5" w:rsidRDefault="00900968">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442F6F3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3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39" w14:textId="77777777" w:rsidR="00CC25B5" w:rsidRDefault="00900968">
            <w:pPr>
              <w:jc w:val="right"/>
              <w:textAlignment w:val="center"/>
            </w:pPr>
            <w:r>
              <w:rPr>
                <w:rFonts w:ascii="Times New Roman" w:eastAsia="宋体" w:hAnsi="Times New Roman"/>
                <w:color w:val="000000"/>
                <w:sz w:val="16"/>
                <w:szCs w:val="16"/>
              </w:rPr>
              <w:t>436 </w:t>
            </w:r>
          </w:p>
        </w:tc>
        <w:tc>
          <w:tcPr>
            <w:tcW w:w="0" w:type="auto"/>
            <w:shd w:val="clear" w:color="auto" w:fill="FFFFFF"/>
            <w:tcMar>
              <w:top w:w="40" w:type="dxa"/>
              <w:left w:w="0" w:type="dxa"/>
              <w:bottom w:w="40" w:type="dxa"/>
              <w:right w:w="20" w:type="dxa"/>
            </w:tcMar>
            <w:vAlign w:val="center"/>
          </w:tcPr>
          <w:p w14:paraId="442F6F3A" w14:textId="77777777" w:rsidR="00CC25B5" w:rsidRDefault="00CC25B5">
            <w:pPr>
              <w:jc w:val="right"/>
              <w:rPr>
                <w:rFonts w:ascii="宋体"/>
              </w:rPr>
            </w:pPr>
          </w:p>
        </w:tc>
        <w:tc>
          <w:tcPr>
            <w:tcW w:w="0" w:type="auto"/>
            <w:shd w:val="clear" w:color="auto" w:fill="auto"/>
            <w:vAlign w:val="bottom"/>
          </w:tcPr>
          <w:p w14:paraId="442F6F3B" w14:textId="77777777" w:rsidR="00CC25B5" w:rsidRDefault="00CC25B5">
            <w:pPr>
              <w:rPr>
                <w:rFonts w:ascii="宋体"/>
                <w:vanish/>
              </w:rPr>
            </w:pPr>
          </w:p>
        </w:tc>
        <w:tc>
          <w:tcPr>
            <w:tcW w:w="0" w:type="auto"/>
            <w:shd w:val="clear" w:color="auto" w:fill="auto"/>
            <w:vAlign w:val="bottom"/>
          </w:tcPr>
          <w:p w14:paraId="442F6F3C" w14:textId="77777777" w:rsidR="00CC25B5" w:rsidRDefault="00CC25B5">
            <w:pPr>
              <w:rPr>
                <w:rFonts w:ascii="宋体"/>
                <w:vanish/>
              </w:rPr>
            </w:pPr>
          </w:p>
        </w:tc>
        <w:tc>
          <w:tcPr>
            <w:tcW w:w="0" w:type="auto"/>
            <w:shd w:val="clear" w:color="auto" w:fill="auto"/>
            <w:vAlign w:val="bottom"/>
          </w:tcPr>
          <w:p w14:paraId="442F6F3D" w14:textId="77777777" w:rsidR="00CC25B5" w:rsidRDefault="00CC25B5">
            <w:pPr>
              <w:rPr>
                <w:rFonts w:ascii="宋体"/>
                <w:vanish/>
              </w:rPr>
            </w:pPr>
          </w:p>
        </w:tc>
      </w:tr>
      <w:tr w:rsidR="00CC25B5" w14:paraId="442F6F52" w14:textId="77777777">
        <w:trPr>
          <w:jc w:val="center"/>
          <w:hidden/>
        </w:trPr>
        <w:tc>
          <w:tcPr>
            <w:tcW w:w="0" w:type="auto"/>
            <w:gridSpan w:val="3"/>
            <w:shd w:val="clear" w:color="auto" w:fill="auto"/>
            <w:vAlign w:val="bottom"/>
          </w:tcPr>
          <w:p w14:paraId="442F6F3F" w14:textId="77777777" w:rsidR="00CC25B5" w:rsidRDefault="00CC25B5">
            <w:pPr>
              <w:rPr>
                <w:rFonts w:ascii="宋体"/>
                <w:vanish/>
              </w:rPr>
            </w:pPr>
          </w:p>
        </w:tc>
        <w:tc>
          <w:tcPr>
            <w:tcW w:w="0" w:type="auto"/>
            <w:gridSpan w:val="3"/>
            <w:shd w:val="clear" w:color="auto" w:fill="auto"/>
            <w:vAlign w:val="bottom"/>
          </w:tcPr>
          <w:p w14:paraId="442F6F40" w14:textId="77777777" w:rsidR="00CC25B5" w:rsidRDefault="00CC25B5">
            <w:pPr>
              <w:rPr>
                <w:rFonts w:ascii="宋体"/>
                <w:vanish/>
              </w:rPr>
            </w:pPr>
          </w:p>
        </w:tc>
        <w:tc>
          <w:tcPr>
            <w:tcW w:w="0" w:type="auto"/>
            <w:gridSpan w:val="3"/>
            <w:shd w:val="clear" w:color="auto" w:fill="auto"/>
            <w:vAlign w:val="bottom"/>
          </w:tcPr>
          <w:p w14:paraId="442F6F41" w14:textId="77777777" w:rsidR="00CC25B5" w:rsidRDefault="00CC25B5">
            <w:pPr>
              <w:rPr>
                <w:rFonts w:ascii="宋体"/>
                <w:vanish/>
              </w:rPr>
            </w:pPr>
          </w:p>
        </w:tc>
        <w:tc>
          <w:tcPr>
            <w:tcW w:w="0" w:type="auto"/>
            <w:gridSpan w:val="3"/>
            <w:shd w:val="clear" w:color="auto" w:fill="auto"/>
            <w:vAlign w:val="bottom"/>
          </w:tcPr>
          <w:p w14:paraId="442F6F42" w14:textId="77777777" w:rsidR="00CC25B5" w:rsidRDefault="00CC25B5">
            <w:pPr>
              <w:rPr>
                <w:rFonts w:ascii="宋体"/>
                <w:vanish/>
              </w:rPr>
            </w:pPr>
          </w:p>
        </w:tc>
        <w:tc>
          <w:tcPr>
            <w:tcW w:w="0" w:type="auto"/>
            <w:gridSpan w:val="3"/>
            <w:shd w:val="clear" w:color="auto" w:fill="auto"/>
            <w:vAlign w:val="bottom"/>
          </w:tcPr>
          <w:p w14:paraId="442F6F43" w14:textId="77777777" w:rsidR="00CC25B5" w:rsidRDefault="00CC25B5">
            <w:pPr>
              <w:rPr>
                <w:rFonts w:ascii="宋体"/>
                <w:vanish/>
              </w:rPr>
            </w:pPr>
          </w:p>
        </w:tc>
        <w:tc>
          <w:tcPr>
            <w:tcW w:w="0" w:type="auto"/>
            <w:gridSpan w:val="3"/>
            <w:shd w:val="clear" w:color="auto" w:fill="auto"/>
            <w:vAlign w:val="bottom"/>
          </w:tcPr>
          <w:p w14:paraId="442F6F44" w14:textId="77777777" w:rsidR="00CC25B5" w:rsidRDefault="00CC25B5">
            <w:pPr>
              <w:rPr>
                <w:rFonts w:ascii="宋体"/>
                <w:vanish/>
              </w:rPr>
            </w:pPr>
          </w:p>
        </w:tc>
        <w:tc>
          <w:tcPr>
            <w:tcW w:w="0" w:type="auto"/>
            <w:gridSpan w:val="3"/>
            <w:shd w:val="clear" w:color="auto" w:fill="auto"/>
            <w:vAlign w:val="bottom"/>
          </w:tcPr>
          <w:p w14:paraId="442F6F45" w14:textId="77777777" w:rsidR="00CC25B5" w:rsidRDefault="00CC25B5">
            <w:pPr>
              <w:rPr>
                <w:rFonts w:ascii="宋体"/>
                <w:vanish/>
              </w:rPr>
            </w:pPr>
          </w:p>
        </w:tc>
        <w:tc>
          <w:tcPr>
            <w:tcW w:w="0" w:type="auto"/>
            <w:gridSpan w:val="3"/>
            <w:shd w:val="clear" w:color="auto" w:fill="auto"/>
            <w:vAlign w:val="bottom"/>
          </w:tcPr>
          <w:p w14:paraId="442F6F46" w14:textId="77777777" w:rsidR="00CC25B5" w:rsidRDefault="00CC25B5">
            <w:pPr>
              <w:rPr>
                <w:rFonts w:ascii="宋体"/>
                <w:vanish/>
              </w:rPr>
            </w:pPr>
          </w:p>
        </w:tc>
        <w:tc>
          <w:tcPr>
            <w:tcW w:w="0" w:type="auto"/>
            <w:gridSpan w:val="3"/>
            <w:shd w:val="clear" w:color="auto" w:fill="auto"/>
            <w:vAlign w:val="bottom"/>
          </w:tcPr>
          <w:p w14:paraId="442F6F47" w14:textId="77777777" w:rsidR="00CC25B5" w:rsidRDefault="00CC25B5">
            <w:pPr>
              <w:rPr>
                <w:rFonts w:ascii="宋体"/>
                <w:vanish/>
              </w:rPr>
            </w:pPr>
          </w:p>
        </w:tc>
        <w:tc>
          <w:tcPr>
            <w:tcW w:w="0" w:type="auto"/>
            <w:gridSpan w:val="3"/>
            <w:shd w:val="clear" w:color="auto" w:fill="auto"/>
            <w:vAlign w:val="bottom"/>
          </w:tcPr>
          <w:p w14:paraId="442F6F48" w14:textId="77777777" w:rsidR="00CC25B5" w:rsidRDefault="00CC25B5">
            <w:pPr>
              <w:rPr>
                <w:rFonts w:ascii="宋体"/>
                <w:vanish/>
              </w:rPr>
            </w:pPr>
          </w:p>
        </w:tc>
        <w:tc>
          <w:tcPr>
            <w:tcW w:w="0" w:type="auto"/>
            <w:gridSpan w:val="3"/>
            <w:shd w:val="clear" w:color="auto" w:fill="auto"/>
            <w:vAlign w:val="bottom"/>
          </w:tcPr>
          <w:p w14:paraId="442F6F49" w14:textId="77777777" w:rsidR="00CC25B5" w:rsidRDefault="00CC25B5">
            <w:pPr>
              <w:rPr>
                <w:rFonts w:ascii="宋体"/>
                <w:vanish/>
              </w:rPr>
            </w:pPr>
          </w:p>
        </w:tc>
        <w:tc>
          <w:tcPr>
            <w:tcW w:w="0" w:type="auto"/>
            <w:gridSpan w:val="3"/>
            <w:shd w:val="clear" w:color="auto" w:fill="auto"/>
            <w:vAlign w:val="bottom"/>
          </w:tcPr>
          <w:p w14:paraId="442F6F4A" w14:textId="77777777" w:rsidR="00CC25B5" w:rsidRDefault="00CC25B5">
            <w:pPr>
              <w:rPr>
                <w:rFonts w:ascii="宋体"/>
                <w:vanish/>
              </w:rPr>
            </w:pPr>
          </w:p>
        </w:tc>
        <w:tc>
          <w:tcPr>
            <w:tcW w:w="0" w:type="auto"/>
            <w:gridSpan w:val="3"/>
            <w:shd w:val="clear" w:color="auto" w:fill="auto"/>
            <w:vAlign w:val="bottom"/>
          </w:tcPr>
          <w:p w14:paraId="442F6F4B" w14:textId="77777777" w:rsidR="00CC25B5" w:rsidRDefault="00CC25B5">
            <w:pPr>
              <w:rPr>
                <w:rFonts w:ascii="宋体"/>
                <w:vanish/>
              </w:rPr>
            </w:pPr>
          </w:p>
        </w:tc>
        <w:tc>
          <w:tcPr>
            <w:tcW w:w="0" w:type="auto"/>
            <w:gridSpan w:val="3"/>
            <w:shd w:val="clear" w:color="auto" w:fill="auto"/>
            <w:vAlign w:val="bottom"/>
          </w:tcPr>
          <w:p w14:paraId="442F6F4C" w14:textId="77777777" w:rsidR="00CC25B5" w:rsidRDefault="00CC25B5">
            <w:pPr>
              <w:rPr>
                <w:rFonts w:ascii="宋体"/>
                <w:vanish/>
              </w:rPr>
            </w:pPr>
          </w:p>
        </w:tc>
        <w:tc>
          <w:tcPr>
            <w:tcW w:w="0" w:type="auto"/>
            <w:gridSpan w:val="3"/>
            <w:shd w:val="clear" w:color="auto" w:fill="auto"/>
            <w:vAlign w:val="bottom"/>
          </w:tcPr>
          <w:p w14:paraId="442F6F4D" w14:textId="77777777" w:rsidR="00CC25B5" w:rsidRDefault="00CC25B5">
            <w:pPr>
              <w:rPr>
                <w:rFonts w:ascii="宋体"/>
                <w:vanish/>
              </w:rPr>
            </w:pPr>
          </w:p>
        </w:tc>
        <w:tc>
          <w:tcPr>
            <w:tcW w:w="0" w:type="auto"/>
            <w:gridSpan w:val="3"/>
            <w:shd w:val="clear" w:color="auto" w:fill="auto"/>
            <w:vAlign w:val="bottom"/>
          </w:tcPr>
          <w:p w14:paraId="442F6F4E" w14:textId="77777777" w:rsidR="00CC25B5" w:rsidRDefault="00CC25B5">
            <w:pPr>
              <w:rPr>
                <w:rFonts w:ascii="宋体"/>
                <w:vanish/>
              </w:rPr>
            </w:pPr>
          </w:p>
        </w:tc>
        <w:tc>
          <w:tcPr>
            <w:tcW w:w="0" w:type="auto"/>
            <w:shd w:val="clear" w:color="auto" w:fill="auto"/>
            <w:vAlign w:val="bottom"/>
          </w:tcPr>
          <w:p w14:paraId="442F6F4F" w14:textId="77777777" w:rsidR="00CC25B5" w:rsidRDefault="00CC25B5">
            <w:pPr>
              <w:rPr>
                <w:rFonts w:ascii="宋体"/>
                <w:vanish/>
              </w:rPr>
            </w:pPr>
          </w:p>
        </w:tc>
        <w:tc>
          <w:tcPr>
            <w:tcW w:w="0" w:type="auto"/>
            <w:shd w:val="clear" w:color="auto" w:fill="auto"/>
            <w:vAlign w:val="bottom"/>
          </w:tcPr>
          <w:p w14:paraId="442F6F50" w14:textId="77777777" w:rsidR="00CC25B5" w:rsidRDefault="00CC25B5">
            <w:pPr>
              <w:rPr>
                <w:rFonts w:ascii="宋体"/>
                <w:vanish/>
              </w:rPr>
            </w:pPr>
          </w:p>
        </w:tc>
        <w:tc>
          <w:tcPr>
            <w:tcW w:w="0" w:type="auto"/>
            <w:shd w:val="clear" w:color="auto" w:fill="auto"/>
            <w:vAlign w:val="bottom"/>
          </w:tcPr>
          <w:p w14:paraId="442F6F51" w14:textId="77777777" w:rsidR="00CC25B5" w:rsidRDefault="00CC25B5">
            <w:pPr>
              <w:rPr>
                <w:rFonts w:ascii="宋体"/>
                <w:vanish/>
              </w:rPr>
            </w:pPr>
          </w:p>
        </w:tc>
      </w:tr>
      <w:tr w:rsidR="00CC25B5" w14:paraId="442F6F66" w14:textId="77777777">
        <w:trPr>
          <w:jc w:val="center"/>
          <w:hidden/>
        </w:trPr>
        <w:tc>
          <w:tcPr>
            <w:tcW w:w="0" w:type="auto"/>
            <w:gridSpan w:val="3"/>
            <w:shd w:val="clear" w:color="auto" w:fill="auto"/>
            <w:vAlign w:val="bottom"/>
          </w:tcPr>
          <w:p w14:paraId="442F6F53" w14:textId="77777777" w:rsidR="00CC25B5" w:rsidRDefault="00CC25B5">
            <w:pPr>
              <w:rPr>
                <w:rFonts w:ascii="宋体"/>
                <w:vanish/>
              </w:rPr>
            </w:pPr>
          </w:p>
        </w:tc>
        <w:tc>
          <w:tcPr>
            <w:tcW w:w="0" w:type="auto"/>
            <w:gridSpan w:val="3"/>
            <w:shd w:val="clear" w:color="auto" w:fill="auto"/>
            <w:vAlign w:val="bottom"/>
          </w:tcPr>
          <w:p w14:paraId="442F6F54" w14:textId="77777777" w:rsidR="00CC25B5" w:rsidRDefault="00CC25B5">
            <w:pPr>
              <w:rPr>
                <w:rFonts w:ascii="宋体"/>
                <w:vanish/>
              </w:rPr>
            </w:pPr>
          </w:p>
        </w:tc>
        <w:tc>
          <w:tcPr>
            <w:tcW w:w="0" w:type="auto"/>
            <w:gridSpan w:val="3"/>
            <w:shd w:val="clear" w:color="auto" w:fill="auto"/>
            <w:vAlign w:val="bottom"/>
          </w:tcPr>
          <w:p w14:paraId="442F6F55" w14:textId="77777777" w:rsidR="00CC25B5" w:rsidRDefault="00CC25B5">
            <w:pPr>
              <w:rPr>
                <w:rFonts w:ascii="宋体"/>
                <w:vanish/>
              </w:rPr>
            </w:pPr>
          </w:p>
        </w:tc>
        <w:tc>
          <w:tcPr>
            <w:tcW w:w="0" w:type="auto"/>
            <w:gridSpan w:val="3"/>
            <w:shd w:val="clear" w:color="auto" w:fill="auto"/>
            <w:vAlign w:val="bottom"/>
          </w:tcPr>
          <w:p w14:paraId="442F6F56" w14:textId="77777777" w:rsidR="00CC25B5" w:rsidRDefault="00CC25B5">
            <w:pPr>
              <w:rPr>
                <w:rFonts w:ascii="宋体"/>
                <w:vanish/>
              </w:rPr>
            </w:pPr>
          </w:p>
        </w:tc>
        <w:tc>
          <w:tcPr>
            <w:tcW w:w="0" w:type="auto"/>
            <w:gridSpan w:val="3"/>
            <w:shd w:val="clear" w:color="auto" w:fill="auto"/>
            <w:vAlign w:val="bottom"/>
          </w:tcPr>
          <w:p w14:paraId="442F6F57" w14:textId="77777777" w:rsidR="00CC25B5" w:rsidRDefault="00CC25B5">
            <w:pPr>
              <w:rPr>
                <w:rFonts w:ascii="宋体"/>
                <w:vanish/>
              </w:rPr>
            </w:pPr>
          </w:p>
        </w:tc>
        <w:tc>
          <w:tcPr>
            <w:tcW w:w="0" w:type="auto"/>
            <w:gridSpan w:val="3"/>
            <w:shd w:val="clear" w:color="auto" w:fill="auto"/>
            <w:vAlign w:val="bottom"/>
          </w:tcPr>
          <w:p w14:paraId="442F6F58" w14:textId="77777777" w:rsidR="00CC25B5" w:rsidRDefault="00CC25B5">
            <w:pPr>
              <w:rPr>
                <w:rFonts w:ascii="宋体"/>
                <w:vanish/>
              </w:rPr>
            </w:pPr>
          </w:p>
        </w:tc>
        <w:tc>
          <w:tcPr>
            <w:tcW w:w="0" w:type="auto"/>
            <w:gridSpan w:val="3"/>
            <w:shd w:val="clear" w:color="auto" w:fill="auto"/>
            <w:vAlign w:val="bottom"/>
          </w:tcPr>
          <w:p w14:paraId="442F6F59" w14:textId="77777777" w:rsidR="00CC25B5" w:rsidRDefault="00CC25B5">
            <w:pPr>
              <w:rPr>
                <w:rFonts w:ascii="宋体"/>
                <w:vanish/>
              </w:rPr>
            </w:pPr>
          </w:p>
        </w:tc>
        <w:tc>
          <w:tcPr>
            <w:tcW w:w="0" w:type="auto"/>
            <w:gridSpan w:val="3"/>
            <w:shd w:val="clear" w:color="auto" w:fill="auto"/>
            <w:vAlign w:val="bottom"/>
          </w:tcPr>
          <w:p w14:paraId="442F6F5A" w14:textId="77777777" w:rsidR="00CC25B5" w:rsidRDefault="00CC25B5">
            <w:pPr>
              <w:rPr>
                <w:rFonts w:ascii="宋体"/>
                <w:vanish/>
              </w:rPr>
            </w:pPr>
          </w:p>
        </w:tc>
        <w:tc>
          <w:tcPr>
            <w:tcW w:w="0" w:type="auto"/>
            <w:gridSpan w:val="3"/>
            <w:shd w:val="clear" w:color="auto" w:fill="auto"/>
            <w:vAlign w:val="bottom"/>
          </w:tcPr>
          <w:p w14:paraId="442F6F5B" w14:textId="77777777" w:rsidR="00CC25B5" w:rsidRDefault="00CC25B5">
            <w:pPr>
              <w:rPr>
                <w:rFonts w:ascii="宋体"/>
                <w:vanish/>
              </w:rPr>
            </w:pPr>
          </w:p>
        </w:tc>
        <w:tc>
          <w:tcPr>
            <w:tcW w:w="0" w:type="auto"/>
            <w:gridSpan w:val="3"/>
            <w:shd w:val="clear" w:color="auto" w:fill="auto"/>
            <w:vAlign w:val="bottom"/>
          </w:tcPr>
          <w:p w14:paraId="442F6F5C" w14:textId="77777777" w:rsidR="00CC25B5" w:rsidRDefault="00CC25B5">
            <w:pPr>
              <w:rPr>
                <w:rFonts w:ascii="宋体"/>
                <w:vanish/>
              </w:rPr>
            </w:pPr>
          </w:p>
        </w:tc>
        <w:tc>
          <w:tcPr>
            <w:tcW w:w="0" w:type="auto"/>
            <w:gridSpan w:val="3"/>
            <w:shd w:val="clear" w:color="auto" w:fill="auto"/>
            <w:vAlign w:val="bottom"/>
          </w:tcPr>
          <w:p w14:paraId="442F6F5D" w14:textId="77777777" w:rsidR="00CC25B5" w:rsidRDefault="00CC25B5">
            <w:pPr>
              <w:rPr>
                <w:rFonts w:ascii="宋体"/>
                <w:vanish/>
              </w:rPr>
            </w:pPr>
          </w:p>
        </w:tc>
        <w:tc>
          <w:tcPr>
            <w:tcW w:w="0" w:type="auto"/>
            <w:gridSpan w:val="3"/>
            <w:shd w:val="clear" w:color="auto" w:fill="auto"/>
            <w:vAlign w:val="bottom"/>
          </w:tcPr>
          <w:p w14:paraId="442F6F5E" w14:textId="77777777" w:rsidR="00CC25B5" w:rsidRDefault="00CC25B5">
            <w:pPr>
              <w:rPr>
                <w:rFonts w:ascii="宋体"/>
                <w:vanish/>
              </w:rPr>
            </w:pPr>
          </w:p>
        </w:tc>
        <w:tc>
          <w:tcPr>
            <w:tcW w:w="0" w:type="auto"/>
            <w:gridSpan w:val="3"/>
            <w:shd w:val="clear" w:color="auto" w:fill="auto"/>
            <w:vAlign w:val="bottom"/>
          </w:tcPr>
          <w:p w14:paraId="442F6F5F" w14:textId="77777777" w:rsidR="00CC25B5" w:rsidRDefault="00CC25B5">
            <w:pPr>
              <w:rPr>
                <w:rFonts w:ascii="宋体"/>
                <w:vanish/>
              </w:rPr>
            </w:pPr>
          </w:p>
        </w:tc>
        <w:tc>
          <w:tcPr>
            <w:tcW w:w="0" w:type="auto"/>
            <w:gridSpan w:val="3"/>
            <w:shd w:val="clear" w:color="auto" w:fill="auto"/>
            <w:vAlign w:val="bottom"/>
          </w:tcPr>
          <w:p w14:paraId="442F6F60" w14:textId="77777777" w:rsidR="00CC25B5" w:rsidRDefault="00CC25B5">
            <w:pPr>
              <w:rPr>
                <w:rFonts w:ascii="宋体"/>
                <w:vanish/>
              </w:rPr>
            </w:pPr>
          </w:p>
        </w:tc>
        <w:tc>
          <w:tcPr>
            <w:tcW w:w="0" w:type="auto"/>
            <w:gridSpan w:val="3"/>
            <w:shd w:val="clear" w:color="auto" w:fill="auto"/>
            <w:vAlign w:val="bottom"/>
          </w:tcPr>
          <w:p w14:paraId="442F6F61" w14:textId="77777777" w:rsidR="00CC25B5" w:rsidRDefault="00CC25B5">
            <w:pPr>
              <w:rPr>
                <w:rFonts w:ascii="宋体"/>
                <w:vanish/>
              </w:rPr>
            </w:pPr>
          </w:p>
        </w:tc>
        <w:tc>
          <w:tcPr>
            <w:tcW w:w="0" w:type="auto"/>
            <w:gridSpan w:val="3"/>
            <w:shd w:val="clear" w:color="auto" w:fill="auto"/>
            <w:vAlign w:val="bottom"/>
          </w:tcPr>
          <w:p w14:paraId="442F6F62" w14:textId="77777777" w:rsidR="00CC25B5" w:rsidRDefault="00CC25B5">
            <w:pPr>
              <w:rPr>
                <w:rFonts w:ascii="宋体"/>
                <w:vanish/>
              </w:rPr>
            </w:pPr>
          </w:p>
        </w:tc>
        <w:tc>
          <w:tcPr>
            <w:tcW w:w="0" w:type="auto"/>
            <w:shd w:val="clear" w:color="auto" w:fill="auto"/>
            <w:vAlign w:val="bottom"/>
          </w:tcPr>
          <w:p w14:paraId="442F6F63" w14:textId="77777777" w:rsidR="00CC25B5" w:rsidRDefault="00CC25B5">
            <w:pPr>
              <w:rPr>
                <w:rFonts w:ascii="宋体"/>
                <w:vanish/>
              </w:rPr>
            </w:pPr>
          </w:p>
        </w:tc>
        <w:tc>
          <w:tcPr>
            <w:tcW w:w="0" w:type="auto"/>
            <w:shd w:val="clear" w:color="auto" w:fill="auto"/>
            <w:vAlign w:val="bottom"/>
          </w:tcPr>
          <w:p w14:paraId="442F6F64" w14:textId="77777777" w:rsidR="00CC25B5" w:rsidRDefault="00CC25B5">
            <w:pPr>
              <w:rPr>
                <w:rFonts w:ascii="宋体"/>
                <w:vanish/>
              </w:rPr>
            </w:pPr>
          </w:p>
        </w:tc>
        <w:tc>
          <w:tcPr>
            <w:tcW w:w="0" w:type="auto"/>
            <w:shd w:val="clear" w:color="auto" w:fill="auto"/>
            <w:vAlign w:val="bottom"/>
          </w:tcPr>
          <w:p w14:paraId="442F6F65" w14:textId="77777777" w:rsidR="00CC25B5" w:rsidRDefault="00CC25B5">
            <w:pPr>
              <w:rPr>
                <w:rFonts w:ascii="宋体"/>
                <w:vanish/>
              </w:rPr>
            </w:pPr>
          </w:p>
        </w:tc>
      </w:tr>
      <w:tr w:rsidR="00CC25B5" w14:paraId="442F6F7A" w14:textId="77777777">
        <w:trPr>
          <w:jc w:val="center"/>
          <w:hidden/>
        </w:trPr>
        <w:tc>
          <w:tcPr>
            <w:tcW w:w="0" w:type="auto"/>
            <w:gridSpan w:val="3"/>
            <w:shd w:val="clear" w:color="auto" w:fill="auto"/>
            <w:vAlign w:val="bottom"/>
          </w:tcPr>
          <w:p w14:paraId="442F6F67" w14:textId="77777777" w:rsidR="00CC25B5" w:rsidRDefault="00CC25B5">
            <w:pPr>
              <w:rPr>
                <w:rFonts w:ascii="宋体"/>
                <w:vanish/>
              </w:rPr>
            </w:pPr>
          </w:p>
        </w:tc>
        <w:tc>
          <w:tcPr>
            <w:tcW w:w="0" w:type="auto"/>
            <w:gridSpan w:val="3"/>
            <w:shd w:val="clear" w:color="auto" w:fill="auto"/>
            <w:vAlign w:val="bottom"/>
          </w:tcPr>
          <w:p w14:paraId="442F6F68" w14:textId="77777777" w:rsidR="00CC25B5" w:rsidRDefault="00CC25B5">
            <w:pPr>
              <w:rPr>
                <w:rFonts w:ascii="宋体"/>
                <w:vanish/>
              </w:rPr>
            </w:pPr>
          </w:p>
        </w:tc>
        <w:tc>
          <w:tcPr>
            <w:tcW w:w="0" w:type="auto"/>
            <w:gridSpan w:val="3"/>
            <w:shd w:val="clear" w:color="auto" w:fill="auto"/>
            <w:vAlign w:val="bottom"/>
          </w:tcPr>
          <w:p w14:paraId="442F6F69" w14:textId="77777777" w:rsidR="00CC25B5" w:rsidRDefault="00CC25B5">
            <w:pPr>
              <w:rPr>
                <w:rFonts w:ascii="宋体"/>
                <w:vanish/>
              </w:rPr>
            </w:pPr>
          </w:p>
        </w:tc>
        <w:tc>
          <w:tcPr>
            <w:tcW w:w="0" w:type="auto"/>
            <w:gridSpan w:val="3"/>
            <w:shd w:val="clear" w:color="auto" w:fill="auto"/>
            <w:vAlign w:val="bottom"/>
          </w:tcPr>
          <w:p w14:paraId="442F6F6A" w14:textId="77777777" w:rsidR="00CC25B5" w:rsidRDefault="00CC25B5">
            <w:pPr>
              <w:rPr>
                <w:rFonts w:ascii="宋体"/>
                <w:vanish/>
              </w:rPr>
            </w:pPr>
          </w:p>
        </w:tc>
        <w:tc>
          <w:tcPr>
            <w:tcW w:w="0" w:type="auto"/>
            <w:gridSpan w:val="3"/>
            <w:shd w:val="clear" w:color="auto" w:fill="auto"/>
            <w:vAlign w:val="bottom"/>
          </w:tcPr>
          <w:p w14:paraId="442F6F6B" w14:textId="77777777" w:rsidR="00CC25B5" w:rsidRDefault="00CC25B5">
            <w:pPr>
              <w:rPr>
                <w:rFonts w:ascii="宋体"/>
                <w:vanish/>
              </w:rPr>
            </w:pPr>
          </w:p>
        </w:tc>
        <w:tc>
          <w:tcPr>
            <w:tcW w:w="0" w:type="auto"/>
            <w:gridSpan w:val="3"/>
            <w:shd w:val="clear" w:color="auto" w:fill="auto"/>
            <w:vAlign w:val="bottom"/>
          </w:tcPr>
          <w:p w14:paraId="442F6F6C" w14:textId="77777777" w:rsidR="00CC25B5" w:rsidRDefault="00CC25B5">
            <w:pPr>
              <w:rPr>
                <w:rFonts w:ascii="宋体"/>
                <w:vanish/>
              </w:rPr>
            </w:pPr>
          </w:p>
        </w:tc>
        <w:tc>
          <w:tcPr>
            <w:tcW w:w="0" w:type="auto"/>
            <w:gridSpan w:val="3"/>
            <w:shd w:val="clear" w:color="auto" w:fill="auto"/>
            <w:vAlign w:val="bottom"/>
          </w:tcPr>
          <w:p w14:paraId="442F6F6D" w14:textId="77777777" w:rsidR="00CC25B5" w:rsidRDefault="00CC25B5">
            <w:pPr>
              <w:rPr>
                <w:rFonts w:ascii="宋体"/>
                <w:vanish/>
              </w:rPr>
            </w:pPr>
          </w:p>
        </w:tc>
        <w:tc>
          <w:tcPr>
            <w:tcW w:w="0" w:type="auto"/>
            <w:gridSpan w:val="3"/>
            <w:shd w:val="clear" w:color="auto" w:fill="auto"/>
            <w:vAlign w:val="bottom"/>
          </w:tcPr>
          <w:p w14:paraId="442F6F6E" w14:textId="77777777" w:rsidR="00CC25B5" w:rsidRDefault="00CC25B5">
            <w:pPr>
              <w:rPr>
                <w:rFonts w:ascii="宋体"/>
                <w:vanish/>
              </w:rPr>
            </w:pPr>
          </w:p>
        </w:tc>
        <w:tc>
          <w:tcPr>
            <w:tcW w:w="0" w:type="auto"/>
            <w:gridSpan w:val="3"/>
            <w:shd w:val="clear" w:color="auto" w:fill="auto"/>
            <w:vAlign w:val="bottom"/>
          </w:tcPr>
          <w:p w14:paraId="442F6F6F" w14:textId="77777777" w:rsidR="00CC25B5" w:rsidRDefault="00CC25B5">
            <w:pPr>
              <w:rPr>
                <w:rFonts w:ascii="宋体"/>
                <w:vanish/>
              </w:rPr>
            </w:pPr>
          </w:p>
        </w:tc>
        <w:tc>
          <w:tcPr>
            <w:tcW w:w="0" w:type="auto"/>
            <w:gridSpan w:val="3"/>
            <w:shd w:val="clear" w:color="auto" w:fill="auto"/>
            <w:vAlign w:val="bottom"/>
          </w:tcPr>
          <w:p w14:paraId="442F6F70" w14:textId="77777777" w:rsidR="00CC25B5" w:rsidRDefault="00CC25B5">
            <w:pPr>
              <w:rPr>
                <w:rFonts w:ascii="宋体"/>
                <w:vanish/>
              </w:rPr>
            </w:pPr>
          </w:p>
        </w:tc>
        <w:tc>
          <w:tcPr>
            <w:tcW w:w="0" w:type="auto"/>
            <w:gridSpan w:val="3"/>
            <w:shd w:val="clear" w:color="auto" w:fill="auto"/>
            <w:vAlign w:val="bottom"/>
          </w:tcPr>
          <w:p w14:paraId="442F6F71" w14:textId="77777777" w:rsidR="00CC25B5" w:rsidRDefault="00CC25B5">
            <w:pPr>
              <w:rPr>
                <w:rFonts w:ascii="宋体"/>
                <w:vanish/>
              </w:rPr>
            </w:pPr>
          </w:p>
        </w:tc>
        <w:tc>
          <w:tcPr>
            <w:tcW w:w="0" w:type="auto"/>
            <w:gridSpan w:val="3"/>
            <w:shd w:val="clear" w:color="auto" w:fill="auto"/>
            <w:vAlign w:val="bottom"/>
          </w:tcPr>
          <w:p w14:paraId="442F6F72" w14:textId="77777777" w:rsidR="00CC25B5" w:rsidRDefault="00CC25B5">
            <w:pPr>
              <w:rPr>
                <w:rFonts w:ascii="宋体"/>
                <w:vanish/>
              </w:rPr>
            </w:pPr>
          </w:p>
        </w:tc>
        <w:tc>
          <w:tcPr>
            <w:tcW w:w="0" w:type="auto"/>
            <w:gridSpan w:val="3"/>
            <w:shd w:val="clear" w:color="auto" w:fill="auto"/>
            <w:vAlign w:val="bottom"/>
          </w:tcPr>
          <w:p w14:paraId="442F6F73" w14:textId="77777777" w:rsidR="00CC25B5" w:rsidRDefault="00CC25B5">
            <w:pPr>
              <w:rPr>
                <w:rFonts w:ascii="宋体"/>
                <w:vanish/>
              </w:rPr>
            </w:pPr>
          </w:p>
        </w:tc>
        <w:tc>
          <w:tcPr>
            <w:tcW w:w="0" w:type="auto"/>
            <w:gridSpan w:val="3"/>
            <w:shd w:val="clear" w:color="auto" w:fill="auto"/>
            <w:vAlign w:val="bottom"/>
          </w:tcPr>
          <w:p w14:paraId="442F6F74" w14:textId="77777777" w:rsidR="00CC25B5" w:rsidRDefault="00CC25B5">
            <w:pPr>
              <w:rPr>
                <w:rFonts w:ascii="宋体"/>
                <w:vanish/>
              </w:rPr>
            </w:pPr>
          </w:p>
        </w:tc>
        <w:tc>
          <w:tcPr>
            <w:tcW w:w="0" w:type="auto"/>
            <w:gridSpan w:val="3"/>
            <w:shd w:val="clear" w:color="auto" w:fill="auto"/>
            <w:vAlign w:val="bottom"/>
          </w:tcPr>
          <w:p w14:paraId="442F6F75" w14:textId="77777777" w:rsidR="00CC25B5" w:rsidRDefault="00CC25B5">
            <w:pPr>
              <w:rPr>
                <w:rFonts w:ascii="宋体"/>
                <w:vanish/>
              </w:rPr>
            </w:pPr>
          </w:p>
        </w:tc>
        <w:tc>
          <w:tcPr>
            <w:tcW w:w="0" w:type="auto"/>
            <w:gridSpan w:val="3"/>
            <w:shd w:val="clear" w:color="auto" w:fill="auto"/>
            <w:vAlign w:val="bottom"/>
          </w:tcPr>
          <w:p w14:paraId="442F6F76" w14:textId="77777777" w:rsidR="00CC25B5" w:rsidRDefault="00CC25B5">
            <w:pPr>
              <w:rPr>
                <w:rFonts w:ascii="宋体"/>
                <w:vanish/>
              </w:rPr>
            </w:pPr>
          </w:p>
        </w:tc>
        <w:tc>
          <w:tcPr>
            <w:tcW w:w="0" w:type="auto"/>
            <w:shd w:val="clear" w:color="auto" w:fill="auto"/>
            <w:vAlign w:val="bottom"/>
          </w:tcPr>
          <w:p w14:paraId="442F6F77" w14:textId="77777777" w:rsidR="00CC25B5" w:rsidRDefault="00CC25B5">
            <w:pPr>
              <w:rPr>
                <w:rFonts w:ascii="宋体"/>
                <w:vanish/>
              </w:rPr>
            </w:pPr>
          </w:p>
        </w:tc>
        <w:tc>
          <w:tcPr>
            <w:tcW w:w="0" w:type="auto"/>
            <w:shd w:val="clear" w:color="auto" w:fill="auto"/>
            <w:vAlign w:val="bottom"/>
          </w:tcPr>
          <w:p w14:paraId="442F6F78" w14:textId="77777777" w:rsidR="00CC25B5" w:rsidRDefault="00CC25B5">
            <w:pPr>
              <w:rPr>
                <w:rFonts w:ascii="宋体"/>
                <w:vanish/>
              </w:rPr>
            </w:pPr>
          </w:p>
        </w:tc>
        <w:tc>
          <w:tcPr>
            <w:tcW w:w="0" w:type="auto"/>
            <w:shd w:val="clear" w:color="auto" w:fill="auto"/>
            <w:vAlign w:val="bottom"/>
          </w:tcPr>
          <w:p w14:paraId="442F6F79" w14:textId="77777777" w:rsidR="00CC25B5" w:rsidRDefault="00CC25B5">
            <w:pPr>
              <w:rPr>
                <w:rFonts w:ascii="宋体"/>
                <w:vanish/>
              </w:rPr>
            </w:pPr>
          </w:p>
        </w:tc>
      </w:tr>
      <w:tr w:rsidR="00CC25B5" w14:paraId="442F6F8E" w14:textId="77777777">
        <w:trPr>
          <w:jc w:val="center"/>
          <w:hidden/>
        </w:trPr>
        <w:tc>
          <w:tcPr>
            <w:tcW w:w="0" w:type="auto"/>
            <w:gridSpan w:val="3"/>
            <w:shd w:val="clear" w:color="auto" w:fill="auto"/>
            <w:vAlign w:val="bottom"/>
          </w:tcPr>
          <w:p w14:paraId="442F6F7B" w14:textId="77777777" w:rsidR="00CC25B5" w:rsidRDefault="00CC25B5">
            <w:pPr>
              <w:rPr>
                <w:rFonts w:ascii="宋体"/>
                <w:vanish/>
              </w:rPr>
            </w:pPr>
          </w:p>
        </w:tc>
        <w:tc>
          <w:tcPr>
            <w:tcW w:w="0" w:type="auto"/>
            <w:gridSpan w:val="3"/>
            <w:shd w:val="clear" w:color="auto" w:fill="auto"/>
            <w:vAlign w:val="bottom"/>
          </w:tcPr>
          <w:p w14:paraId="442F6F7C" w14:textId="77777777" w:rsidR="00CC25B5" w:rsidRDefault="00CC25B5">
            <w:pPr>
              <w:rPr>
                <w:rFonts w:ascii="宋体"/>
                <w:vanish/>
              </w:rPr>
            </w:pPr>
          </w:p>
        </w:tc>
        <w:tc>
          <w:tcPr>
            <w:tcW w:w="0" w:type="auto"/>
            <w:gridSpan w:val="3"/>
            <w:shd w:val="clear" w:color="auto" w:fill="auto"/>
            <w:vAlign w:val="bottom"/>
          </w:tcPr>
          <w:p w14:paraId="442F6F7D" w14:textId="77777777" w:rsidR="00CC25B5" w:rsidRDefault="00CC25B5">
            <w:pPr>
              <w:rPr>
                <w:rFonts w:ascii="宋体"/>
                <w:vanish/>
              </w:rPr>
            </w:pPr>
          </w:p>
        </w:tc>
        <w:tc>
          <w:tcPr>
            <w:tcW w:w="0" w:type="auto"/>
            <w:gridSpan w:val="3"/>
            <w:shd w:val="clear" w:color="auto" w:fill="auto"/>
            <w:vAlign w:val="bottom"/>
          </w:tcPr>
          <w:p w14:paraId="442F6F7E" w14:textId="77777777" w:rsidR="00CC25B5" w:rsidRDefault="00CC25B5">
            <w:pPr>
              <w:rPr>
                <w:rFonts w:ascii="宋体"/>
                <w:vanish/>
              </w:rPr>
            </w:pPr>
          </w:p>
        </w:tc>
        <w:tc>
          <w:tcPr>
            <w:tcW w:w="0" w:type="auto"/>
            <w:gridSpan w:val="3"/>
            <w:shd w:val="clear" w:color="auto" w:fill="auto"/>
            <w:vAlign w:val="bottom"/>
          </w:tcPr>
          <w:p w14:paraId="442F6F7F" w14:textId="77777777" w:rsidR="00CC25B5" w:rsidRDefault="00CC25B5">
            <w:pPr>
              <w:rPr>
                <w:rFonts w:ascii="宋体"/>
                <w:vanish/>
              </w:rPr>
            </w:pPr>
          </w:p>
        </w:tc>
        <w:tc>
          <w:tcPr>
            <w:tcW w:w="0" w:type="auto"/>
            <w:gridSpan w:val="3"/>
            <w:shd w:val="clear" w:color="auto" w:fill="auto"/>
            <w:vAlign w:val="bottom"/>
          </w:tcPr>
          <w:p w14:paraId="442F6F80" w14:textId="77777777" w:rsidR="00CC25B5" w:rsidRDefault="00CC25B5">
            <w:pPr>
              <w:rPr>
                <w:rFonts w:ascii="宋体"/>
                <w:vanish/>
              </w:rPr>
            </w:pPr>
          </w:p>
        </w:tc>
        <w:tc>
          <w:tcPr>
            <w:tcW w:w="0" w:type="auto"/>
            <w:gridSpan w:val="3"/>
            <w:shd w:val="clear" w:color="auto" w:fill="auto"/>
            <w:vAlign w:val="bottom"/>
          </w:tcPr>
          <w:p w14:paraId="442F6F81" w14:textId="77777777" w:rsidR="00CC25B5" w:rsidRDefault="00CC25B5">
            <w:pPr>
              <w:rPr>
                <w:rFonts w:ascii="宋体"/>
                <w:vanish/>
              </w:rPr>
            </w:pPr>
          </w:p>
        </w:tc>
        <w:tc>
          <w:tcPr>
            <w:tcW w:w="0" w:type="auto"/>
            <w:gridSpan w:val="3"/>
            <w:shd w:val="clear" w:color="auto" w:fill="auto"/>
            <w:vAlign w:val="bottom"/>
          </w:tcPr>
          <w:p w14:paraId="442F6F82" w14:textId="77777777" w:rsidR="00CC25B5" w:rsidRDefault="00CC25B5">
            <w:pPr>
              <w:rPr>
                <w:rFonts w:ascii="宋体"/>
                <w:vanish/>
              </w:rPr>
            </w:pPr>
          </w:p>
        </w:tc>
        <w:tc>
          <w:tcPr>
            <w:tcW w:w="0" w:type="auto"/>
            <w:gridSpan w:val="3"/>
            <w:shd w:val="clear" w:color="auto" w:fill="auto"/>
            <w:vAlign w:val="bottom"/>
          </w:tcPr>
          <w:p w14:paraId="442F6F83" w14:textId="77777777" w:rsidR="00CC25B5" w:rsidRDefault="00CC25B5">
            <w:pPr>
              <w:rPr>
                <w:rFonts w:ascii="宋体"/>
                <w:vanish/>
              </w:rPr>
            </w:pPr>
          </w:p>
        </w:tc>
        <w:tc>
          <w:tcPr>
            <w:tcW w:w="0" w:type="auto"/>
            <w:gridSpan w:val="3"/>
            <w:shd w:val="clear" w:color="auto" w:fill="auto"/>
            <w:vAlign w:val="bottom"/>
          </w:tcPr>
          <w:p w14:paraId="442F6F84" w14:textId="77777777" w:rsidR="00CC25B5" w:rsidRDefault="00CC25B5">
            <w:pPr>
              <w:rPr>
                <w:rFonts w:ascii="宋体"/>
                <w:vanish/>
              </w:rPr>
            </w:pPr>
          </w:p>
        </w:tc>
        <w:tc>
          <w:tcPr>
            <w:tcW w:w="0" w:type="auto"/>
            <w:gridSpan w:val="3"/>
            <w:shd w:val="clear" w:color="auto" w:fill="auto"/>
            <w:vAlign w:val="bottom"/>
          </w:tcPr>
          <w:p w14:paraId="442F6F85" w14:textId="77777777" w:rsidR="00CC25B5" w:rsidRDefault="00CC25B5">
            <w:pPr>
              <w:rPr>
                <w:rFonts w:ascii="宋体"/>
                <w:vanish/>
              </w:rPr>
            </w:pPr>
          </w:p>
        </w:tc>
        <w:tc>
          <w:tcPr>
            <w:tcW w:w="0" w:type="auto"/>
            <w:gridSpan w:val="3"/>
            <w:shd w:val="clear" w:color="auto" w:fill="auto"/>
            <w:vAlign w:val="bottom"/>
          </w:tcPr>
          <w:p w14:paraId="442F6F86" w14:textId="77777777" w:rsidR="00CC25B5" w:rsidRDefault="00CC25B5">
            <w:pPr>
              <w:rPr>
                <w:rFonts w:ascii="宋体"/>
                <w:vanish/>
              </w:rPr>
            </w:pPr>
          </w:p>
        </w:tc>
        <w:tc>
          <w:tcPr>
            <w:tcW w:w="0" w:type="auto"/>
            <w:gridSpan w:val="3"/>
            <w:shd w:val="clear" w:color="auto" w:fill="auto"/>
            <w:vAlign w:val="bottom"/>
          </w:tcPr>
          <w:p w14:paraId="442F6F87" w14:textId="77777777" w:rsidR="00CC25B5" w:rsidRDefault="00CC25B5">
            <w:pPr>
              <w:rPr>
                <w:rFonts w:ascii="宋体"/>
                <w:vanish/>
              </w:rPr>
            </w:pPr>
          </w:p>
        </w:tc>
        <w:tc>
          <w:tcPr>
            <w:tcW w:w="0" w:type="auto"/>
            <w:gridSpan w:val="3"/>
            <w:shd w:val="clear" w:color="auto" w:fill="auto"/>
            <w:vAlign w:val="bottom"/>
          </w:tcPr>
          <w:p w14:paraId="442F6F88" w14:textId="77777777" w:rsidR="00CC25B5" w:rsidRDefault="00CC25B5">
            <w:pPr>
              <w:rPr>
                <w:rFonts w:ascii="宋体"/>
                <w:vanish/>
              </w:rPr>
            </w:pPr>
          </w:p>
        </w:tc>
        <w:tc>
          <w:tcPr>
            <w:tcW w:w="0" w:type="auto"/>
            <w:gridSpan w:val="3"/>
            <w:shd w:val="clear" w:color="auto" w:fill="auto"/>
            <w:vAlign w:val="bottom"/>
          </w:tcPr>
          <w:p w14:paraId="442F6F89" w14:textId="77777777" w:rsidR="00CC25B5" w:rsidRDefault="00CC25B5">
            <w:pPr>
              <w:rPr>
                <w:rFonts w:ascii="宋体"/>
                <w:vanish/>
              </w:rPr>
            </w:pPr>
          </w:p>
        </w:tc>
        <w:tc>
          <w:tcPr>
            <w:tcW w:w="0" w:type="auto"/>
            <w:gridSpan w:val="3"/>
            <w:shd w:val="clear" w:color="auto" w:fill="auto"/>
            <w:vAlign w:val="bottom"/>
          </w:tcPr>
          <w:p w14:paraId="442F6F8A" w14:textId="77777777" w:rsidR="00CC25B5" w:rsidRDefault="00CC25B5">
            <w:pPr>
              <w:rPr>
                <w:rFonts w:ascii="宋体"/>
                <w:vanish/>
              </w:rPr>
            </w:pPr>
          </w:p>
        </w:tc>
        <w:tc>
          <w:tcPr>
            <w:tcW w:w="0" w:type="auto"/>
            <w:shd w:val="clear" w:color="auto" w:fill="auto"/>
            <w:vAlign w:val="bottom"/>
          </w:tcPr>
          <w:p w14:paraId="442F6F8B" w14:textId="77777777" w:rsidR="00CC25B5" w:rsidRDefault="00CC25B5">
            <w:pPr>
              <w:rPr>
                <w:rFonts w:ascii="宋体"/>
                <w:vanish/>
              </w:rPr>
            </w:pPr>
          </w:p>
        </w:tc>
        <w:tc>
          <w:tcPr>
            <w:tcW w:w="0" w:type="auto"/>
            <w:shd w:val="clear" w:color="auto" w:fill="auto"/>
            <w:vAlign w:val="bottom"/>
          </w:tcPr>
          <w:p w14:paraId="442F6F8C" w14:textId="77777777" w:rsidR="00CC25B5" w:rsidRDefault="00CC25B5">
            <w:pPr>
              <w:rPr>
                <w:rFonts w:ascii="宋体"/>
                <w:vanish/>
              </w:rPr>
            </w:pPr>
          </w:p>
        </w:tc>
        <w:tc>
          <w:tcPr>
            <w:tcW w:w="0" w:type="auto"/>
            <w:shd w:val="clear" w:color="auto" w:fill="auto"/>
            <w:vAlign w:val="bottom"/>
          </w:tcPr>
          <w:p w14:paraId="442F6F8D" w14:textId="77777777" w:rsidR="00CC25B5" w:rsidRDefault="00CC25B5">
            <w:pPr>
              <w:rPr>
                <w:rFonts w:ascii="宋体"/>
                <w:vanish/>
              </w:rPr>
            </w:pPr>
          </w:p>
        </w:tc>
      </w:tr>
      <w:tr w:rsidR="00CC25B5" w14:paraId="442F6FA2" w14:textId="77777777">
        <w:trPr>
          <w:jc w:val="center"/>
          <w:hidden/>
        </w:trPr>
        <w:tc>
          <w:tcPr>
            <w:tcW w:w="0" w:type="auto"/>
            <w:gridSpan w:val="3"/>
            <w:shd w:val="clear" w:color="auto" w:fill="auto"/>
            <w:vAlign w:val="bottom"/>
          </w:tcPr>
          <w:p w14:paraId="442F6F8F" w14:textId="77777777" w:rsidR="00CC25B5" w:rsidRDefault="00CC25B5">
            <w:pPr>
              <w:rPr>
                <w:rFonts w:ascii="宋体"/>
                <w:vanish/>
              </w:rPr>
            </w:pPr>
          </w:p>
        </w:tc>
        <w:tc>
          <w:tcPr>
            <w:tcW w:w="0" w:type="auto"/>
            <w:gridSpan w:val="3"/>
            <w:shd w:val="clear" w:color="auto" w:fill="auto"/>
            <w:vAlign w:val="bottom"/>
          </w:tcPr>
          <w:p w14:paraId="442F6F90" w14:textId="77777777" w:rsidR="00CC25B5" w:rsidRDefault="00CC25B5">
            <w:pPr>
              <w:rPr>
                <w:rFonts w:ascii="宋体"/>
                <w:vanish/>
              </w:rPr>
            </w:pPr>
          </w:p>
        </w:tc>
        <w:tc>
          <w:tcPr>
            <w:tcW w:w="0" w:type="auto"/>
            <w:gridSpan w:val="3"/>
            <w:shd w:val="clear" w:color="auto" w:fill="auto"/>
            <w:vAlign w:val="bottom"/>
          </w:tcPr>
          <w:p w14:paraId="442F6F91" w14:textId="77777777" w:rsidR="00CC25B5" w:rsidRDefault="00CC25B5">
            <w:pPr>
              <w:rPr>
                <w:rFonts w:ascii="宋体"/>
                <w:vanish/>
              </w:rPr>
            </w:pPr>
          </w:p>
        </w:tc>
        <w:tc>
          <w:tcPr>
            <w:tcW w:w="0" w:type="auto"/>
            <w:gridSpan w:val="3"/>
            <w:shd w:val="clear" w:color="auto" w:fill="auto"/>
            <w:vAlign w:val="bottom"/>
          </w:tcPr>
          <w:p w14:paraId="442F6F92" w14:textId="77777777" w:rsidR="00CC25B5" w:rsidRDefault="00CC25B5">
            <w:pPr>
              <w:rPr>
                <w:rFonts w:ascii="宋体"/>
                <w:vanish/>
              </w:rPr>
            </w:pPr>
          </w:p>
        </w:tc>
        <w:tc>
          <w:tcPr>
            <w:tcW w:w="0" w:type="auto"/>
            <w:gridSpan w:val="3"/>
            <w:shd w:val="clear" w:color="auto" w:fill="auto"/>
            <w:vAlign w:val="bottom"/>
          </w:tcPr>
          <w:p w14:paraId="442F6F93" w14:textId="77777777" w:rsidR="00CC25B5" w:rsidRDefault="00CC25B5">
            <w:pPr>
              <w:rPr>
                <w:rFonts w:ascii="宋体"/>
                <w:vanish/>
              </w:rPr>
            </w:pPr>
          </w:p>
        </w:tc>
        <w:tc>
          <w:tcPr>
            <w:tcW w:w="0" w:type="auto"/>
            <w:gridSpan w:val="3"/>
            <w:shd w:val="clear" w:color="auto" w:fill="auto"/>
            <w:vAlign w:val="bottom"/>
          </w:tcPr>
          <w:p w14:paraId="442F6F94" w14:textId="77777777" w:rsidR="00CC25B5" w:rsidRDefault="00CC25B5">
            <w:pPr>
              <w:rPr>
                <w:rFonts w:ascii="宋体"/>
                <w:vanish/>
              </w:rPr>
            </w:pPr>
          </w:p>
        </w:tc>
        <w:tc>
          <w:tcPr>
            <w:tcW w:w="0" w:type="auto"/>
            <w:gridSpan w:val="3"/>
            <w:shd w:val="clear" w:color="auto" w:fill="auto"/>
            <w:vAlign w:val="bottom"/>
          </w:tcPr>
          <w:p w14:paraId="442F6F95" w14:textId="77777777" w:rsidR="00CC25B5" w:rsidRDefault="00CC25B5">
            <w:pPr>
              <w:rPr>
                <w:rFonts w:ascii="宋体"/>
                <w:vanish/>
              </w:rPr>
            </w:pPr>
          </w:p>
        </w:tc>
        <w:tc>
          <w:tcPr>
            <w:tcW w:w="0" w:type="auto"/>
            <w:gridSpan w:val="3"/>
            <w:shd w:val="clear" w:color="auto" w:fill="auto"/>
            <w:vAlign w:val="bottom"/>
          </w:tcPr>
          <w:p w14:paraId="442F6F96" w14:textId="77777777" w:rsidR="00CC25B5" w:rsidRDefault="00CC25B5">
            <w:pPr>
              <w:rPr>
                <w:rFonts w:ascii="宋体"/>
                <w:vanish/>
              </w:rPr>
            </w:pPr>
          </w:p>
        </w:tc>
        <w:tc>
          <w:tcPr>
            <w:tcW w:w="0" w:type="auto"/>
            <w:gridSpan w:val="3"/>
            <w:shd w:val="clear" w:color="auto" w:fill="auto"/>
            <w:vAlign w:val="bottom"/>
          </w:tcPr>
          <w:p w14:paraId="442F6F97" w14:textId="77777777" w:rsidR="00CC25B5" w:rsidRDefault="00CC25B5">
            <w:pPr>
              <w:rPr>
                <w:rFonts w:ascii="宋体"/>
                <w:vanish/>
              </w:rPr>
            </w:pPr>
          </w:p>
        </w:tc>
        <w:tc>
          <w:tcPr>
            <w:tcW w:w="0" w:type="auto"/>
            <w:gridSpan w:val="3"/>
            <w:shd w:val="clear" w:color="auto" w:fill="auto"/>
            <w:vAlign w:val="bottom"/>
          </w:tcPr>
          <w:p w14:paraId="442F6F98" w14:textId="77777777" w:rsidR="00CC25B5" w:rsidRDefault="00CC25B5">
            <w:pPr>
              <w:rPr>
                <w:rFonts w:ascii="宋体"/>
                <w:vanish/>
              </w:rPr>
            </w:pPr>
          </w:p>
        </w:tc>
        <w:tc>
          <w:tcPr>
            <w:tcW w:w="0" w:type="auto"/>
            <w:gridSpan w:val="3"/>
            <w:shd w:val="clear" w:color="auto" w:fill="auto"/>
            <w:vAlign w:val="bottom"/>
          </w:tcPr>
          <w:p w14:paraId="442F6F99" w14:textId="77777777" w:rsidR="00CC25B5" w:rsidRDefault="00CC25B5">
            <w:pPr>
              <w:rPr>
                <w:rFonts w:ascii="宋体"/>
                <w:vanish/>
              </w:rPr>
            </w:pPr>
          </w:p>
        </w:tc>
        <w:tc>
          <w:tcPr>
            <w:tcW w:w="0" w:type="auto"/>
            <w:gridSpan w:val="3"/>
            <w:shd w:val="clear" w:color="auto" w:fill="auto"/>
            <w:vAlign w:val="bottom"/>
          </w:tcPr>
          <w:p w14:paraId="442F6F9A" w14:textId="77777777" w:rsidR="00CC25B5" w:rsidRDefault="00CC25B5">
            <w:pPr>
              <w:rPr>
                <w:rFonts w:ascii="宋体"/>
                <w:vanish/>
              </w:rPr>
            </w:pPr>
          </w:p>
        </w:tc>
        <w:tc>
          <w:tcPr>
            <w:tcW w:w="0" w:type="auto"/>
            <w:gridSpan w:val="3"/>
            <w:shd w:val="clear" w:color="auto" w:fill="auto"/>
            <w:vAlign w:val="bottom"/>
          </w:tcPr>
          <w:p w14:paraId="442F6F9B" w14:textId="77777777" w:rsidR="00CC25B5" w:rsidRDefault="00CC25B5">
            <w:pPr>
              <w:rPr>
                <w:rFonts w:ascii="宋体"/>
                <w:vanish/>
              </w:rPr>
            </w:pPr>
          </w:p>
        </w:tc>
        <w:tc>
          <w:tcPr>
            <w:tcW w:w="0" w:type="auto"/>
            <w:gridSpan w:val="3"/>
            <w:shd w:val="clear" w:color="auto" w:fill="auto"/>
            <w:vAlign w:val="bottom"/>
          </w:tcPr>
          <w:p w14:paraId="442F6F9C" w14:textId="77777777" w:rsidR="00CC25B5" w:rsidRDefault="00CC25B5">
            <w:pPr>
              <w:rPr>
                <w:rFonts w:ascii="宋体"/>
                <w:vanish/>
              </w:rPr>
            </w:pPr>
          </w:p>
        </w:tc>
        <w:tc>
          <w:tcPr>
            <w:tcW w:w="0" w:type="auto"/>
            <w:gridSpan w:val="3"/>
            <w:shd w:val="clear" w:color="auto" w:fill="auto"/>
            <w:vAlign w:val="bottom"/>
          </w:tcPr>
          <w:p w14:paraId="442F6F9D" w14:textId="77777777" w:rsidR="00CC25B5" w:rsidRDefault="00CC25B5">
            <w:pPr>
              <w:rPr>
                <w:rFonts w:ascii="宋体"/>
                <w:vanish/>
              </w:rPr>
            </w:pPr>
          </w:p>
        </w:tc>
        <w:tc>
          <w:tcPr>
            <w:tcW w:w="0" w:type="auto"/>
            <w:gridSpan w:val="3"/>
            <w:shd w:val="clear" w:color="auto" w:fill="auto"/>
            <w:vAlign w:val="bottom"/>
          </w:tcPr>
          <w:p w14:paraId="442F6F9E" w14:textId="77777777" w:rsidR="00CC25B5" w:rsidRDefault="00CC25B5">
            <w:pPr>
              <w:rPr>
                <w:rFonts w:ascii="宋体"/>
                <w:vanish/>
              </w:rPr>
            </w:pPr>
          </w:p>
        </w:tc>
        <w:tc>
          <w:tcPr>
            <w:tcW w:w="0" w:type="auto"/>
            <w:shd w:val="clear" w:color="auto" w:fill="auto"/>
            <w:vAlign w:val="bottom"/>
          </w:tcPr>
          <w:p w14:paraId="442F6F9F" w14:textId="77777777" w:rsidR="00CC25B5" w:rsidRDefault="00CC25B5">
            <w:pPr>
              <w:rPr>
                <w:rFonts w:ascii="宋体"/>
                <w:vanish/>
              </w:rPr>
            </w:pPr>
          </w:p>
        </w:tc>
        <w:tc>
          <w:tcPr>
            <w:tcW w:w="0" w:type="auto"/>
            <w:shd w:val="clear" w:color="auto" w:fill="auto"/>
            <w:vAlign w:val="bottom"/>
          </w:tcPr>
          <w:p w14:paraId="442F6FA0" w14:textId="77777777" w:rsidR="00CC25B5" w:rsidRDefault="00CC25B5">
            <w:pPr>
              <w:rPr>
                <w:rFonts w:ascii="宋体"/>
                <w:vanish/>
              </w:rPr>
            </w:pPr>
          </w:p>
        </w:tc>
        <w:tc>
          <w:tcPr>
            <w:tcW w:w="0" w:type="auto"/>
            <w:shd w:val="clear" w:color="auto" w:fill="auto"/>
            <w:vAlign w:val="bottom"/>
          </w:tcPr>
          <w:p w14:paraId="442F6FA1" w14:textId="77777777" w:rsidR="00CC25B5" w:rsidRDefault="00CC25B5">
            <w:pPr>
              <w:rPr>
                <w:rFonts w:ascii="宋体"/>
                <w:vanish/>
              </w:rPr>
            </w:pPr>
          </w:p>
        </w:tc>
      </w:tr>
      <w:tr w:rsidR="00CC25B5" w14:paraId="442F6FB6" w14:textId="77777777">
        <w:trPr>
          <w:jc w:val="center"/>
          <w:hidden/>
        </w:trPr>
        <w:tc>
          <w:tcPr>
            <w:tcW w:w="0" w:type="auto"/>
            <w:gridSpan w:val="3"/>
            <w:shd w:val="clear" w:color="auto" w:fill="auto"/>
            <w:vAlign w:val="bottom"/>
          </w:tcPr>
          <w:p w14:paraId="442F6FA3" w14:textId="77777777" w:rsidR="00CC25B5" w:rsidRDefault="00CC25B5">
            <w:pPr>
              <w:rPr>
                <w:rFonts w:ascii="宋体"/>
                <w:vanish/>
              </w:rPr>
            </w:pPr>
          </w:p>
        </w:tc>
        <w:tc>
          <w:tcPr>
            <w:tcW w:w="0" w:type="auto"/>
            <w:gridSpan w:val="3"/>
            <w:shd w:val="clear" w:color="auto" w:fill="auto"/>
            <w:vAlign w:val="bottom"/>
          </w:tcPr>
          <w:p w14:paraId="442F6FA4" w14:textId="77777777" w:rsidR="00CC25B5" w:rsidRDefault="00CC25B5">
            <w:pPr>
              <w:rPr>
                <w:rFonts w:ascii="宋体"/>
                <w:vanish/>
              </w:rPr>
            </w:pPr>
          </w:p>
        </w:tc>
        <w:tc>
          <w:tcPr>
            <w:tcW w:w="0" w:type="auto"/>
            <w:gridSpan w:val="3"/>
            <w:shd w:val="clear" w:color="auto" w:fill="auto"/>
            <w:vAlign w:val="bottom"/>
          </w:tcPr>
          <w:p w14:paraId="442F6FA5" w14:textId="77777777" w:rsidR="00CC25B5" w:rsidRDefault="00CC25B5">
            <w:pPr>
              <w:rPr>
                <w:rFonts w:ascii="宋体"/>
                <w:vanish/>
              </w:rPr>
            </w:pPr>
          </w:p>
        </w:tc>
        <w:tc>
          <w:tcPr>
            <w:tcW w:w="0" w:type="auto"/>
            <w:gridSpan w:val="3"/>
            <w:shd w:val="clear" w:color="auto" w:fill="auto"/>
            <w:vAlign w:val="bottom"/>
          </w:tcPr>
          <w:p w14:paraId="442F6FA6" w14:textId="77777777" w:rsidR="00CC25B5" w:rsidRDefault="00CC25B5">
            <w:pPr>
              <w:rPr>
                <w:rFonts w:ascii="宋体"/>
                <w:vanish/>
              </w:rPr>
            </w:pPr>
          </w:p>
        </w:tc>
        <w:tc>
          <w:tcPr>
            <w:tcW w:w="0" w:type="auto"/>
            <w:gridSpan w:val="3"/>
            <w:shd w:val="clear" w:color="auto" w:fill="auto"/>
            <w:vAlign w:val="bottom"/>
          </w:tcPr>
          <w:p w14:paraId="442F6FA7" w14:textId="77777777" w:rsidR="00CC25B5" w:rsidRDefault="00CC25B5">
            <w:pPr>
              <w:rPr>
                <w:rFonts w:ascii="宋体"/>
                <w:vanish/>
              </w:rPr>
            </w:pPr>
          </w:p>
        </w:tc>
        <w:tc>
          <w:tcPr>
            <w:tcW w:w="0" w:type="auto"/>
            <w:gridSpan w:val="3"/>
            <w:shd w:val="clear" w:color="auto" w:fill="auto"/>
            <w:vAlign w:val="bottom"/>
          </w:tcPr>
          <w:p w14:paraId="442F6FA8" w14:textId="77777777" w:rsidR="00CC25B5" w:rsidRDefault="00CC25B5">
            <w:pPr>
              <w:rPr>
                <w:rFonts w:ascii="宋体"/>
                <w:vanish/>
              </w:rPr>
            </w:pPr>
          </w:p>
        </w:tc>
        <w:tc>
          <w:tcPr>
            <w:tcW w:w="0" w:type="auto"/>
            <w:gridSpan w:val="3"/>
            <w:shd w:val="clear" w:color="auto" w:fill="auto"/>
            <w:vAlign w:val="bottom"/>
          </w:tcPr>
          <w:p w14:paraId="442F6FA9" w14:textId="77777777" w:rsidR="00CC25B5" w:rsidRDefault="00CC25B5">
            <w:pPr>
              <w:rPr>
                <w:rFonts w:ascii="宋体"/>
                <w:vanish/>
              </w:rPr>
            </w:pPr>
          </w:p>
        </w:tc>
        <w:tc>
          <w:tcPr>
            <w:tcW w:w="0" w:type="auto"/>
            <w:gridSpan w:val="3"/>
            <w:shd w:val="clear" w:color="auto" w:fill="auto"/>
            <w:vAlign w:val="bottom"/>
          </w:tcPr>
          <w:p w14:paraId="442F6FAA" w14:textId="77777777" w:rsidR="00CC25B5" w:rsidRDefault="00CC25B5">
            <w:pPr>
              <w:rPr>
                <w:rFonts w:ascii="宋体"/>
                <w:vanish/>
              </w:rPr>
            </w:pPr>
          </w:p>
        </w:tc>
        <w:tc>
          <w:tcPr>
            <w:tcW w:w="0" w:type="auto"/>
            <w:gridSpan w:val="3"/>
            <w:shd w:val="clear" w:color="auto" w:fill="auto"/>
            <w:vAlign w:val="bottom"/>
          </w:tcPr>
          <w:p w14:paraId="442F6FAB" w14:textId="77777777" w:rsidR="00CC25B5" w:rsidRDefault="00CC25B5">
            <w:pPr>
              <w:rPr>
                <w:rFonts w:ascii="宋体"/>
                <w:vanish/>
              </w:rPr>
            </w:pPr>
          </w:p>
        </w:tc>
        <w:tc>
          <w:tcPr>
            <w:tcW w:w="0" w:type="auto"/>
            <w:gridSpan w:val="3"/>
            <w:shd w:val="clear" w:color="auto" w:fill="auto"/>
            <w:vAlign w:val="bottom"/>
          </w:tcPr>
          <w:p w14:paraId="442F6FAC" w14:textId="77777777" w:rsidR="00CC25B5" w:rsidRDefault="00CC25B5">
            <w:pPr>
              <w:rPr>
                <w:rFonts w:ascii="宋体"/>
                <w:vanish/>
              </w:rPr>
            </w:pPr>
          </w:p>
        </w:tc>
        <w:tc>
          <w:tcPr>
            <w:tcW w:w="0" w:type="auto"/>
            <w:gridSpan w:val="3"/>
            <w:shd w:val="clear" w:color="auto" w:fill="auto"/>
            <w:vAlign w:val="bottom"/>
          </w:tcPr>
          <w:p w14:paraId="442F6FAD" w14:textId="77777777" w:rsidR="00CC25B5" w:rsidRDefault="00CC25B5">
            <w:pPr>
              <w:rPr>
                <w:rFonts w:ascii="宋体"/>
                <w:vanish/>
              </w:rPr>
            </w:pPr>
          </w:p>
        </w:tc>
        <w:tc>
          <w:tcPr>
            <w:tcW w:w="0" w:type="auto"/>
            <w:gridSpan w:val="3"/>
            <w:shd w:val="clear" w:color="auto" w:fill="auto"/>
            <w:vAlign w:val="bottom"/>
          </w:tcPr>
          <w:p w14:paraId="442F6FAE" w14:textId="77777777" w:rsidR="00CC25B5" w:rsidRDefault="00CC25B5">
            <w:pPr>
              <w:rPr>
                <w:rFonts w:ascii="宋体"/>
                <w:vanish/>
              </w:rPr>
            </w:pPr>
          </w:p>
        </w:tc>
        <w:tc>
          <w:tcPr>
            <w:tcW w:w="0" w:type="auto"/>
            <w:gridSpan w:val="3"/>
            <w:shd w:val="clear" w:color="auto" w:fill="auto"/>
            <w:vAlign w:val="bottom"/>
          </w:tcPr>
          <w:p w14:paraId="442F6FAF" w14:textId="77777777" w:rsidR="00CC25B5" w:rsidRDefault="00CC25B5">
            <w:pPr>
              <w:rPr>
                <w:rFonts w:ascii="宋体"/>
                <w:vanish/>
              </w:rPr>
            </w:pPr>
          </w:p>
        </w:tc>
        <w:tc>
          <w:tcPr>
            <w:tcW w:w="0" w:type="auto"/>
            <w:gridSpan w:val="3"/>
            <w:shd w:val="clear" w:color="auto" w:fill="auto"/>
            <w:vAlign w:val="bottom"/>
          </w:tcPr>
          <w:p w14:paraId="442F6FB0" w14:textId="77777777" w:rsidR="00CC25B5" w:rsidRDefault="00CC25B5">
            <w:pPr>
              <w:rPr>
                <w:rFonts w:ascii="宋体"/>
                <w:vanish/>
              </w:rPr>
            </w:pPr>
          </w:p>
        </w:tc>
        <w:tc>
          <w:tcPr>
            <w:tcW w:w="0" w:type="auto"/>
            <w:gridSpan w:val="3"/>
            <w:shd w:val="clear" w:color="auto" w:fill="auto"/>
            <w:vAlign w:val="bottom"/>
          </w:tcPr>
          <w:p w14:paraId="442F6FB1" w14:textId="77777777" w:rsidR="00CC25B5" w:rsidRDefault="00CC25B5">
            <w:pPr>
              <w:rPr>
                <w:rFonts w:ascii="宋体"/>
                <w:vanish/>
              </w:rPr>
            </w:pPr>
          </w:p>
        </w:tc>
        <w:tc>
          <w:tcPr>
            <w:tcW w:w="0" w:type="auto"/>
            <w:gridSpan w:val="3"/>
            <w:shd w:val="clear" w:color="auto" w:fill="auto"/>
            <w:vAlign w:val="bottom"/>
          </w:tcPr>
          <w:p w14:paraId="442F6FB2" w14:textId="77777777" w:rsidR="00CC25B5" w:rsidRDefault="00CC25B5">
            <w:pPr>
              <w:rPr>
                <w:rFonts w:ascii="宋体"/>
                <w:vanish/>
              </w:rPr>
            </w:pPr>
          </w:p>
        </w:tc>
        <w:tc>
          <w:tcPr>
            <w:tcW w:w="0" w:type="auto"/>
            <w:shd w:val="clear" w:color="auto" w:fill="auto"/>
            <w:vAlign w:val="bottom"/>
          </w:tcPr>
          <w:p w14:paraId="442F6FB3" w14:textId="77777777" w:rsidR="00CC25B5" w:rsidRDefault="00CC25B5">
            <w:pPr>
              <w:rPr>
                <w:rFonts w:ascii="宋体"/>
                <w:vanish/>
              </w:rPr>
            </w:pPr>
          </w:p>
        </w:tc>
        <w:tc>
          <w:tcPr>
            <w:tcW w:w="0" w:type="auto"/>
            <w:shd w:val="clear" w:color="auto" w:fill="auto"/>
            <w:vAlign w:val="bottom"/>
          </w:tcPr>
          <w:p w14:paraId="442F6FB4" w14:textId="77777777" w:rsidR="00CC25B5" w:rsidRDefault="00CC25B5">
            <w:pPr>
              <w:rPr>
                <w:rFonts w:ascii="宋体"/>
                <w:vanish/>
              </w:rPr>
            </w:pPr>
          </w:p>
        </w:tc>
        <w:tc>
          <w:tcPr>
            <w:tcW w:w="0" w:type="auto"/>
            <w:shd w:val="clear" w:color="auto" w:fill="auto"/>
            <w:vAlign w:val="bottom"/>
          </w:tcPr>
          <w:p w14:paraId="442F6FB5" w14:textId="77777777" w:rsidR="00CC25B5" w:rsidRDefault="00CC25B5">
            <w:pPr>
              <w:rPr>
                <w:rFonts w:ascii="宋体"/>
                <w:vanish/>
              </w:rPr>
            </w:pPr>
          </w:p>
        </w:tc>
      </w:tr>
      <w:tr w:rsidR="00CC25B5" w14:paraId="442F6FD2" w14:textId="77777777">
        <w:trPr>
          <w:jc w:val="center"/>
        </w:trPr>
        <w:tc>
          <w:tcPr>
            <w:tcW w:w="0" w:type="auto"/>
            <w:gridSpan w:val="3"/>
            <w:shd w:val="clear" w:color="auto" w:fill="CCEEFF"/>
            <w:tcMar>
              <w:top w:w="40" w:type="dxa"/>
              <w:left w:w="20" w:type="dxa"/>
              <w:bottom w:w="40" w:type="dxa"/>
              <w:right w:w="20" w:type="dxa"/>
            </w:tcMar>
            <w:vAlign w:val="center"/>
          </w:tcPr>
          <w:p w14:paraId="442F6FB7" w14:textId="77777777" w:rsidR="00CC25B5" w:rsidRDefault="00900968">
            <w:pPr>
              <w:textAlignment w:val="center"/>
            </w:pPr>
            <w:r>
              <w:rPr>
                <w:rFonts w:ascii="Times New Roman" w:eastAsia="宋体" w:hAnsi="Times New Roman"/>
                <w:color w:val="000000"/>
                <w:sz w:val="16"/>
                <w:szCs w:val="16"/>
              </w:rPr>
              <w:t>Dividends to noncontrolling interest</w:t>
            </w:r>
          </w:p>
        </w:tc>
        <w:tc>
          <w:tcPr>
            <w:tcW w:w="0" w:type="auto"/>
            <w:gridSpan w:val="2"/>
            <w:shd w:val="clear" w:color="auto" w:fill="CCEEFF"/>
            <w:tcMar>
              <w:top w:w="40" w:type="dxa"/>
              <w:left w:w="20" w:type="dxa"/>
              <w:bottom w:w="40" w:type="dxa"/>
              <w:right w:w="0" w:type="dxa"/>
            </w:tcMar>
            <w:vAlign w:val="center"/>
          </w:tcPr>
          <w:p w14:paraId="442F6FB8"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FB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B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BB"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FB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B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BE"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FB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C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C1"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FC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C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C4"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FC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C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C7"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6FC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C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CA" w14:textId="77777777" w:rsidR="00CC25B5" w:rsidRDefault="00900968">
            <w:pPr>
              <w:jc w:val="right"/>
              <w:textAlignment w:val="center"/>
            </w:pPr>
            <w:r>
              <w:rPr>
                <w:rFonts w:ascii="Times New Roman" w:eastAsia="宋体" w:hAnsi="Times New Roman"/>
                <w:color w:val="000000"/>
                <w:sz w:val="16"/>
                <w:szCs w:val="16"/>
              </w:rPr>
              <w:t>(3)</w:t>
            </w:r>
          </w:p>
        </w:tc>
        <w:tc>
          <w:tcPr>
            <w:tcW w:w="0" w:type="auto"/>
            <w:shd w:val="clear" w:color="auto" w:fill="CCEEFF"/>
            <w:tcMar>
              <w:top w:w="40" w:type="dxa"/>
              <w:left w:w="0" w:type="dxa"/>
              <w:bottom w:w="40" w:type="dxa"/>
              <w:right w:w="20" w:type="dxa"/>
            </w:tcMar>
            <w:vAlign w:val="center"/>
          </w:tcPr>
          <w:p w14:paraId="442F6FC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C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6FCD" w14:textId="77777777" w:rsidR="00CC25B5" w:rsidRDefault="00900968">
            <w:pPr>
              <w:jc w:val="right"/>
              <w:textAlignment w:val="center"/>
            </w:pPr>
            <w:r>
              <w:rPr>
                <w:rFonts w:ascii="Times New Roman" w:eastAsia="宋体" w:hAnsi="Times New Roman"/>
                <w:color w:val="000000"/>
                <w:sz w:val="16"/>
                <w:szCs w:val="16"/>
              </w:rPr>
              <w:t>(3)</w:t>
            </w:r>
          </w:p>
        </w:tc>
        <w:tc>
          <w:tcPr>
            <w:tcW w:w="0" w:type="auto"/>
            <w:shd w:val="clear" w:color="auto" w:fill="CCEEFF"/>
            <w:tcMar>
              <w:top w:w="40" w:type="dxa"/>
              <w:left w:w="0" w:type="dxa"/>
              <w:bottom w:w="40" w:type="dxa"/>
              <w:right w:w="20" w:type="dxa"/>
            </w:tcMar>
            <w:vAlign w:val="center"/>
          </w:tcPr>
          <w:p w14:paraId="442F6FCE" w14:textId="77777777" w:rsidR="00CC25B5" w:rsidRDefault="00CC25B5">
            <w:pPr>
              <w:jc w:val="right"/>
              <w:rPr>
                <w:rFonts w:ascii="宋体"/>
              </w:rPr>
            </w:pPr>
          </w:p>
        </w:tc>
        <w:tc>
          <w:tcPr>
            <w:tcW w:w="0" w:type="auto"/>
            <w:shd w:val="clear" w:color="auto" w:fill="auto"/>
            <w:vAlign w:val="bottom"/>
          </w:tcPr>
          <w:p w14:paraId="442F6FCF" w14:textId="77777777" w:rsidR="00CC25B5" w:rsidRDefault="00CC25B5">
            <w:pPr>
              <w:rPr>
                <w:rFonts w:ascii="宋体"/>
                <w:vanish/>
              </w:rPr>
            </w:pPr>
          </w:p>
        </w:tc>
        <w:tc>
          <w:tcPr>
            <w:tcW w:w="0" w:type="auto"/>
            <w:shd w:val="clear" w:color="auto" w:fill="auto"/>
            <w:vAlign w:val="bottom"/>
          </w:tcPr>
          <w:p w14:paraId="442F6FD0" w14:textId="77777777" w:rsidR="00CC25B5" w:rsidRDefault="00CC25B5">
            <w:pPr>
              <w:rPr>
                <w:rFonts w:ascii="宋体"/>
                <w:vanish/>
              </w:rPr>
            </w:pPr>
          </w:p>
        </w:tc>
        <w:tc>
          <w:tcPr>
            <w:tcW w:w="0" w:type="auto"/>
            <w:shd w:val="clear" w:color="auto" w:fill="auto"/>
            <w:vAlign w:val="bottom"/>
          </w:tcPr>
          <w:p w14:paraId="442F6FD1" w14:textId="77777777" w:rsidR="00CC25B5" w:rsidRDefault="00CC25B5">
            <w:pPr>
              <w:rPr>
                <w:rFonts w:ascii="宋体"/>
                <w:vanish/>
              </w:rPr>
            </w:pPr>
          </w:p>
        </w:tc>
      </w:tr>
      <w:tr w:rsidR="00CC25B5" w14:paraId="442F6FEE" w14:textId="77777777">
        <w:trPr>
          <w:jc w:val="center"/>
        </w:trPr>
        <w:tc>
          <w:tcPr>
            <w:tcW w:w="0" w:type="auto"/>
            <w:gridSpan w:val="3"/>
            <w:shd w:val="clear" w:color="auto" w:fill="FFFFFF"/>
            <w:tcMar>
              <w:top w:w="40" w:type="dxa"/>
              <w:left w:w="20" w:type="dxa"/>
              <w:bottom w:w="40" w:type="dxa"/>
              <w:right w:w="20" w:type="dxa"/>
            </w:tcMar>
            <w:vAlign w:val="center"/>
          </w:tcPr>
          <w:p w14:paraId="442F6FD3" w14:textId="77777777" w:rsidR="00CC25B5" w:rsidRDefault="00900968">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442F6FD4" w14:textId="77777777" w:rsidR="00CC25B5" w:rsidRDefault="00900968">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42F6FD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D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D7" w14:textId="77777777" w:rsidR="00CC25B5" w:rsidRDefault="00900968">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442F6FD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D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DA" w14:textId="77777777" w:rsidR="00CC25B5" w:rsidRDefault="00900968">
            <w:pPr>
              <w:jc w:val="right"/>
              <w:textAlignment w:val="center"/>
            </w:pPr>
            <w:r>
              <w:rPr>
                <w:rFonts w:ascii="Times New Roman" w:eastAsia="宋体" w:hAnsi="Times New Roman"/>
                <w:color w:val="000000"/>
                <w:sz w:val="16"/>
                <w:szCs w:val="16"/>
              </w:rPr>
              <w:t>214 </w:t>
            </w:r>
          </w:p>
        </w:tc>
        <w:tc>
          <w:tcPr>
            <w:tcW w:w="0" w:type="auto"/>
            <w:shd w:val="clear" w:color="auto" w:fill="FFFFFF"/>
            <w:tcMar>
              <w:top w:w="40" w:type="dxa"/>
              <w:left w:w="0" w:type="dxa"/>
              <w:bottom w:w="40" w:type="dxa"/>
              <w:right w:w="20" w:type="dxa"/>
            </w:tcMar>
            <w:vAlign w:val="center"/>
          </w:tcPr>
          <w:p w14:paraId="442F6FD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D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DD" w14:textId="77777777" w:rsidR="00CC25B5" w:rsidRDefault="00900968">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442F6FD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D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E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6FE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E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E3" w14:textId="77777777" w:rsidR="00CC25B5" w:rsidRDefault="00900968">
            <w:pPr>
              <w:jc w:val="right"/>
              <w:textAlignment w:val="center"/>
            </w:pPr>
            <w:r>
              <w:rPr>
                <w:rFonts w:ascii="Times New Roman" w:eastAsia="宋体" w:hAnsi="Times New Roman"/>
                <w:color w:val="000000"/>
                <w:sz w:val="16"/>
                <w:szCs w:val="16"/>
              </w:rPr>
              <w:t>210 </w:t>
            </w:r>
          </w:p>
        </w:tc>
        <w:tc>
          <w:tcPr>
            <w:tcW w:w="0" w:type="auto"/>
            <w:shd w:val="clear" w:color="auto" w:fill="FFFFFF"/>
            <w:tcMar>
              <w:top w:w="40" w:type="dxa"/>
              <w:left w:w="0" w:type="dxa"/>
              <w:bottom w:w="40" w:type="dxa"/>
              <w:right w:w="20" w:type="dxa"/>
            </w:tcMar>
            <w:vAlign w:val="center"/>
          </w:tcPr>
          <w:p w14:paraId="442F6FE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E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E6" w14:textId="77777777" w:rsidR="00CC25B5" w:rsidRDefault="00900968">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442F6FE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6FE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6FE9" w14:textId="77777777" w:rsidR="00CC25B5" w:rsidRDefault="00900968">
            <w:pPr>
              <w:jc w:val="right"/>
              <w:textAlignment w:val="center"/>
            </w:pPr>
            <w:r>
              <w:rPr>
                <w:rFonts w:ascii="Times New Roman" w:eastAsia="宋体" w:hAnsi="Times New Roman"/>
                <w:color w:val="000000"/>
                <w:sz w:val="16"/>
                <w:szCs w:val="16"/>
              </w:rPr>
              <w:t>215 </w:t>
            </w:r>
          </w:p>
        </w:tc>
        <w:tc>
          <w:tcPr>
            <w:tcW w:w="0" w:type="auto"/>
            <w:shd w:val="clear" w:color="auto" w:fill="FFFFFF"/>
            <w:tcMar>
              <w:top w:w="40" w:type="dxa"/>
              <w:left w:w="0" w:type="dxa"/>
              <w:bottom w:w="40" w:type="dxa"/>
              <w:right w:w="20" w:type="dxa"/>
            </w:tcMar>
            <w:vAlign w:val="center"/>
          </w:tcPr>
          <w:p w14:paraId="442F6FEA" w14:textId="77777777" w:rsidR="00CC25B5" w:rsidRDefault="00CC25B5">
            <w:pPr>
              <w:jc w:val="right"/>
              <w:rPr>
                <w:rFonts w:ascii="宋体"/>
              </w:rPr>
            </w:pPr>
          </w:p>
        </w:tc>
        <w:tc>
          <w:tcPr>
            <w:tcW w:w="0" w:type="auto"/>
            <w:shd w:val="clear" w:color="auto" w:fill="auto"/>
            <w:vAlign w:val="bottom"/>
          </w:tcPr>
          <w:p w14:paraId="442F6FEB" w14:textId="77777777" w:rsidR="00CC25B5" w:rsidRDefault="00CC25B5">
            <w:pPr>
              <w:rPr>
                <w:rFonts w:ascii="宋体"/>
                <w:vanish/>
              </w:rPr>
            </w:pPr>
          </w:p>
        </w:tc>
        <w:tc>
          <w:tcPr>
            <w:tcW w:w="0" w:type="auto"/>
            <w:shd w:val="clear" w:color="auto" w:fill="auto"/>
            <w:vAlign w:val="bottom"/>
          </w:tcPr>
          <w:p w14:paraId="442F6FEC" w14:textId="77777777" w:rsidR="00CC25B5" w:rsidRDefault="00CC25B5">
            <w:pPr>
              <w:rPr>
                <w:rFonts w:ascii="宋体"/>
                <w:vanish/>
              </w:rPr>
            </w:pPr>
          </w:p>
        </w:tc>
        <w:tc>
          <w:tcPr>
            <w:tcW w:w="0" w:type="auto"/>
            <w:shd w:val="clear" w:color="auto" w:fill="auto"/>
            <w:vAlign w:val="bottom"/>
          </w:tcPr>
          <w:p w14:paraId="442F6FED" w14:textId="77777777" w:rsidR="00CC25B5" w:rsidRDefault="00CC25B5">
            <w:pPr>
              <w:rPr>
                <w:rFonts w:ascii="宋体"/>
                <w:vanish/>
              </w:rPr>
            </w:pPr>
          </w:p>
        </w:tc>
      </w:tr>
      <w:tr w:rsidR="00900968" w14:paraId="442F7011" w14:textId="77777777">
        <w:trPr>
          <w:jc w:val="center"/>
        </w:trPr>
        <w:tc>
          <w:tcPr>
            <w:tcW w:w="0" w:type="auto"/>
            <w:gridSpan w:val="3"/>
            <w:shd w:val="clear" w:color="auto" w:fill="CCEEFF"/>
            <w:tcMar>
              <w:top w:w="40" w:type="dxa"/>
              <w:left w:w="20" w:type="dxa"/>
              <w:bottom w:w="40" w:type="dxa"/>
              <w:right w:w="20" w:type="dxa"/>
            </w:tcMar>
            <w:vAlign w:val="center"/>
          </w:tcPr>
          <w:p w14:paraId="442F6FEF" w14:textId="77777777" w:rsidR="00CC25B5" w:rsidRDefault="00900968">
            <w:pPr>
              <w:textAlignment w:val="center"/>
            </w:pPr>
            <w:r>
              <w:rPr>
                <w:rFonts w:ascii="Times New Roman" w:eastAsia="宋体" w:hAnsi="Times New Roman"/>
                <w:b/>
                <w:bCs/>
                <w:color w:val="000000"/>
                <w:sz w:val="16"/>
                <w:szCs w:val="16"/>
              </w:rPr>
              <w:t>Balances as of July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FF0" w14:textId="77777777" w:rsidR="00CC25B5" w:rsidRDefault="00900968">
            <w:pPr>
              <w:jc w:val="right"/>
              <w:textAlignment w:val="center"/>
            </w:pPr>
            <w:r>
              <w:rPr>
                <w:rFonts w:ascii="Times New Roman" w:eastAsia="宋体" w:hAnsi="Times New Roman"/>
                <w:color w:val="000000"/>
                <w:sz w:val="16"/>
                <w:szCs w:val="16"/>
              </w:rPr>
              <w:t>2,834 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FF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F2"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FF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6FF4" w14:textId="77777777" w:rsidR="00CC25B5" w:rsidRDefault="00900968">
            <w:pPr>
              <w:jc w:val="right"/>
              <w:textAlignment w:val="center"/>
            </w:pPr>
            <w:r>
              <w:rPr>
                <w:rFonts w:ascii="Times New Roman" w:eastAsia="宋体" w:hAnsi="Times New Roman"/>
                <w:color w:val="000000"/>
                <w:sz w:val="16"/>
                <w:szCs w:val="16"/>
              </w:rPr>
              <w:t>283 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FF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F6"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FF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6FF8" w14:textId="77777777" w:rsidR="00CC25B5" w:rsidRDefault="00900968">
            <w:pPr>
              <w:jc w:val="right"/>
              <w:textAlignment w:val="center"/>
            </w:pPr>
            <w:r>
              <w:rPr>
                <w:rFonts w:ascii="Times New Roman" w:eastAsia="宋体" w:hAnsi="Times New Roman"/>
                <w:color w:val="000000"/>
                <w:sz w:val="16"/>
                <w:szCs w:val="16"/>
              </w:rPr>
              <w:t>3,197 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FF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FA"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FF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6FFC" w14:textId="77777777" w:rsidR="00CC25B5" w:rsidRDefault="00900968">
            <w:pPr>
              <w:jc w:val="right"/>
              <w:textAlignment w:val="center"/>
            </w:pPr>
            <w:r>
              <w:rPr>
                <w:rFonts w:ascii="Times New Roman" w:eastAsia="宋体" w:hAnsi="Times New Roman"/>
                <w:color w:val="000000"/>
                <w:sz w:val="16"/>
                <w:szCs w:val="16"/>
              </w:rPr>
              <w:t>87,614 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6FF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6FFE"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6FF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000" w14:textId="77777777" w:rsidR="00CC25B5" w:rsidRDefault="00900968">
            <w:pPr>
              <w:jc w:val="right"/>
              <w:textAlignment w:val="center"/>
            </w:pPr>
            <w:r>
              <w:rPr>
                <w:rFonts w:ascii="Times New Roman" w:eastAsia="宋体" w:hAnsi="Times New Roman"/>
                <w:color w:val="000000"/>
                <w:sz w:val="16"/>
                <w:szCs w:val="16"/>
              </w:rPr>
              <w:t>(15,784)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00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002"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700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004" w14:textId="77777777" w:rsidR="00CC25B5" w:rsidRDefault="00900968">
            <w:pPr>
              <w:jc w:val="right"/>
              <w:textAlignment w:val="center"/>
            </w:pPr>
            <w:r>
              <w:rPr>
                <w:rFonts w:ascii="Times New Roman" w:eastAsia="宋体" w:hAnsi="Times New Roman"/>
                <w:color w:val="000000"/>
                <w:sz w:val="16"/>
                <w:szCs w:val="16"/>
              </w:rPr>
              <w:t>75,310 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00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006"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700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008" w14:textId="77777777" w:rsidR="00CC25B5" w:rsidRDefault="00900968">
            <w:pPr>
              <w:jc w:val="right"/>
              <w:textAlignment w:val="center"/>
            </w:pPr>
            <w:r>
              <w:rPr>
                <w:rFonts w:ascii="Times New Roman" w:eastAsia="宋体" w:hAnsi="Times New Roman"/>
                <w:color w:val="000000"/>
                <w:sz w:val="16"/>
                <w:szCs w:val="16"/>
              </w:rPr>
              <w:t>5,887 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00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00A"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700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00C" w14:textId="77777777" w:rsidR="00CC25B5" w:rsidRDefault="00900968">
            <w:pPr>
              <w:jc w:val="right"/>
              <w:textAlignment w:val="center"/>
            </w:pPr>
            <w:r>
              <w:rPr>
                <w:rFonts w:ascii="Times New Roman" w:eastAsia="宋体" w:hAnsi="Times New Roman"/>
                <w:color w:val="000000"/>
                <w:sz w:val="16"/>
                <w:szCs w:val="16"/>
              </w:rPr>
              <w:t>81,197 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00D" w14:textId="77777777" w:rsidR="00CC25B5" w:rsidRDefault="00CC25B5">
            <w:pPr>
              <w:jc w:val="right"/>
              <w:rPr>
                <w:rFonts w:ascii="宋体"/>
              </w:rPr>
            </w:pPr>
          </w:p>
        </w:tc>
        <w:tc>
          <w:tcPr>
            <w:tcW w:w="0" w:type="auto"/>
            <w:shd w:val="clear" w:color="auto" w:fill="auto"/>
            <w:vAlign w:val="bottom"/>
          </w:tcPr>
          <w:p w14:paraId="442F700E" w14:textId="77777777" w:rsidR="00CC25B5" w:rsidRDefault="00CC25B5">
            <w:pPr>
              <w:rPr>
                <w:rFonts w:ascii="宋体"/>
                <w:vanish/>
              </w:rPr>
            </w:pPr>
          </w:p>
        </w:tc>
        <w:tc>
          <w:tcPr>
            <w:tcW w:w="0" w:type="auto"/>
            <w:shd w:val="clear" w:color="auto" w:fill="auto"/>
            <w:vAlign w:val="bottom"/>
          </w:tcPr>
          <w:p w14:paraId="442F700F" w14:textId="77777777" w:rsidR="00CC25B5" w:rsidRDefault="00CC25B5">
            <w:pPr>
              <w:rPr>
                <w:rFonts w:ascii="宋体"/>
                <w:vanish/>
              </w:rPr>
            </w:pPr>
          </w:p>
        </w:tc>
        <w:tc>
          <w:tcPr>
            <w:tcW w:w="0" w:type="auto"/>
            <w:shd w:val="clear" w:color="auto" w:fill="auto"/>
            <w:vAlign w:val="bottom"/>
          </w:tcPr>
          <w:p w14:paraId="442F7010" w14:textId="77777777" w:rsidR="00CC25B5" w:rsidRDefault="00CC25B5">
            <w:pPr>
              <w:rPr>
                <w:rFonts w:ascii="宋体"/>
                <w:vanish/>
              </w:rPr>
            </w:pPr>
          </w:p>
        </w:tc>
      </w:tr>
      <w:tr w:rsidR="00CC25B5" w14:paraId="442F7025" w14:textId="77777777">
        <w:trPr>
          <w:jc w:val="center"/>
          <w:hidden/>
        </w:trPr>
        <w:tc>
          <w:tcPr>
            <w:tcW w:w="0" w:type="auto"/>
            <w:gridSpan w:val="3"/>
            <w:shd w:val="clear" w:color="auto" w:fill="auto"/>
            <w:vAlign w:val="bottom"/>
          </w:tcPr>
          <w:p w14:paraId="442F7012" w14:textId="77777777" w:rsidR="00CC25B5" w:rsidRDefault="00CC25B5">
            <w:pPr>
              <w:rPr>
                <w:rFonts w:ascii="宋体"/>
                <w:vanish/>
              </w:rPr>
            </w:pPr>
          </w:p>
        </w:tc>
        <w:tc>
          <w:tcPr>
            <w:tcW w:w="0" w:type="auto"/>
            <w:gridSpan w:val="3"/>
            <w:shd w:val="clear" w:color="auto" w:fill="auto"/>
            <w:vAlign w:val="bottom"/>
          </w:tcPr>
          <w:p w14:paraId="442F7013" w14:textId="77777777" w:rsidR="00CC25B5" w:rsidRDefault="00CC25B5">
            <w:pPr>
              <w:rPr>
                <w:rFonts w:ascii="宋体"/>
                <w:vanish/>
              </w:rPr>
            </w:pPr>
          </w:p>
        </w:tc>
        <w:tc>
          <w:tcPr>
            <w:tcW w:w="0" w:type="auto"/>
            <w:gridSpan w:val="3"/>
            <w:shd w:val="clear" w:color="auto" w:fill="auto"/>
            <w:vAlign w:val="bottom"/>
          </w:tcPr>
          <w:p w14:paraId="442F7014" w14:textId="77777777" w:rsidR="00CC25B5" w:rsidRDefault="00CC25B5">
            <w:pPr>
              <w:rPr>
                <w:rFonts w:ascii="宋体"/>
                <w:vanish/>
              </w:rPr>
            </w:pPr>
          </w:p>
        </w:tc>
        <w:tc>
          <w:tcPr>
            <w:tcW w:w="0" w:type="auto"/>
            <w:gridSpan w:val="3"/>
            <w:shd w:val="clear" w:color="auto" w:fill="auto"/>
            <w:vAlign w:val="bottom"/>
          </w:tcPr>
          <w:p w14:paraId="442F7015" w14:textId="77777777" w:rsidR="00CC25B5" w:rsidRDefault="00CC25B5">
            <w:pPr>
              <w:rPr>
                <w:rFonts w:ascii="宋体"/>
                <w:vanish/>
              </w:rPr>
            </w:pPr>
          </w:p>
        </w:tc>
        <w:tc>
          <w:tcPr>
            <w:tcW w:w="0" w:type="auto"/>
            <w:gridSpan w:val="3"/>
            <w:shd w:val="clear" w:color="auto" w:fill="auto"/>
            <w:vAlign w:val="bottom"/>
          </w:tcPr>
          <w:p w14:paraId="442F7016" w14:textId="77777777" w:rsidR="00CC25B5" w:rsidRDefault="00CC25B5">
            <w:pPr>
              <w:rPr>
                <w:rFonts w:ascii="宋体"/>
                <w:vanish/>
              </w:rPr>
            </w:pPr>
          </w:p>
        </w:tc>
        <w:tc>
          <w:tcPr>
            <w:tcW w:w="0" w:type="auto"/>
            <w:gridSpan w:val="3"/>
            <w:shd w:val="clear" w:color="auto" w:fill="auto"/>
            <w:vAlign w:val="bottom"/>
          </w:tcPr>
          <w:p w14:paraId="442F7017" w14:textId="77777777" w:rsidR="00CC25B5" w:rsidRDefault="00CC25B5">
            <w:pPr>
              <w:rPr>
                <w:rFonts w:ascii="宋体"/>
                <w:vanish/>
              </w:rPr>
            </w:pPr>
          </w:p>
        </w:tc>
        <w:tc>
          <w:tcPr>
            <w:tcW w:w="0" w:type="auto"/>
            <w:gridSpan w:val="3"/>
            <w:shd w:val="clear" w:color="auto" w:fill="auto"/>
            <w:vAlign w:val="bottom"/>
          </w:tcPr>
          <w:p w14:paraId="442F7018" w14:textId="77777777" w:rsidR="00CC25B5" w:rsidRDefault="00CC25B5">
            <w:pPr>
              <w:rPr>
                <w:rFonts w:ascii="宋体"/>
                <w:vanish/>
              </w:rPr>
            </w:pPr>
          </w:p>
        </w:tc>
        <w:tc>
          <w:tcPr>
            <w:tcW w:w="0" w:type="auto"/>
            <w:gridSpan w:val="3"/>
            <w:shd w:val="clear" w:color="auto" w:fill="auto"/>
            <w:vAlign w:val="bottom"/>
          </w:tcPr>
          <w:p w14:paraId="442F7019" w14:textId="77777777" w:rsidR="00CC25B5" w:rsidRDefault="00CC25B5">
            <w:pPr>
              <w:rPr>
                <w:rFonts w:ascii="宋体"/>
                <w:vanish/>
              </w:rPr>
            </w:pPr>
          </w:p>
        </w:tc>
        <w:tc>
          <w:tcPr>
            <w:tcW w:w="0" w:type="auto"/>
            <w:gridSpan w:val="3"/>
            <w:shd w:val="clear" w:color="auto" w:fill="auto"/>
            <w:vAlign w:val="bottom"/>
          </w:tcPr>
          <w:p w14:paraId="442F701A" w14:textId="77777777" w:rsidR="00CC25B5" w:rsidRDefault="00CC25B5">
            <w:pPr>
              <w:rPr>
                <w:rFonts w:ascii="宋体"/>
                <w:vanish/>
              </w:rPr>
            </w:pPr>
          </w:p>
        </w:tc>
        <w:tc>
          <w:tcPr>
            <w:tcW w:w="0" w:type="auto"/>
            <w:gridSpan w:val="3"/>
            <w:shd w:val="clear" w:color="auto" w:fill="auto"/>
            <w:vAlign w:val="bottom"/>
          </w:tcPr>
          <w:p w14:paraId="442F701B" w14:textId="77777777" w:rsidR="00CC25B5" w:rsidRDefault="00CC25B5">
            <w:pPr>
              <w:rPr>
                <w:rFonts w:ascii="宋体"/>
                <w:vanish/>
              </w:rPr>
            </w:pPr>
          </w:p>
        </w:tc>
        <w:tc>
          <w:tcPr>
            <w:tcW w:w="0" w:type="auto"/>
            <w:gridSpan w:val="3"/>
            <w:shd w:val="clear" w:color="auto" w:fill="auto"/>
            <w:vAlign w:val="bottom"/>
          </w:tcPr>
          <w:p w14:paraId="442F701C" w14:textId="77777777" w:rsidR="00CC25B5" w:rsidRDefault="00CC25B5">
            <w:pPr>
              <w:rPr>
                <w:rFonts w:ascii="宋体"/>
                <w:vanish/>
              </w:rPr>
            </w:pPr>
          </w:p>
        </w:tc>
        <w:tc>
          <w:tcPr>
            <w:tcW w:w="0" w:type="auto"/>
            <w:gridSpan w:val="3"/>
            <w:shd w:val="clear" w:color="auto" w:fill="auto"/>
            <w:vAlign w:val="bottom"/>
          </w:tcPr>
          <w:p w14:paraId="442F701D" w14:textId="77777777" w:rsidR="00CC25B5" w:rsidRDefault="00CC25B5">
            <w:pPr>
              <w:rPr>
                <w:rFonts w:ascii="宋体"/>
                <w:vanish/>
              </w:rPr>
            </w:pPr>
          </w:p>
        </w:tc>
        <w:tc>
          <w:tcPr>
            <w:tcW w:w="0" w:type="auto"/>
            <w:gridSpan w:val="3"/>
            <w:shd w:val="clear" w:color="auto" w:fill="auto"/>
            <w:vAlign w:val="bottom"/>
          </w:tcPr>
          <w:p w14:paraId="442F701E" w14:textId="77777777" w:rsidR="00CC25B5" w:rsidRDefault="00CC25B5">
            <w:pPr>
              <w:rPr>
                <w:rFonts w:ascii="宋体"/>
                <w:vanish/>
              </w:rPr>
            </w:pPr>
          </w:p>
        </w:tc>
        <w:tc>
          <w:tcPr>
            <w:tcW w:w="0" w:type="auto"/>
            <w:gridSpan w:val="3"/>
            <w:shd w:val="clear" w:color="auto" w:fill="auto"/>
            <w:vAlign w:val="bottom"/>
          </w:tcPr>
          <w:p w14:paraId="442F701F" w14:textId="77777777" w:rsidR="00CC25B5" w:rsidRDefault="00CC25B5">
            <w:pPr>
              <w:rPr>
                <w:rFonts w:ascii="宋体"/>
                <w:vanish/>
              </w:rPr>
            </w:pPr>
          </w:p>
        </w:tc>
        <w:tc>
          <w:tcPr>
            <w:tcW w:w="0" w:type="auto"/>
            <w:gridSpan w:val="3"/>
            <w:shd w:val="clear" w:color="auto" w:fill="auto"/>
            <w:vAlign w:val="bottom"/>
          </w:tcPr>
          <w:p w14:paraId="442F7020" w14:textId="77777777" w:rsidR="00CC25B5" w:rsidRDefault="00CC25B5">
            <w:pPr>
              <w:rPr>
                <w:rFonts w:ascii="宋体"/>
                <w:vanish/>
              </w:rPr>
            </w:pPr>
          </w:p>
        </w:tc>
        <w:tc>
          <w:tcPr>
            <w:tcW w:w="0" w:type="auto"/>
            <w:gridSpan w:val="3"/>
            <w:shd w:val="clear" w:color="auto" w:fill="auto"/>
            <w:vAlign w:val="bottom"/>
          </w:tcPr>
          <w:p w14:paraId="442F7021" w14:textId="77777777" w:rsidR="00CC25B5" w:rsidRDefault="00CC25B5">
            <w:pPr>
              <w:rPr>
                <w:rFonts w:ascii="宋体"/>
                <w:vanish/>
              </w:rPr>
            </w:pPr>
          </w:p>
        </w:tc>
        <w:tc>
          <w:tcPr>
            <w:tcW w:w="0" w:type="auto"/>
            <w:shd w:val="clear" w:color="auto" w:fill="auto"/>
            <w:vAlign w:val="bottom"/>
          </w:tcPr>
          <w:p w14:paraId="442F7022" w14:textId="77777777" w:rsidR="00CC25B5" w:rsidRDefault="00CC25B5">
            <w:pPr>
              <w:rPr>
                <w:rFonts w:ascii="宋体"/>
                <w:vanish/>
              </w:rPr>
            </w:pPr>
          </w:p>
        </w:tc>
        <w:tc>
          <w:tcPr>
            <w:tcW w:w="0" w:type="auto"/>
            <w:shd w:val="clear" w:color="auto" w:fill="auto"/>
            <w:vAlign w:val="bottom"/>
          </w:tcPr>
          <w:p w14:paraId="442F7023" w14:textId="77777777" w:rsidR="00CC25B5" w:rsidRDefault="00CC25B5">
            <w:pPr>
              <w:rPr>
                <w:rFonts w:ascii="宋体"/>
                <w:vanish/>
              </w:rPr>
            </w:pPr>
          </w:p>
        </w:tc>
        <w:tc>
          <w:tcPr>
            <w:tcW w:w="0" w:type="auto"/>
            <w:shd w:val="clear" w:color="auto" w:fill="auto"/>
            <w:vAlign w:val="bottom"/>
          </w:tcPr>
          <w:p w14:paraId="442F7024" w14:textId="77777777" w:rsidR="00CC25B5" w:rsidRDefault="00CC25B5">
            <w:pPr>
              <w:rPr>
                <w:rFonts w:ascii="宋体"/>
                <w:vanish/>
              </w:rPr>
            </w:pPr>
          </w:p>
        </w:tc>
      </w:tr>
      <w:tr w:rsidR="00CC25B5" w14:paraId="442F7039" w14:textId="77777777">
        <w:trPr>
          <w:jc w:val="center"/>
          <w:hidden/>
        </w:trPr>
        <w:tc>
          <w:tcPr>
            <w:tcW w:w="0" w:type="auto"/>
            <w:gridSpan w:val="3"/>
            <w:shd w:val="clear" w:color="auto" w:fill="auto"/>
            <w:vAlign w:val="bottom"/>
          </w:tcPr>
          <w:p w14:paraId="442F7026" w14:textId="77777777" w:rsidR="00CC25B5" w:rsidRDefault="00CC25B5">
            <w:pPr>
              <w:rPr>
                <w:rFonts w:ascii="宋体"/>
                <w:vanish/>
              </w:rPr>
            </w:pPr>
          </w:p>
        </w:tc>
        <w:tc>
          <w:tcPr>
            <w:tcW w:w="0" w:type="auto"/>
            <w:gridSpan w:val="3"/>
            <w:shd w:val="clear" w:color="auto" w:fill="auto"/>
            <w:vAlign w:val="bottom"/>
          </w:tcPr>
          <w:p w14:paraId="442F7027" w14:textId="77777777" w:rsidR="00CC25B5" w:rsidRDefault="00CC25B5">
            <w:pPr>
              <w:rPr>
                <w:rFonts w:ascii="宋体"/>
                <w:vanish/>
              </w:rPr>
            </w:pPr>
          </w:p>
        </w:tc>
        <w:tc>
          <w:tcPr>
            <w:tcW w:w="0" w:type="auto"/>
            <w:gridSpan w:val="3"/>
            <w:shd w:val="clear" w:color="auto" w:fill="auto"/>
            <w:vAlign w:val="bottom"/>
          </w:tcPr>
          <w:p w14:paraId="442F7028" w14:textId="77777777" w:rsidR="00CC25B5" w:rsidRDefault="00CC25B5">
            <w:pPr>
              <w:rPr>
                <w:rFonts w:ascii="宋体"/>
                <w:vanish/>
              </w:rPr>
            </w:pPr>
          </w:p>
        </w:tc>
        <w:tc>
          <w:tcPr>
            <w:tcW w:w="0" w:type="auto"/>
            <w:gridSpan w:val="3"/>
            <w:shd w:val="clear" w:color="auto" w:fill="auto"/>
            <w:vAlign w:val="bottom"/>
          </w:tcPr>
          <w:p w14:paraId="442F7029" w14:textId="77777777" w:rsidR="00CC25B5" w:rsidRDefault="00CC25B5">
            <w:pPr>
              <w:rPr>
                <w:rFonts w:ascii="宋体"/>
                <w:vanish/>
              </w:rPr>
            </w:pPr>
          </w:p>
        </w:tc>
        <w:tc>
          <w:tcPr>
            <w:tcW w:w="0" w:type="auto"/>
            <w:gridSpan w:val="3"/>
            <w:shd w:val="clear" w:color="auto" w:fill="auto"/>
            <w:vAlign w:val="bottom"/>
          </w:tcPr>
          <w:p w14:paraId="442F702A" w14:textId="77777777" w:rsidR="00CC25B5" w:rsidRDefault="00CC25B5">
            <w:pPr>
              <w:rPr>
                <w:rFonts w:ascii="宋体"/>
                <w:vanish/>
              </w:rPr>
            </w:pPr>
          </w:p>
        </w:tc>
        <w:tc>
          <w:tcPr>
            <w:tcW w:w="0" w:type="auto"/>
            <w:gridSpan w:val="3"/>
            <w:shd w:val="clear" w:color="auto" w:fill="auto"/>
            <w:vAlign w:val="bottom"/>
          </w:tcPr>
          <w:p w14:paraId="442F702B" w14:textId="77777777" w:rsidR="00CC25B5" w:rsidRDefault="00CC25B5">
            <w:pPr>
              <w:rPr>
                <w:rFonts w:ascii="宋体"/>
                <w:vanish/>
              </w:rPr>
            </w:pPr>
          </w:p>
        </w:tc>
        <w:tc>
          <w:tcPr>
            <w:tcW w:w="0" w:type="auto"/>
            <w:gridSpan w:val="3"/>
            <w:shd w:val="clear" w:color="auto" w:fill="auto"/>
            <w:vAlign w:val="bottom"/>
          </w:tcPr>
          <w:p w14:paraId="442F702C" w14:textId="77777777" w:rsidR="00CC25B5" w:rsidRDefault="00CC25B5">
            <w:pPr>
              <w:rPr>
                <w:rFonts w:ascii="宋体"/>
                <w:vanish/>
              </w:rPr>
            </w:pPr>
          </w:p>
        </w:tc>
        <w:tc>
          <w:tcPr>
            <w:tcW w:w="0" w:type="auto"/>
            <w:gridSpan w:val="3"/>
            <w:shd w:val="clear" w:color="auto" w:fill="auto"/>
            <w:vAlign w:val="bottom"/>
          </w:tcPr>
          <w:p w14:paraId="442F702D" w14:textId="77777777" w:rsidR="00CC25B5" w:rsidRDefault="00CC25B5">
            <w:pPr>
              <w:rPr>
                <w:rFonts w:ascii="宋体"/>
                <w:vanish/>
              </w:rPr>
            </w:pPr>
          </w:p>
        </w:tc>
        <w:tc>
          <w:tcPr>
            <w:tcW w:w="0" w:type="auto"/>
            <w:gridSpan w:val="3"/>
            <w:shd w:val="clear" w:color="auto" w:fill="auto"/>
            <w:vAlign w:val="bottom"/>
          </w:tcPr>
          <w:p w14:paraId="442F702E" w14:textId="77777777" w:rsidR="00CC25B5" w:rsidRDefault="00CC25B5">
            <w:pPr>
              <w:rPr>
                <w:rFonts w:ascii="宋体"/>
                <w:vanish/>
              </w:rPr>
            </w:pPr>
          </w:p>
        </w:tc>
        <w:tc>
          <w:tcPr>
            <w:tcW w:w="0" w:type="auto"/>
            <w:gridSpan w:val="3"/>
            <w:shd w:val="clear" w:color="auto" w:fill="auto"/>
            <w:vAlign w:val="bottom"/>
          </w:tcPr>
          <w:p w14:paraId="442F702F" w14:textId="77777777" w:rsidR="00CC25B5" w:rsidRDefault="00CC25B5">
            <w:pPr>
              <w:rPr>
                <w:rFonts w:ascii="宋体"/>
                <w:vanish/>
              </w:rPr>
            </w:pPr>
          </w:p>
        </w:tc>
        <w:tc>
          <w:tcPr>
            <w:tcW w:w="0" w:type="auto"/>
            <w:gridSpan w:val="3"/>
            <w:shd w:val="clear" w:color="auto" w:fill="auto"/>
            <w:vAlign w:val="bottom"/>
          </w:tcPr>
          <w:p w14:paraId="442F7030" w14:textId="77777777" w:rsidR="00CC25B5" w:rsidRDefault="00CC25B5">
            <w:pPr>
              <w:rPr>
                <w:rFonts w:ascii="宋体"/>
                <w:vanish/>
              </w:rPr>
            </w:pPr>
          </w:p>
        </w:tc>
        <w:tc>
          <w:tcPr>
            <w:tcW w:w="0" w:type="auto"/>
            <w:gridSpan w:val="3"/>
            <w:shd w:val="clear" w:color="auto" w:fill="auto"/>
            <w:vAlign w:val="bottom"/>
          </w:tcPr>
          <w:p w14:paraId="442F7031" w14:textId="77777777" w:rsidR="00CC25B5" w:rsidRDefault="00CC25B5">
            <w:pPr>
              <w:rPr>
                <w:rFonts w:ascii="宋体"/>
                <w:vanish/>
              </w:rPr>
            </w:pPr>
          </w:p>
        </w:tc>
        <w:tc>
          <w:tcPr>
            <w:tcW w:w="0" w:type="auto"/>
            <w:gridSpan w:val="3"/>
            <w:shd w:val="clear" w:color="auto" w:fill="auto"/>
            <w:vAlign w:val="bottom"/>
          </w:tcPr>
          <w:p w14:paraId="442F7032" w14:textId="77777777" w:rsidR="00CC25B5" w:rsidRDefault="00CC25B5">
            <w:pPr>
              <w:rPr>
                <w:rFonts w:ascii="宋体"/>
                <w:vanish/>
              </w:rPr>
            </w:pPr>
          </w:p>
        </w:tc>
        <w:tc>
          <w:tcPr>
            <w:tcW w:w="0" w:type="auto"/>
            <w:gridSpan w:val="3"/>
            <w:shd w:val="clear" w:color="auto" w:fill="auto"/>
            <w:vAlign w:val="bottom"/>
          </w:tcPr>
          <w:p w14:paraId="442F7033" w14:textId="77777777" w:rsidR="00CC25B5" w:rsidRDefault="00CC25B5">
            <w:pPr>
              <w:rPr>
                <w:rFonts w:ascii="宋体"/>
                <w:vanish/>
              </w:rPr>
            </w:pPr>
          </w:p>
        </w:tc>
        <w:tc>
          <w:tcPr>
            <w:tcW w:w="0" w:type="auto"/>
            <w:gridSpan w:val="3"/>
            <w:shd w:val="clear" w:color="auto" w:fill="auto"/>
            <w:vAlign w:val="bottom"/>
          </w:tcPr>
          <w:p w14:paraId="442F7034" w14:textId="77777777" w:rsidR="00CC25B5" w:rsidRDefault="00CC25B5">
            <w:pPr>
              <w:rPr>
                <w:rFonts w:ascii="宋体"/>
                <w:vanish/>
              </w:rPr>
            </w:pPr>
          </w:p>
        </w:tc>
        <w:tc>
          <w:tcPr>
            <w:tcW w:w="0" w:type="auto"/>
            <w:gridSpan w:val="3"/>
            <w:shd w:val="clear" w:color="auto" w:fill="auto"/>
            <w:vAlign w:val="bottom"/>
          </w:tcPr>
          <w:p w14:paraId="442F7035" w14:textId="77777777" w:rsidR="00CC25B5" w:rsidRDefault="00CC25B5">
            <w:pPr>
              <w:rPr>
                <w:rFonts w:ascii="宋体"/>
                <w:vanish/>
              </w:rPr>
            </w:pPr>
          </w:p>
        </w:tc>
        <w:tc>
          <w:tcPr>
            <w:tcW w:w="0" w:type="auto"/>
            <w:shd w:val="clear" w:color="auto" w:fill="auto"/>
            <w:vAlign w:val="bottom"/>
          </w:tcPr>
          <w:p w14:paraId="442F7036" w14:textId="77777777" w:rsidR="00CC25B5" w:rsidRDefault="00CC25B5">
            <w:pPr>
              <w:rPr>
                <w:rFonts w:ascii="宋体"/>
                <w:vanish/>
              </w:rPr>
            </w:pPr>
          </w:p>
        </w:tc>
        <w:tc>
          <w:tcPr>
            <w:tcW w:w="0" w:type="auto"/>
            <w:shd w:val="clear" w:color="auto" w:fill="auto"/>
            <w:vAlign w:val="bottom"/>
          </w:tcPr>
          <w:p w14:paraId="442F7037" w14:textId="77777777" w:rsidR="00CC25B5" w:rsidRDefault="00CC25B5">
            <w:pPr>
              <w:rPr>
                <w:rFonts w:ascii="宋体"/>
                <w:vanish/>
              </w:rPr>
            </w:pPr>
          </w:p>
        </w:tc>
        <w:tc>
          <w:tcPr>
            <w:tcW w:w="0" w:type="auto"/>
            <w:shd w:val="clear" w:color="auto" w:fill="auto"/>
            <w:vAlign w:val="bottom"/>
          </w:tcPr>
          <w:p w14:paraId="442F7038" w14:textId="77777777" w:rsidR="00CC25B5" w:rsidRDefault="00CC25B5">
            <w:pPr>
              <w:rPr>
                <w:rFonts w:ascii="宋体"/>
                <w:vanish/>
              </w:rPr>
            </w:pPr>
          </w:p>
        </w:tc>
      </w:tr>
      <w:tr w:rsidR="00CC25B5" w14:paraId="442F704D" w14:textId="77777777">
        <w:trPr>
          <w:jc w:val="center"/>
          <w:hidden/>
        </w:trPr>
        <w:tc>
          <w:tcPr>
            <w:tcW w:w="0" w:type="auto"/>
            <w:gridSpan w:val="3"/>
            <w:shd w:val="clear" w:color="auto" w:fill="auto"/>
            <w:vAlign w:val="bottom"/>
          </w:tcPr>
          <w:p w14:paraId="442F703A" w14:textId="77777777" w:rsidR="00CC25B5" w:rsidRDefault="00CC25B5">
            <w:pPr>
              <w:rPr>
                <w:rFonts w:ascii="宋体"/>
                <w:vanish/>
              </w:rPr>
            </w:pPr>
          </w:p>
        </w:tc>
        <w:tc>
          <w:tcPr>
            <w:tcW w:w="0" w:type="auto"/>
            <w:gridSpan w:val="3"/>
            <w:shd w:val="clear" w:color="auto" w:fill="auto"/>
            <w:vAlign w:val="bottom"/>
          </w:tcPr>
          <w:p w14:paraId="442F703B" w14:textId="77777777" w:rsidR="00CC25B5" w:rsidRDefault="00CC25B5">
            <w:pPr>
              <w:rPr>
                <w:rFonts w:ascii="宋体"/>
                <w:vanish/>
              </w:rPr>
            </w:pPr>
          </w:p>
        </w:tc>
        <w:tc>
          <w:tcPr>
            <w:tcW w:w="0" w:type="auto"/>
            <w:gridSpan w:val="3"/>
            <w:shd w:val="clear" w:color="auto" w:fill="auto"/>
            <w:vAlign w:val="bottom"/>
          </w:tcPr>
          <w:p w14:paraId="442F703C" w14:textId="77777777" w:rsidR="00CC25B5" w:rsidRDefault="00CC25B5">
            <w:pPr>
              <w:rPr>
                <w:rFonts w:ascii="宋体"/>
                <w:vanish/>
              </w:rPr>
            </w:pPr>
          </w:p>
        </w:tc>
        <w:tc>
          <w:tcPr>
            <w:tcW w:w="0" w:type="auto"/>
            <w:gridSpan w:val="3"/>
            <w:shd w:val="clear" w:color="auto" w:fill="auto"/>
            <w:vAlign w:val="bottom"/>
          </w:tcPr>
          <w:p w14:paraId="442F703D" w14:textId="77777777" w:rsidR="00CC25B5" w:rsidRDefault="00CC25B5">
            <w:pPr>
              <w:rPr>
                <w:rFonts w:ascii="宋体"/>
                <w:vanish/>
              </w:rPr>
            </w:pPr>
          </w:p>
        </w:tc>
        <w:tc>
          <w:tcPr>
            <w:tcW w:w="0" w:type="auto"/>
            <w:gridSpan w:val="3"/>
            <w:shd w:val="clear" w:color="auto" w:fill="auto"/>
            <w:vAlign w:val="bottom"/>
          </w:tcPr>
          <w:p w14:paraId="442F703E" w14:textId="77777777" w:rsidR="00CC25B5" w:rsidRDefault="00CC25B5">
            <w:pPr>
              <w:rPr>
                <w:rFonts w:ascii="宋体"/>
                <w:vanish/>
              </w:rPr>
            </w:pPr>
          </w:p>
        </w:tc>
        <w:tc>
          <w:tcPr>
            <w:tcW w:w="0" w:type="auto"/>
            <w:gridSpan w:val="3"/>
            <w:shd w:val="clear" w:color="auto" w:fill="auto"/>
            <w:vAlign w:val="bottom"/>
          </w:tcPr>
          <w:p w14:paraId="442F703F" w14:textId="77777777" w:rsidR="00CC25B5" w:rsidRDefault="00CC25B5">
            <w:pPr>
              <w:rPr>
                <w:rFonts w:ascii="宋体"/>
                <w:vanish/>
              </w:rPr>
            </w:pPr>
          </w:p>
        </w:tc>
        <w:tc>
          <w:tcPr>
            <w:tcW w:w="0" w:type="auto"/>
            <w:gridSpan w:val="3"/>
            <w:shd w:val="clear" w:color="auto" w:fill="auto"/>
            <w:vAlign w:val="bottom"/>
          </w:tcPr>
          <w:p w14:paraId="442F7040" w14:textId="77777777" w:rsidR="00CC25B5" w:rsidRDefault="00CC25B5">
            <w:pPr>
              <w:rPr>
                <w:rFonts w:ascii="宋体"/>
                <w:vanish/>
              </w:rPr>
            </w:pPr>
          </w:p>
        </w:tc>
        <w:tc>
          <w:tcPr>
            <w:tcW w:w="0" w:type="auto"/>
            <w:gridSpan w:val="3"/>
            <w:shd w:val="clear" w:color="auto" w:fill="auto"/>
            <w:vAlign w:val="bottom"/>
          </w:tcPr>
          <w:p w14:paraId="442F7041" w14:textId="77777777" w:rsidR="00CC25B5" w:rsidRDefault="00CC25B5">
            <w:pPr>
              <w:rPr>
                <w:rFonts w:ascii="宋体"/>
                <w:vanish/>
              </w:rPr>
            </w:pPr>
          </w:p>
        </w:tc>
        <w:tc>
          <w:tcPr>
            <w:tcW w:w="0" w:type="auto"/>
            <w:gridSpan w:val="3"/>
            <w:shd w:val="clear" w:color="auto" w:fill="auto"/>
            <w:vAlign w:val="bottom"/>
          </w:tcPr>
          <w:p w14:paraId="442F7042" w14:textId="77777777" w:rsidR="00CC25B5" w:rsidRDefault="00CC25B5">
            <w:pPr>
              <w:rPr>
                <w:rFonts w:ascii="宋体"/>
                <w:vanish/>
              </w:rPr>
            </w:pPr>
          </w:p>
        </w:tc>
        <w:tc>
          <w:tcPr>
            <w:tcW w:w="0" w:type="auto"/>
            <w:gridSpan w:val="3"/>
            <w:shd w:val="clear" w:color="auto" w:fill="auto"/>
            <w:vAlign w:val="bottom"/>
          </w:tcPr>
          <w:p w14:paraId="442F7043" w14:textId="77777777" w:rsidR="00CC25B5" w:rsidRDefault="00CC25B5">
            <w:pPr>
              <w:rPr>
                <w:rFonts w:ascii="宋体"/>
                <w:vanish/>
              </w:rPr>
            </w:pPr>
          </w:p>
        </w:tc>
        <w:tc>
          <w:tcPr>
            <w:tcW w:w="0" w:type="auto"/>
            <w:gridSpan w:val="3"/>
            <w:shd w:val="clear" w:color="auto" w:fill="auto"/>
            <w:vAlign w:val="bottom"/>
          </w:tcPr>
          <w:p w14:paraId="442F7044" w14:textId="77777777" w:rsidR="00CC25B5" w:rsidRDefault="00CC25B5">
            <w:pPr>
              <w:rPr>
                <w:rFonts w:ascii="宋体"/>
                <w:vanish/>
              </w:rPr>
            </w:pPr>
          </w:p>
        </w:tc>
        <w:tc>
          <w:tcPr>
            <w:tcW w:w="0" w:type="auto"/>
            <w:gridSpan w:val="3"/>
            <w:shd w:val="clear" w:color="auto" w:fill="auto"/>
            <w:vAlign w:val="bottom"/>
          </w:tcPr>
          <w:p w14:paraId="442F7045" w14:textId="77777777" w:rsidR="00CC25B5" w:rsidRDefault="00CC25B5">
            <w:pPr>
              <w:rPr>
                <w:rFonts w:ascii="宋体"/>
                <w:vanish/>
              </w:rPr>
            </w:pPr>
          </w:p>
        </w:tc>
        <w:tc>
          <w:tcPr>
            <w:tcW w:w="0" w:type="auto"/>
            <w:gridSpan w:val="3"/>
            <w:shd w:val="clear" w:color="auto" w:fill="auto"/>
            <w:vAlign w:val="bottom"/>
          </w:tcPr>
          <w:p w14:paraId="442F7046" w14:textId="77777777" w:rsidR="00CC25B5" w:rsidRDefault="00CC25B5">
            <w:pPr>
              <w:rPr>
                <w:rFonts w:ascii="宋体"/>
                <w:vanish/>
              </w:rPr>
            </w:pPr>
          </w:p>
        </w:tc>
        <w:tc>
          <w:tcPr>
            <w:tcW w:w="0" w:type="auto"/>
            <w:gridSpan w:val="3"/>
            <w:shd w:val="clear" w:color="auto" w:fill="auto"/>
            <w:vAlign w:val="bottom"/>
          </w:tcPr>
          <w:p w14:paraId="442F7047" w14:textId="77777777" w:rsidR="00CC25B5" w:rsidRDefault="00CC25B5">
            <w:pPr>
              <w:rPr>
                <w:rFonts w:ascii="宋体"/>
                <w:vanish/>
              </w:rPr>
            </w:pPr>
          </w:p>
        </w:tc>
        <w:tc>
          <w:tcPr>
            <w:tcW w:w="0" w:type="auto"/>
            <w:gridSpan w:val="3"/>
            <w:shd w:val="clear" w:color="auto" w:fill="auto"/>
            <w:vAlign w:val="bottom"/>
          </w:tcPr>
          <w:p w14:paraId="442F7048" w14:textId="77777777" w:rsidR="00CC25B5" w:rsidRDefault="00CC25B5">
            <w:pPr>
              <w:rPr>
                <w:rFonts w:ascii="宋体"/>
                <w:vanish/>
              </w:rPr>
            </w:pPr>
          </w:p>
        </w:tc>
        <w:tc>
          <w:tcPr>
            <w:tcW w:w="0" w:type="auto"/>
            <w:gridSpan w:val="3"/>
            <w:shd w:val="clear" w:color="auto" w:fill="auto"/>
            <w:vAlign w:val="bottom"/>
          </w:tcPr>
          <w:p w14:paraId="442F7049" w14:textId="77777777" w:rsidR="00CC25B5" w:rsidRDefault="00CC25B5">
            <w:pPr>
              <w:rPr>
                <w:rFonts w:ascii="宋体"/>
                <w:vanish/>
              </w:rPr>
            </w:pPr>
          </w:p>
        </w:tc>
        <w:tc>
          <w:tcPr>
            <w:tcW w:w="0" w:type="auto"/>
            <w:shd w:val="clear" w:color="auto" w:fill="auto"/>
            <w:vAlign w:val="bottom"/>
          </w:tcPr>
          <w:p w14:paraId="442F704A" w14:textId="77777777" w:rsidR="00CC25B5" w:rsidRDefault="00CC25B5">
            <w:pPr>
              <w:rPr>
                <w:rFonts w:ascii="宋体"/>
                <w:vanish/>
              </w:rPr>
            </w:pPr>
          </w:p>
        </w:tc>
        <w:tc>
          <w:tcPr>
            <w:tcW w:w="0" w:type="auto"/>
            <w:shd w:val="clear" w:color="auto" w:fill="auto"/>
            <w:vAlign w:val="bottom"/>
          </w:tcPr>
          <w:p w14:paraId="442F704B" w14:textId="77777777" w:rsidR="00CC25B5" w:rsidRDefault="00CC25B5">
            <w:pPr>
              <w:rPr>
                <w:rFonts w:ascii="宋体"/>
                <w:vanish/>
              </w:rPr>
            </w:pPr>
          </w:p>
        </w:tc>
        <w:tc>
          <w:tcPr>
            <w:tcW w:w="0" w:type="auto"/>
            <w:shd w:val="clear" w:color="auto" w:fill="auto"/>
            <w:vAlign w:val="bottom"/>
          </w:tcPr>
          <w:p w14:paraId="442F704C" w14:textId="77777777" w:rsidR="00CC25B5" w:rsidRDefault="00CC25B5">
            <w:pPr>
              <w:rPr>
                <w:rFonts w:ascii="宋体"/>
                <w:vanish/>
              </w:rPr>
            </w:pPr>
          </w:p>
        </w:tc>
      </w:tr>
      <w:tr w:rsidR="00CC25B5" w14:paraId="442F7061" w14:textId="77777777">
        <w:trPr>
          <w:jc w:val="center"/>
          <w:hidden/>
        </w:trPr>
        <w:tc>
          <w:tcPr>
            <w:tcW w:w="0" w:type="auto"/>
            <w:gridSpan w:val="3"/>
            <w:shd w:val="clear" w:color="auto" w:fill="auto"/>
            <w:vAlign w:val="bottom"/>
          </w:tcPr>
          <w:p w14:paraId="442F704E" w14:textId="77777777" w:rsidR="00CC25B5" w:rsidRDefault="00CC25B5">
            <w:pPr>
              <w:rPr>
                <w:rFonts w:ascii="宋体"/>
                <w:vanish/>
              </w:rPr>
            </w:pPr>
          </w:p>
        </w:tc>
        <w:tc>
          <w:tcPr>
            <w:tcW w:w="0" w:type="auto"/>
            <w:gridSpan w:val="3"/>
            <w:shd w:val="clear" w:color="auto" w:fill="auto"/>
            <w:vAlign w:val="bottom"/>
          </w:tcPr>
          <w:p w14:paraId="442F704F" w14:textId="77777777" w:rsidR="00CC25B5" w:rsidRDefault="00CC25B5">
            <w:pPr>
              <w:rPr>
                <w:rFonts w:ascii="宋体"/>
                <w:vanish/>
              </w:rPr>
            </w:pPr>
          </w:p>
        </w:tc>
        <w:tc>
          <w:tcPr>
            <w:tcW w:w="0" w:type="auto"/>
            <w:gridSpan w:val="3"/>
            <w:shd w:val="clear" w:color="auto" w:fill="auto"/>
            <w:vAlign w:val="bottom"/>
          </w:tcPr>
          <w:p w14:paraId="442F7050" w14:textId="77777777" w:rsidR="00CC25B5" w:rsidRDefault="00CC25B5">
            <w:pPr>
              <w:rPr>
                <w:rFonts w:ascii="宋体"/>
                <w:vanish/>
              </w:rPr>
            </w:pPr>
          </w:p>
        </w:tc>
        <w:tc>
          <w:tcPr>
            <w:tcW w:w="0" w:type="auto"/>
            <w:gridSpan w:val="3"/>
            <w:shd w:val="clear" w:color="auto" w:fill="auto"/>
            <w:vAlign w:val="bottom"/>
          </w:tcPr>
          <w:p w14:paraId="442F7051" w14:textId="77777777" w:rsidR="00CC25B5" w:rsidRDefault="00CC25B5">
            <w:pPr>
              <w:rPr>
                <w:rFonts w:ascii="宋体"/>
                <w:vanish/>
              </w:rPr>
            </w:pPr>
          </w:p>
        </w:tc>
        <w:tc>
          <w:tcPr>
            <w:tcW w:w="0" w:type="auto"/>
            <w:gridSpan w:val="3"/>
            <w:shd w:val="clear" w:color="auto" w:fill="auto"/>
            <w:vAlign w:val="bottom"/>
          </w:tcPr>
          <w:p w14:paraId="442F7052" w14:textId="77777777" w:rsidR="00CC25B5" w:rsidRDefault="00CC25B5">
            <w:pPr>
              <w:rPr>
                <w:rFonts w:ascii="宋体"/>
                <w:vanish/>
              </w:rPr>
            </w:pPr>
          </w:p>
        </w:tc>
        <w:tc>
          <w:tcPr>
            <w:tcW w:w="0" w:type="auto"/>
            <w:gridSpan w:val="3"/>
            <w:shd w:val="clear" w:color="auto" w:fill="auto"/>
            <w:vAlign w:val="bottom"/>
          </w:tcPr>
          <w:p w14:paraId="442F7053" w14:textId="77777777" w:rsidR="00CC25B5" w:rsidRDefault="00CC25B5">
            <w:pPr>
              <w:rPr>
                <w:rFonts w:ascii="宋体"/>
                <w:vanish/>
              </w:rPr>
            </w:pPr>
          </w:p>
        </w:tc>
        <w:tc>
          <w:tcPr>
            <w:tcW w:w="0" w:type="auto"/>
            <w:gridSpan w:val="3"/>
            <w:shd w:val="clear" w:color="auto" w:fill="auto"/>
            <w:vAlign w:val="bottom"/>
          </w:tcPr>
          <w:p w14:paraId="442F7054" w14:textId="77777777" w:rsidR="00CC25B5" w:rsidRDefault="00CC25B5">
            <w:pPr>
              <w:rPr>
                <w:rFonts w:ascii="宋体"/>
                <w:vanish/>
              </w:rPr>
            </w:pPr>
          </w:p>
        </w:tc>
        <w:tc>
          <w:tcPr>
            <w:tcW w:w="0" w:type="auto"/>
            <w:gridSpan w:val="3"/>
            <w:shd w:val="clear" w:color="auto" w:fill="auto"/>
            <w:vAlign w:val="bottom"/>
          </w:tcPr>
          <w:p w14:paraId="442F7055" w14:textId="77777777" w:rsidR="00CC25B5" w:rsidRDefault="00CC25B5">
            <w:pPr>
              <w:rPr>
                <w:rFonts w:ascii="宋体"/>
                <w:vanish/>
              </w:rPr>
            </w:pPr>
          </w:p>
        </w:tc>
        <w:tc>
          <w:tcPr>
            <w:tcW w:w="0" w:type="auto"/>
            <w:gridSpan w:val="3"/>
            <w:shd w:val="clear" w:color="auto" w:fill="auto"/>
            <w:vAlign w:val="bottom"/>
          </w:tcPr>
          <w:p w14:paraId="442F7056" w14:textId="77777777" w:rsidR="00CC25B5" w:rsidRDefault="00CC25B5">
            <w:pPr>
              <w:rPr>
                <w:rFonts w:ascii="宋体"/>
                <w:vanish/>
              </w:rPr>
            </w:pPr>
          </w:p>
        </w:tc>
        <w:tc>
          <w:tcPr>
            <w:tcW w:w="0" w:type="auto"/>
            <w:gridSpan w:val="3"/>
            <w:shd w:val="clear" w:color="auto" w:fill="auto"/>
            <w:vAlign w:val="bottom"/>
          </w:tcPr>
          <w:p w14:paraId="442F7057" w14:textId="77777777" w:rsidR="00CC25B5" w:rsidRDefault="00CC25B5">
            <w:pPr>
              <w:rPr>
                <w:rFonts w:ascii="宋体"/>
                <w:vanish/>
              </w:rPr>
            </w:pPr>
          </w:p>
        </w:tc>
        <w:tc>
          <w:tcPr>
            <w:tcW w:w="0" w:type="auto"/>
            <w:gridSpan w:val="3"/>
            <w:shd w:val="clear" w:color="auto" w:fill="auto"/>
            <w:vAlign w:val="bottom"/>
          </w:tcPr>
          <w:p w14:paraId="442F7058" w14:textId="77777777" w:rsidR="00CC25B5" w:rsidRDefault="00CC25B5">
            <w:pPr>
              <w:rPr>
                <w:rFonts w:ascii="宋体"/>
                <w:vanish/>
              </w:rPr>
            </w:pPr>
          </w:p>
        </w:tc>
        <w:tc>
          <w:tcPr>
            <w:tcW w:w="0" w:type="auto"/>
            <w:gridSpan w:val="3"/>
            <w:shd w:val="clear" w:color="auto" w:fill="auto"/>
            <w:vAlign w:val="bottom"/>
          </w:tcPr>
          <w:p w14:paraId="442F7059" w14:textId="77777777" w:rsidR="00CC25B5" w:rsidRDefault="00CC25B5">
            <w:pPr>
              <w:rPr>
                <w:rFonts w:ascii="宋体"/>
                <w:vanish/>
              </w:rPr>
            </w:pPr>
          </w:p>
        </w:tc>
        <w:tc>
          <w:tcPr>
            <w:tcW w:w="0" w:type="auto"/>
            <w:gridSpan w:val="3"/>
            <w:shd w:val="clear" w:color="auto" w:fill="auto"/>
            <w:vAlign w:val="bottom"/>
          </w:tcPr>
          <w:p w14:paraId="442F705A" w14:textId="77777777" w:rsidR="00CC25B5" w:rsidRDefault="00CC25B5">
            <w:pPr>
              <w:rPr>
                <w:rFonts w:ascii="宋体"/>
                <w:vanish/>
              </w:rPr>
            </w:pPr>
          </w:p>
        </w:tc>
        <w:tc>
          <w:tcPr>
            <w:tcW w:w="0" w:type="auto"/>
            <w:gridSpan w:val="3"/>
            <w:shd w:val="clear" w:color="auto" w:fill="auto"/>
            <w:vAlign w:val="bottom"/>
          </w:tcPr>
          <w:p w14:paraId="442F705B" w14:textId="77777777" w:rsidR="00CC25B5" w:rsidRDefault="00CC25B5">
            <w:pPr>
              <w:rPr>
                <w:rFonts w:ascii="宋体"/>
                <w:vanish/>
              </w:rPr>
            </w:pPr>
          </w:p>
        </w:tc>
        <w:tc>
          <w:tcPr>
            <w:tcW w:w="0" w:type="auto"/>
            <w:gridSpan w:val="3"/>
            <w:shd w:val="clear" w:color="auto" w:fill="auto"/>
            <w:vAlign w:val="bottom"/>
          </w:tcPr>
          <w:p w14:paraId="442F705C" w14:textId="77777777" w:rsidR="00CC25B5" w:rsidRDefault="00CC25B5">
            <w:pPr>
              <w:rPr>
                <w:rFonts w:ascii="宋体"/>
                <w:vanish/>
              </w:rPr>
            </w:pPr>
          </w:p>
        </w:tc>
        <w:tc>
          <w:tcPr>
            <w:tcW w:w="0" w:type="auto"/>
            <w:gridSpan w:val="3"/>
            <w:shd w:val="clear" w:color="auto" w:fill="auto"/>
            <w:vAlign w:val="bottom"/>
          </w:tcPr>
          <w:p w14:paraId="442F705D" w14:textId="77777777" w:rsidR="00CC25B5" w:rsidRDefault="00CC25B5">
            <w:pPr>
              <w:rPr>
                <w:rFonts w:ascii="宋体"/>
                <w:vanish/>
              </w:rPr>
            </w:pPr>
          </w:p>
        </w:tc>
        <w:tc>
          <w:tcPr>
            <w:tcW w:w="0" w:type="auto"/>
            <w:shd w:val="clear" w:color="auto" w:fill="auto"/>
            <w:vAlign w:val="bottom"/>
          </w:tcPr>
          <w:p w14:paraId="442F705E" w14:textId="77777777" w:rsidR="00CC25B5" w:rsidRDefault="00CC25B5">
            <w:pPr>
              <w:rPr>
                <w:rFonts w:ascii="宋体"/>
                <w:vanish/>
              </w:rPr>
            </w:pPr>
          </w:p>
        </w:tc>
        <w:tc>
          <w:tcPr>
            <w:tcW w:w="0" w:type="auto"/>
            <w:shd w:val="clear" w:color="auto" w:fill="auto"/>
            <w:vAlign w:val="bottom"/>
          </w:tcPr>
          <w:p w14:paraId="442F705F" w14:textId="77777777" w:rsidR="00CC25B5" w:rsidRDefault="00CC25B5">
            <w:pPr>
              <w:rPr>
                <w:rFonts w:ascii="宋体"/>
                <w:vanish/>
              </w:rPr>
            </w:pPr>
          </w:p>
        </w:tc>
        <w:tc>
          <w:tcPr>
            <w:tcW w:w="0" w:type="auto"/>
            <w:shd w:val="clear" w:color="auto" w:fill="auto"/>
            <w:vAlign w:val="bottom"/>
          </w:tcPr>
          <w:p w14:paraId="442F7060" w14:textId="77777777" w:rsidR="00CC25B5" w:rsidRDefault="00CC25B5">
            <w:pPr>
              <w:rPr>
                <w:rFonts w:ascii="宋体"/>
                <w:vanish/>
              </w:rPr>
            </w:pPr>
          </w:p>
        </w:tc>
      </w:tr>
      <w:tr w:rsidR="00CC25B5" w14:paraId="442F7075" w14:textId="77777777">
        <w:trPr>
          <w:jc w:val="center"/>
          <w:hidden/>
        </w:trPr>
        <w:tc>
          <w:tcPr>
            <w:tcW w:w="0" w:type="auto"/>
            <w:gridSpan w:val="3"/>
            <w:shd w:val="clear" w:color="auto" w:fill="auto"/>
            <w:vAlign w:val="bottom"/>
          </w:tcPr>
          <w:p w14:paraId="442F7062" w14:textId="77777777" w:rsidR="00CC25B5" w:rsidRDefault="00CC25B5">
            <w:pPr>
              <w:rPr>
                <w:rFonts w:ascii="宋体"/>
                <w:vanish/>
              </w:rPr>
            </w:pPr>
          </w:p>
        </w:tc>
        <w:tc>
          <w:tcPr>
            <w:tcW w:w="0" w:type="auto"/>
            <w:gridSpan w:val="3"/>
            <w:shd w:val="clear" w:color="auto" w:fill="auto"/>
            <w:vAlign w:val="bottom"/>
          </w:tcPr>
          <w:p w14:paraId="442F7063" w14:textId="77777777" w:rsidR="00CC25B5" w:rsidRDefault="00CC25B5">
            <w:pPr>
              <w:rPr>
                <w:rFonts w:ascii="宋体"/>
                <w:vanish/>
              </w:rPr>
            </w:pPr>
          </w:p>
        </w:tc>
        <w:tc>
          <w:tcPr>
            <w:tcW w:w="0" w:type="auto"/>
            <w:gridSpan w:val="3"/>
            <w:shd w:val="clear" w:color="auto" w:fill="auto"/>
            <w:vAlign w:val="bottom"/>
          </w:tcPr>
          <w:p w14:paraId="442F7064" w14:textId="77777777" w:rsidR="00CC25B5" w:rsidRDefault="00CC25B5">
            <w:pPr>
              <w:rPr>
                <w:rFonts w:ascii="宋体"/>
                <w:vanish/>
              </w:rPr>
            </w:pPr>
          </w:p>
        </w:tc>
        <w:tc>
          <w:tcPr>
            <w:tcW w:w="0" w:type="auto"/>
            <w:gridSpan w:val="3"/>
            <w:shd w:val="clear" w:color="auto" w:fill="auto"/>
            <w:vAlign w:val="bottom"/>
          </w:tcPr>
          <w:p w14:paraId="442F7065" w14:textId="77777777" w:rsidR="00CC25B5" w:rsidRDefault="00CC25B5">
            <w:pPr>
              <w:rPr>
                <w:rFonts w:ascii="宋体"/>
                <w:vanish/>
              </w:rPr>
            </w:pPr>
          </w:p>
        </w:tc>
        <w:tc>
          <w:tcPr>
            <w:tcW w:w="0" w:type="auto"/>
            <w:gridSpan w:val="3"/>
            <w:shd w:val="clear" w:color="auto" w:fill="auto"/>
            <w:vAlign w:val="bottom"/>
          </w:tcPr>
          <w:p w14:paraId="442F7066" w14:textId="77777777" w:rsidR="00CC25B5" w:rsidRDefault="00CC25B5">
            <w:pPr>
              <w:rPr>
                <w:rFonts w:ascii="宋体"/>
                <w:vanish/>
              </w:rPr>
            </w:pPr>
          </w:p>
        </w:tc>
        <w:tc>
          <w:tcPr>
            <w:tcW w:w="0" w:type="auto"/>
            <w:gridSpan w:val="3"/>
            <w:shd w:val="clear" w:color="auto" w:fill="auto"/>
            <w:vAlign w:val="bottom"/>
          </w:tcPr>
          <w:p w14:paraId="442F7067" w14:textId="77777777" w:rsidR="00CC25B5" w:rsidRDefault="00CC25B5">
            <w:pPr>
              <w:rPr>
                <w:rFonts w:ascii="宋体"/>
                <w:vanish/>
              </w:rPr>
            </w:pPr>
          </w:p>
        </w:tc>
        <w:tc>
          <w:tcPr>
            <w:tcW w:w="0" w:type="auto"/>
            <w:gridSpan w:val="3"/>
            <w:shd w:val="clear" w:color="auto" w:fill="auto"/>
            <w:vAlign w:val="bottom"/>
          </w:tcPr>
          <w:p w14:paraId="442F7068" w14:textId="77777777" w:rsidR="00CC25B5" w:rsidRDefault="00CC25B5">
            <w:pPr>
              <w:rPr>
                <w:rFonts w:ascii="宋体"/>
                <w:vanish/>
              </w:rPr>
            </w:pPr>
          </w:p>
        </w:tc>
        <w:tc>
          <w:tcPr>
            <w:tcW w:w="0" w:type="auto"/>
            <w:gridSpan w:val="3"/>
            <w:shd w:val="clear" w:color="auto" w:fill="auto"/>
            <w:vAlign w:val="bottom"/>
          </w:tcPr>
          <w:p w14:paraId="442F7069" w14:textId="77777777" w:rsidR="00CC25B5" w:rsidRDefault="00CC25B5">
            <w:pPr>
              <w:rPr>
                <w:rFonts w:ascii="宋体"/>
                <w:vanish/>
              </w:rPr>
            </w:pPr>
          </w:p>
        </w:tc>
        <w:tc>
          <w:tcPr>
            <w:tcW w:w="0" w:type="auto"/>
            <w:gridSpan w:val="3"/>
            <w:shd w:val="clear" w:color="auto" w:fill="auto"/>
            <w:vAlign w:val="bottom"/>
          </w:tcPr>
          <w:p w14:paraId="442F706A" w14:textId="77777777" w:rsidR="00CC25B5" w:rsidRDefault="00CC25B5">
            <w:pPr>
              <w:rPr>
                <w:rFonts w:ascii="宋体"/>
                <w:vanish/>
              </w:rPr>
            </w:pPr>
          </w:p>
        </w:tc>
        <w:tc>
          <w:tcPr>
            <w:tcW w:w="0" w:type="auto"/>
            <w:gridSpan w:val="3"/>
            <w:shd w:val="clear" w:color="auto" w:fill="auto"/>
            <w:vAlign w:val="bottom"/>
          </w:tcPr>
          <w:p w14:paraId="442F706B" w14:textId="77777777" w:rsidR="00CC25B5" w:rsidRDefault="00CC25B5">
            <w:pPr>
              <w:rPr>
                <w:rFonts w:ascii="宋体"/>
                <w:vanish/>
              </w:rPr>
            </w:pPr>
          </w:p>
        </w:tc>
        <w:tc>
          <w:tcPr>
            <w:tcW w:w="0" w:type="auto"/>
            <w:gridSpan w:val="3"/>
            <w:shd w:val="clear" w:color="auto" w:fill="auto"/>
            <w:vAlign w:val="bottom"/>
          </w:tcPr>
          <w:p w14:paraId="442F706C" w14:textId="77777777" w:rsidR="00CC25B5" w:rsidRDefault="00CC25B5">
            <w:pPr>
              <w:rPr>
                <w:rFonts w:ascii="宋体"/>
                <w:vanish/>
              </w:rPr>
            </w:pPr>
          </w:p>
        </w:tc>
        <w:tc>
          <w:tcPr>
            <w:tcW w:w="0" w:type="auto"/>
            <w:gridSpan w:val="3"/>
            <w:shd w:val="clear" w:color="auto" w:fill="auto"/>
            <w:vAlign w:val="bottom"/>
          </w:tcPr>
          <w:p w14:paraId="442F706D" w14:textId="77777777" w:rsidR="00CC25B5" w:rsidRDefault="00CC25B5">
            <w:pPr>
              <w:rPr>
                <w:rFonts w:ascii="宋体"/>
                <w:vanish/>
              </w:rPr>
            </w:pPr>
          </w:p>
        </w:tc>
        <w:tc>
          <w:tcPr>
            <w:tcW w:w="0" w:type="auto"/>
            <w:gridSpan w:val="3"/>
            <w:shd w:val="clear" w:color="auto" w:fill="auto"/>
            <w:vAlign w:val="bottom"/>
          </w:tcPr>
          <w:p w14:paraId="442F706E" w14:textId="77777777" w:rsidR="00CC25B5" w:rsidRDefault="00CC25B5">
            <w:pPr>
              <w:rPr>
                <w:rFonts w:ascii="宋体"/>
                <w:vanish/>
              </w:rPr>
            </w:pPr>
          </w:p>
        </w:tc>
        <w:tc>
          <w:tcPr>
            <w:tcW w:w="0" w:type="auto"/>
            <w:gridSpan w:val="3"/>
            <w:shd w:val="clear" w:color="auto" w:fill="auto"/>
            <w:vAlign w:val="bottom"/>
          </w:tcPr>
          <w:p w14:paraId="442F706F" w14:textId="77777777" w:rsidR="00CC25B5" w:rsidRDefault="00CC25B5">
            <w:pPr>
              <w:rPr>
                <w:rFonts w:ascii="宋体"/>
                <w:vanish/>
              </w:rPr>
            </w:pPr>
          </w:p>
        </w:tc>
        <w:tc>
          <w:tcPr>
            <w:tcW w:w="0" w:type="auto"/>
            <w:gridSpan w:val="3"/>
            <w:shd w:val="clear" w:color="auto" w:fill="auto"/>
            <w:vAlign w:val="bottom"/>
          </w:tcPr>
          <w:p w14:paraId="442F7070" w14:textId="77777777" w:rsidR="00CC25B5" w:rsidRDefault="00CC25B5">
            <w:pPr>
              <w:rPr>
                <w:rFonts w:ascii="宋体"/>
                <w:vanish/>
              </w:rPr>
            </w:pPr>
          </w:p>
        </w:tc>
        <w:tc>
          <w:tcPr>
            <w:tcW w:w="0" w:type="auto"/>
            <w:gridSpan w:val="3"/>
            <w:shd w:val="clear" w:color="auto" w:fill="auto"/>
            <w:vAlign w:val="bottom"/>
          </w:tcPr>
          <w:p w14:paraId="442F7071" w14:textId="77777777" w:rsidR="00CC25B5" w:rsidRDefault="00CC25B5">
            <w:pPr>
              <w:rPr>
                <w:rFonts w:ascii="宋体"/>
                <w:vanish/>
              </w:rPr>
            </w:pPr>
          </w:p>
        </w:tc>
        <w:tc>
          <w:tcPr>
            <w:tcW w:w="0" w:type="auto"/>
            <w:shd w:val="clear" w:color="auto" w:fill="auto"/>
            <w:vAlign w:val="bottom"/>
          </w:tcPr>
          <w:p w14:paraId="442F7072" w14:textId="77777777" w:rsidR="00CC25B5" w:rsidRDefault="00CC25B5">
            <w:pPr>
              <w:rPr>
                <w:rFonts w:ascii="宋体"/>
                <w:vanish/>
              </w:rPr>
            </w:pPr>
          </w:p>
        </w:tc>
        <w:tc>
          <w:tcPr>
            <w:tcW w:w="0" w:type="auto"/>
            <w:shd w:val="clear" w:color="auto" w:fill="auto"/>
            <w:vAlign w:val="bottom"/>
          </w:tcPr>
          <w:p w14:paraId="442F7073" w14:textId="77777777" w:rsidR="00CC25B5" w:rsidRDefault="00CC25B5">
            <w:pPr>
              <w:rPr>
                <w:rFonts w:ascii="宋体"/>
                <w:vanish/>
              </w:rPr>
            </w:pPr>
          </w:p>
        </w:tc>
        <w:tc>
          <w:tcPr>
            <w:tcW w:w="0" w:type="auto"/>
            <w:shd w:val="clear" w:color="auto" w:fill="auto"/>
            <w:vAlign w:val="bottom"/>
          </w:tcPr>
          <w:p w14:paraId="442F7074" w14:textId="77777777" w:rsidR="00CC25B5" w:rsidRDefault="00CC25B5">
            <w:pPr>
              <w:rPr>
                <w:rFonts w:ascii="宋体"/>
                <w:vanish/>
              </w:rPr>
            </w:pPr>
          </w:p>
        </w:tc>
      </w:tr>
      <w:tr w:rsidR="00CC25B5" w14:paraId="442F7089" w14:textId="77777777">
        <w:trPr>
          <w:jc w:val="center"/>
          <w:hidden/>
        </w:trPr>
        <w:tc>
          <w:tcPr>
            <w:tcW w:w="0" w:type="auto"/>
            <w:gridSpan w:val="3"/>
            <w:shd w:val="clear" w:color="auto" w:fill="auto"/>
            <w:vAlign w:val="bottom"/>
          </w:tcPr>
          <w:p w14:paraId="442F7076" w14:textId="77777777" w:rsidR="00CC25B5" w:rsidRDefault="00CC25B5">
            <w:pPr>
              <w:rPr>
                <w:rFonts w:ascii="宋体"/>
                <w:vanish/>
              </w:rPr>
            </w:pPr>
          </w:p>
        </w:tc>
        <w:tc>
          <w:tcPr>
            <w:tcW w:w="0" w:type="auto"/>
            <w:gridSpan w:val="3"/>
            <w:shd w:val="clear" w:color="auto" w:fill="auto"/>
            <w:vAlign w:val="bottom"/>
          </w:tcPr>
          <w:p w14:paraId="442F7077" w14:textId="77777777" w:rsidR="00CC25B5" w:rsidRDefault="00CC25B5">
            <w:pPr>
              <w:rPr>
                <w:rFonts w:ascii="宋体"/>
                <w:vanish/>
              </w:rPr>
            </w:pPr>
          </w:p>
        </w:tc>
        <w:tc>
          <w:tcPr>
            <w:tcW w:w="0" w:type="auto"/>
            <w:gridSpan w:val="3"/>
            <w:shd w:val="clear" w:color="auto" w:fill="auto"/>
            <w:vAlign w:val="bottom"/>
          </w:tcPr>
          <w:p w14:paraId="442F7078" w14:textId="77777777" w:rsidR="00CC25B5" w:rsidRDefault="00CC25B5">
            <w:pPr>
              <w:rPr>
                <w:rFonts w:ascii="宋体"/>
                <w:vanish/>
              </w:rPr>
            </w:pPr>
          </w:p>
        </w:tc>
        <w:tc>
          <w:tcPr>
            <w:tcW w:w="0" w:type="auto"/>
            <w:gridSpan w:val="3"/>
            <w:shd w:val="clear" w:color="auto" w:fill="auto"/>
            <w:vAlign w:val="bottom"/>
          </w:tcPr>
          <w:p w14:paraId="442F7079" w14:textId="77777777" w:rsidR="00CC25B5" w:rsidRDefault="00CC25B5">
            <w:pPr>
              <w:rPr>
                <w:rFonts w:ascii="宋体"/>
                <w:vanish/>
              </w:rPr>
            </w:pPr>
          </w:p>
        </w:tc>
        <w:tc>
          <w:tcPr>
            <w:tcW w:w="0" w:type="auto"/>
            <w:gridSpan w:val="3"/>
            <w:shd w:val="clear" w:color="auto" w:fill="auto"/>
            <w:vAlign w:val="bottom"/>
          </w:tcPr>
          <w:p w14:paraId="442F707A" w14:textId="77777777" w:rsidR="00CC25B5" w:rsidRDefault="00CC25B5">
            <w:pPr>
              <w:rPr>
                <w:rFonts w:ascii="宋体"/>
                <w:vanish/>
              </w:rPr>
            </w:pPr>
          </w:p>
        </w:tc>
        <w:tc>
          <w:tcPr>
            <w:tcW w:w="0" w:type="auto"/>
            <w:gridSpan w:val="3"/>
            <w:shd w:val="clear" w:color="auto" w:fill="auto"/>
            <w:vAlign w:val="bottom"/>
          </w:tcPr>
          <w:p w14:paraId="442F707B" w14:textId="77777777" w:rsidR="00CC25B5" w:rsidRDefault="00CC25B5">
            <w:pPr>
              <w:rPr>
                <w:rFonts w:ascii="宋体"/>
                <w:vanish/>
              </w:rPr>
            </w:pPr>
          </w:p>
        </w:tc>
        <w:tc>
          <w:tcPr>
            <w:tcW w:w="0" w:type="auto"/>
            <w:gridSpan w:val="3"/>
            <w:shd w:val="clear" w:color="auto" w:fill="auto"/>
            <w:vAlign w:val="bottom"/>
          </w:tcPr>
          <w:p w14:paraId="442F707C" w14:textId="77777777" w:rsidR="00CC25B5" w:rsidRDefault="00CC25B5">
            <w:pPr>
              <w:rPr>
                <w:rFonts w:ascii="宋体"/>
                <w:vanish/>
              </w:rPr>
            </w:pPr>
          </w:p>
        </w:tc>
        <w:tc>
          <w:tcPr>
            <w:tcW w:w="0" w:type="auto"/>
            <w:gridSpan w:val="3"/>
            <w:shd w:val="clear" w:color="auto" w:fill="auto"/>
            <w:vAlign w:val="bottom"/>
          </w:tcPr>
          <w:p w14:paraId="442F707D" w14:textId="77777777" w:rsidR="00CC25B5" w:rsidRDefault="00CC25B5">
            <w:pPr>
              <w:rPr>
                <w:rFonts w:ascii="宋体"/>
                <w:vanish/>
              </w:rPr>
            </w:pPr>
          </w:p>
        </w:tc>
        <w:tc>
          <w:tcPr>
            <w:tcW w:w="0" w:type="auto"/>
            <w:gridSpan w:val="3"/>
            <w:shd w:val="clear" w:color="auto" w:fill="auto"/>
            <w:vAlign w:val="bottom"/>
          </w:tcPr>
          <w:p w14:paraId="442F707E" w14:textId="77777777" w:rsidR="00CC25B5" w:rsidRDefault="00CC25B5">
            <w:pPr>
              <w:rPr>
                <w:rFonts w:ascii="宋体"/>
                <w:vanish/>
              </w:rPr>
            </w:pPr>
          </w:p>
        </w:tc>
        <w:tc>
          <w:tcPr>
            <w:tcW w:w="0" w:type="auto"/>
            <w:gridSpan w:val="3"/>
            <w:shd w:val="clear" w:color="auto" w:fill="auto"/>
            <w:vAlign w:val="bottom"/>
          </w:tcPr>
          <w:p w14:paraId="442F707F" w14:textId="77777777" w:rsidR="00CC25B5" w:rsidRDefault="00CC25B5">
            <w:pPr>
              <w:rPr>
                <w:rFonts w:ascii="宋体"/>
                <w:vanish/>
              </w:rPr>
            </w:pPr>
          </w:p>
        </w:tc>
        <w:tc>
          <w:tcPr>
            <w:tcW w:w="0" w:type="auto"/>
            <w:gridSpan w:val="3"/>
            <w:shd w:val="clear" w:color="auto" w:fill="auto"/>
            <w:vAlign w:val="bottom"/>
          </w:tcPr>
          <w:p w14:paraId="442F7080" w14:textId="77777777" w:rsidR="00CC25B5" w:rsidRDefault="00CC25B5">
            <w:pPr>
              <w:rPr>
                <w:rFonts w:ascii="宋体"/>
                <w:vanish/>
              </w:rPr>
            </w:pPr>
          </w:p>
        </w:tc>
        <w:tc>
          <w:tcPr>
            <w:tcW w:w="0" w:type="auto"/>
            <w:gridSpan w:val="3"/>
            <w:shd w:val="clear" w:color="auto" w:fill="auto"/>
            <w:vAlign w:val="bottom"/>
          </w:tcPr>
          <w:p w14:paraId="442F7081" w14:textId="77777777" w:rsidR="00CC25B5" w:rsidRDefault="00CC25B5">
            <w:pPr>
              <w:rPr>
                <w:rFonts w:ascii="宋体"/>
                <w:vanish/>
              </w:rPr>
            </w:pPr>
          </w:p>
        </w:tc>
        <w:tc>
          <w:tcPr>
            <w:tcW w:w="0" w:type="auto"/>
            <w:gridSpan w:val="3"/>
            <w:shd w:val="clear" w:color="auto" w:fill="auto"/>
            <w:vAlign w:val="bottom"/>
          </w:tcPr>
          <w:p w14:paraId="442F7082" w14:textId="77777777" w:rsidR="00CC25B5" w:rsidRDefault="00CC25B5">
            <w:pPr>
              <w:rPr>
                <w:rFonts w:ascii="宋体"/>
                <w:vanish/>
              </w:rPr>
            </w:pPr>
          </w:p>
        </w:tc>
        <w:tc>
          <w:tcPr>
            <w:tcW w:w="0" w:type="auto"/>
            <w:gridSpan w:val="3"/>
            <w:shd w:val="clear" w:color="auto" w:fill="auto"/>
            <w:vAlign w:val="bottom"/>
          </w:tcPr>
          <w:p w14:paraId="442F7083" w14:textId="77777777" w:rsidR="00CC25B5" w:rsidRDefault="00CC25B5">
            <w:pPr>
              <w:rPr>
                <w:rFonts w:ascii="宋体"/>
                <w:vanish/>
              </w:rPr>
            </w:pPr>
          </w:p>
        </w:tc>
        <w:tc>
          <w:tcPr>
            <w:tcW w:w="0" w:type="auto"/>
            <w:gridSpan w:val="3"/>
            <w:shd w:val="clear" w:color="auto" w:fill="auto"/>
            <w:vAlign w:val="bottom"/>
          </w:tcPr>
          <w:p w14:paraId="442F7084" w14:textId="77777777" w:rsidR="00CC25B5" w:rsidRDefault="00CC25B5">
            <w:pPr>
              <w:rPr>
                <w:rFonts w:ascii="宋体"/>
                <w:vanish/>
              </w:rPr>
            </w:pPr>
          </w:p>
        </w:tc>
        <w:tc>
          <w:tcPr>
            <w:tcW w:w="0" w:type="auto"/>
            <w:gridSpan w:val="3"/>
            <w:shd w:val="clear" w:color="auto" w:fill="auto"/>
            <w:vAlign w:val="bottom"/>
          </w:tcPr>
          <w:p w14:paraId="442F7085" w14:textId="77777777" w:rsidR="00CC25B5" w:rsidRDefault="00CC25B5">
            <w:pPr>
              <w:rPr>
                <w:rFonts w:ascii="宋体"/>
                <w:vanish/>
              </w:rPr>
            </w:pPr>
          </w:p>
        </w:tc>
        <w:tc>
          <w:tcPr>
            <w:tcW w:w="0" w:type="auto"/>
            <w:shd w:val="clear" w:color="auto" w:fill="auto"/>
            <w:vAlign w:val="bottom"/>
          </w:tcPr>
          <w:p w14:paraId="442F7086" w14:textId="77777777" w:rsidR="00CC25B5" w:rsidRDefault="00CC25B5">
            <w:pPr>
              <w:rPr>
                <w:rFonts w:ascii="宋体"/>
                <w:vanish/>
              </w:rPr>
            </w:pPr>
          </w:p>
        </w:tc>
        <w:tc>
          <w:tcPr>
            <w:tcW w:w="0" w:type="auto"/>
            <w:shd w:val="clear" w:color="auto" w:fill="auto"/>
            <w:vAlign w:val="bottom"/>
          </w:tcPr>
          <w:p w14:paraId="442F7087" w14:textId="77777777" w:rsidR="00CC25B5" w:rsidRDefault="00CC25B5">
            <w:pPr>
              <w:rPr>
                <w:rFonts w:ascii="宋体"/>
                <w:vanish/>
              </w:rPr>
            </w:pPr>
          </w:p>
        </w:tc>
        <w:tc>
          <w:tcPr>
            <w:tcW w:w="0" w:type="auto"/>
            <w:shd w:val="clear" w:color="auto" w:fill="auto"/>
            <w:vAlign w:val="bottom"/>
          </w:tcPr>
          <w:p w14:paraId="442F7088" w14:textId="77777777" w:rsidR="00CC25B5" w:rsidRDefault="00CC25B5">
            <w:pPr>
              <w:rPr>
                <w:rFonts w:ascii="宋体"/>
                <w:vanish/>
              </w:rPr>
            </w:pPr>
          </w:p>
        </w:tc>
      </w:tr>
      <w:tr w:rsidR="00CC25B5" w14:paraId="442F709D" w14:textId="77777777">
        <w:trPr>
          <w:jc w:val="center"/>
          <w:hidden/>
        </w:trPr>
        <w:tc>
          <w:tcPr>
            <w:tcW w:w="0" w:type="auto"/>
            <w:gridSpan w:val="3"/>
            <w:shd w:val="clear" w:color="auto" w:fill="auto"/>
            <w:vAlign w:val="bottom"/>
          </w:tcPr>
          <w:p w14:paraId="442F708A" w14:textId="77777777" w:rsidR="00CC25B5" w:rsidRDefault="00CC25B5">
            <w:pPr>
              <w:rPr>
                <w:rFonts w:ascii="宋体"/>
                <w:vanish/>
              </w:rPr>
            </w:pPr>
          </w:p>
        </w:tc>
        <w:tc>
          <w:tcPr>
            <w:tcW w:w="0" w:type="auto"/>
            <w:gridSpan w:val="3"/>
            <w:shd w:val="clear" w:color="auto" w:fill="auto"/>
            <w:vAlign w:val="bottom"/>
          </w:tcPr>
          <w:p w14:paraId="442F708B" w14:textId="77777777" w:rsidR="00CC25B5" w:rsidRDefault="00CC25B5">
            <w:pPr>
              <w:rPr>
                <w:rFonts w:ascii="宋体"/>
                <w:vanish/>
              </w:rPr>
            </w:pPr>
          </w:p>
        </w:tc>
        <w:tc>
          <w:tcPr>
            <w:tcW w:w="0" w:type="auto"/>
            <w:gridSpan w:val="3"/>
            <w:shd w:val="clear" w:color="auto" w:fill="auto"/>
            <w:vAlign w:val="bottom"/>
          </w:tcPr>
          <w:p w14:paraId="442F708C" w14:textId="77777777" w:rsidR="00CC25B5" w:rsidRDefault="00CC25B5">
            <w:pPr>
              <w:rPr>
                <w:rFonts w:ascii="宋体"/>
                <w:vanish/>
              </w:rPr>
            </w:pPr>
          </w:p>
        </w:tc>
        <w:tc>
          <w:tcPr>
            <w:tcW w:w="0" w:type="auto"/>
            <w:gridSpan w:val="3"/>
            <w:shd w:val="clear" w:color="auto" w:fill="auto"/>
            <w:vAlign w:val="bottom"/>
          </w:tcPr>
          <w:p w14:paraId="442F708D" w14:textId="77777777" w:rsidR="00CC25B5" w:rsidRDefault="00CC25B5">
            <w:pPr>
              <w:rPr>
                <w:rFonts w:ascii="宋体"/>
                <w:vanish/>
              </w:rPr>
            </w:pPr>
          </w:p>
        </w:tc>
        <w:tc>
          <w:tcPr>
            <w:tcW w:w="0" w:type="auto"/>
            <w:gridSpan w:val="3"/>
            <w:shd w:val="clear" w:color="auto" w:fill="auto"/>
            <w:vAlign w:val="bottom"/>
          </w:tcPr>
          <w:p w14:paraId="442F708E" w14:textId="77777777" w:rsidR="00CC25B5" w:rsidRDefault="00CC25B5">
            <w:pPr>
              <w:rPr>
                <w:rFonts w:ascii="宋体"/>
                <w:vanish/>
              </w:rPr>
            </w:pPr>
          </w:p>
        </w:tc>
        <w:tc>
          <w:tcPr>
            <w:tcW w:w="0" w:type="auto"/>
            <w:gridSpan w:val="3"/>
            <w:shd w:val="clear" w:color="auto" w:fill="auto"/>
            <w:vAlign w:val="bottom"/>
          </w:tcPr>
          <w:p w14:paraId="442F708F" w14:textId="77777777" w:rsidR="00CC25B5" w:rsidRDefault="00CC25B5">
            <w:pPr>
              <w:rPr>
                <w:rFonts w:ascii="宋体"/>
                <w:vanish/>
              </w:rPr>
            </w:pPr>
          </w:p>
        </w:tc>
        <w:tc>
          <w:tcPr>
            <w:tcW w:w="0" w:type="auto"/>
            <w:gridSpan w:val="3"/>
            <w:shd w:val="clear" w:color="auto" w:fill="auto"/>
            <w:vAlign w:val="bottom"/>
          </w:tcPr>
          <w:p w14:paraId="442F7090" w14:textId="77777777" w:rsidR="00CC25B5" w:rsidRDefault="00CC25B5">
            <w:pPr>
              <w:rPr>
                <w:rFonts w:ascii="宋体"/>
                <w:vanish/>
              </w:rPr>
            </w:pPr>
          </w:p>
        </w:tc>
        <w:tc>
          <w:tcPr>
            <w:tcW w:w="0" w:type="auto"/>
            <w:gridSpan w:val="3"/>
            <w:shd w:val="clear" w:color="auto" w:fill="auto"/>
            <w:vAlign w:val="bottom"/>
          </w:tcPr>
          <w:p w14:paraId="442F7091" w14:textId="77777777" w:rsidR="00CC25B5" w:rsidRDefault="00CC25B5">
            <w:pPr>
              <w:rPr>
                <w:rFonts w:ascii="宋体"/>
                <w:vanish/>
              </w:rPr>
            </w:pPr>
          </w:p>
        </w:tc>
        <w:tc>
          <w:tcPr>
            <w:tcW w:w="0" w:type="auto"/>
            <w:gridSpan w:val="3"/>
            <w:shd w:val="clear" w:color="auto" w:fill="auto"/>
            <w:vAlign w:val="bottom"/>
          </w:tcPr>
          <w:p w14:paraId="442F7092" w14:textId="77777777" w:rsidR="00CC25B5" w:rsidRDefault="00CC25B5">
            <w:pPr>
              <w:rPr>
                <w:rFonts w:ascii="宋体"/>
                <w:vanish/>
              </w:rPr>
            </w:pPr>
          </w:p>
        </w:tc>
        <w:tc>
          <w:tcPr>
            <w:tcW w:w="0" w:type="auto"/>
            <w:gridSpan w:val="3"/>
            <w:shd w:val="clear" w:color="auto" w:fill="auto"/>
            <w:vAlign w:val="bottom"/>
          </w:tcPr>
          <w:p w14:paraId="442F7093" w14:textId="77777777" w:rsidR="00CC25B5" w:rsidRDefault="00CC25B5">
            <w:pPr>
              <w:rPr>
                <w:rFonts w:ascii="宋体"/>
                <w:vanish/>
              </w:rPr>
            </w:pPr>
          </w:p>
        </w:tc>
        <w:tc>
          <w:tcPr>
            <w:tcW w:w="0" w:type="auto"/>
            <w:gridSpan w:val="3"/>
            <w:shd w:val="clear" w:color="auto" w:fill="auto"/>
            <w:vAlign w:val="bottom"/>
          </w:tcPr>
          <w:p w14:paraId="442F7094" w14:textId="77777777" w:rsidR="00CC25B5" w:rsidRDefault="00CC25B5">
            <w:pPr>
              <w:rPr>
                <w:rFonts w:ascii="宋体"/>
                <w:vanish/>
              </w:rPr>
            </w:pPr>
          </w:p>
        </w:tc>
        <w:tc>
          <w:tcPr>
            <w:tcW w:w="0" w:type="auto"/>
            <w:gridSpan w:val="3"/>
            <w:shd w:val="clear" w:color="auto" w:fill="auto"/>
            <w:vAlign w:val="bottom"/>
          </w:tcPr>
          <w:p w14:paraId="442F7095" w14:textId="77777777" w:rsidR="00CC25B5" w:rsidRDefault="00CC25B5">
            <w:pPr>
              <w:rPr>
                <w:rFonts w:ascii="宋体"/>
                <w:vanish/>
              </w:rPr>
            </w:pPr>
          </w:p>
        </w:tc>
        <w:tc>
          <w:tcPr>
            <w:tcW w:w="0" w:type="auto"/>
            <w:gridSpan w:val="3"/>
            <w:shd w:val="clear" w:color="auto" w:fill="auto"/>
            <w:vAlign w:val="bottom"/>
          </w:tcPr>
          <w:p w14:paraId="442F7096" w14:textId="77777777" w:rsidR="00CC25B5" w:rsidRDefault="00CC25B5">
            <w:pPr>
              <w:rPr>
                <w:rFonts w:ascii="宋体"/>
                <w:vanish/>
              </w:rPr>
            </w:pPr>
          </w:p>
        </w:tc>
        <w:tc>
          <w:tcPr>
            <w:tcW w:w="0" w:type="auto"/>
            <w:gridSpan w:val="3"/>
            <w:shd w:val="clear" w:color="auto" w:fill="auto"/>
            <w:vAlign w:val="bottom"/>
          </w:tcPr>
          <w:p w14:paraId="442F7097" w14:textId="77777777" w:rsidR="00CC25B5" w:rsidRDefault="00CC25B5">
            <w:pPr>
              <w:rPr>
                <w:rFonts w:ascii="宋体"/>
                <w:vanish/>
              </w:rPr>
            </w:pPr>
          </w:p>
        </w:tc>
        <w:tc>
          <w:tcPr>
            <w:tcW w:w="0" w:type="auto"/>
            <w:gridSpan w:val="3"/>
            <w:shd w:val="clear" w:color="auto" w:fill="auto"/>
            <w:vAlign w:val="bottom"/>
          </w:tcPr>
          <w:p w14:paraId="442F7098" w14:textId="77777777" w:rsidR="00CC25B5" w:rsidRDefault="00CC25B5">
            <w:pPr>
              <w:rPr>
                <w:rFonts w:ascii="宋体"/>
                <w:vanish/>
              </w:rPr>
            </w:pPr>
          </w:p>
        </w:tc>
        <w:tc>
          <w:tcPr>
            <w:tcW w:w="0" w:type="auto"/>
            <w:gridSpan w:val="3"/>
            <w:shd w:val="clear" w:color="auto" w:fill="auto"/>
            <w:vAlign w:val="bottom"/>
          </w:tcPr>
          <w:p w14:paraId="442F7099" w14:textId="77777777" w:rsidR="00CC25B5" w:rsidRDefault="00CC25B5">
            <w:pPr>
              <w:rPr>
                <w:rFonts w:ascii="宋体"/>
                <w:vanish/>
              </w:rPr>
            </w:pPr>
          </w:p>
        </w:tc>
        <w:tc>
          <w:tcPr>
            <w:tcW w:w="0" w:type="auto"/>
            <w:shd w:val="clear" w:color="auto" w:fill="auto"/>
            <w:vAlign w:val="bottom"/>
          </w:tcPr>
          <w:p w14:paraId="442F709A" w14:textId="77777777" w:rsidR="00CC25B5" w:rsidRDefault="00CC25B5">
            <w:pPr>
              <w:rPr>
                <w:rFonts w:ascii="宋体"/>
                <w:vanish/>
              </w:rPr>
            </w:pPr>
          </w:p>
        </w:tc>
        <w:tc>
          <w:tcPr>
            <w:tcW w:w="0" w:type="auto"/>
            <w:shd w:val="clear" w:color="auto" w:fill="auto"/>
            <w:vAlign w:val="bottom"/>
          </w:tcPr>
          <w:p w14:paraId="442F709B" w14:textId="77777777" w:rsidR="00CC25B5" w:rsidRDefault="00CC25B5">
            <w:pPr>
              <w:rPr>
                <w:rFonts w:ascii="宋体"/>
                <w:vanish/>
              </w:rPr>
            </w:pPr>
          </w:p>
        </w:tc>
        <w:tc>
          <w:tcPr>
            <w:tcW w:w="0" w:type="auto"/>
            <w:shd w:val="clear" w:color="auto" w:fill="auto"/>
            <w:vAlign w:val="bottom"/>
          </w:tcPr>
          <w:p w14:paraId="442F709C" w14:textId="77777777" w:rsidR="00CC25B5" w:rsidRDefault="00CC25B5">
            <w:pPr>
              <w:rPr>
                <w:rFonts w:ascii="宋体"/>
                <w:vanish/>
              </w:rPr>
            </w:pPr>
          </w:p>
        </w:tc>
      </w:tr>
      <w:tr w:rsidR="00CC25B5" w14:paraId="442F70B1" w14:textId="77777777">
        <w:trPr>
          <w:jc w:val="center"/>
          <w:hidden/>
        </w:trPr>
        <w:tc>
          <w:tcPr>
            <w:tcW w:w="0" w:type="auto"/>
            <w:gridSpan w:val="3"/>
            <w:shd w:val="clear" w:color="auto" w:fill="auto"/>
            <w:vAlign w:val="bottom"/>
          </w:tcPr>
          <w:p w14:paraId="442F709E" w14:textId="77777777" w:rsidR="00CC25B5" w:rsidRDefault="00CC25B5">
            <w:pPr>
              <w:rPr>
                <w:rFonts w:ascii="宋体"/>
                <w:vanish/>
              </w:rPr>
            </w:pPr>
          </w:p>
        </w:tc>
        <w:tc>
          <w:tcPr>
            <w:tcW w:w="0" w:type="auto"/>
            <w:gridSpan w:val="3"/>
            <w:shd w:val="clear" w:color="auto" w:fill="auto"/>
            <w:vAlign w:val="bottom"/>
          </w:tcPr>
          <w:p w14:paraId="442F709F" w14:textId="77777777" w:rsidR="00CC25B5" w:rsidRDefault="00CC25B5">
            <w:pPr>
              <w:rPr>
                <w:rFonts w:ascii="宋体"/>
                <w:vanish/>
              </w:rPr>
            </w:pPr>
          </w:p>
        </w:tc>
        <w:tc>
          <w:tcPr>
            <w:tcW w:w="0" w:type="auto"/>
            <w:gridSpan w:val="3"/>
            <w:shd w:val="clear" w:color="auto" w:fill="auto"/>
            <w:vAlign w:val="bottom"/>
          </w:tcPr>
          <w:p w14:paraId="442F70A0" w14:textId="77777777" w:rsidR="00CC25B5" w:rsidRDefault="00CC25B5">
            <w:pPr>
              <w:rPr>
                <w:rFonts w:ascii="宋体"/>
                <w:vanish/>
              </w:rPr>
            </w:pPr>
          </w:p>
        </w:tc>
        <w:tc>
          <w:tcPr>
            <w:tcW w:w="0" w:type="auto"/>
            <w:gridSpan w:val="3"/>
            <w:shd w:val="clear" w:color="auto" w:fill="auto"/>
            <w:vAlign w:val="bottom"/>
          </w:tcPr>
          <w:p w14:paraId="442F70A1" w14:textId="77777777" w:rsidR="00CC25B5" w:rsidRDefault="00CC25B5">
            <w:pPr>
              <w:rPr>
                <w:rFonts w:ascii="宋体"/>
                <w:vanish/>
              </w:rPr>
            </w:pPr>
          </w:p>
        </w:tc>
        <w:tc>
          <w:tcPr>
            <w:tcW w:w="0" w:type="auto"/>
            <w:gridSpan w:val="3"/>
            <w:shd w:val="clear" w:color="auto" w:fill="auto"/>
            <w:vAlign w:val="bottom"/>
          </w:tcPr>
          <w:p w14:paraId="442F70A2" w14:textId="77777777" w:rsidR="00CC25B5" w:rsidRDefault="00CC25B5">
            <w:pPr>
              <w:rPr>
                <w:rFonts w:ascii="宋体"/>
                <w:vanish/>
              </w:rPr>
            </w:pPr>
          </w:p>
        </w:tc>
        <w:tc>
          <w:tcPr>
            <w:tcW w:w="0" w:type="auto"/>
            <w:gridSpan w:val="3"/>
            <w:shd w:val="clear" w:color="auto" w:fill="auto"/>
            <w:vAlign w:val="bottom"/>
          </w:tcPr>
          <w:p w14:paraId="442F70A3" w14:textId="77777777" w:rsidR="00CC25B5" w:rsidRDefault="00CC25B5">
            <w:pPr>
              <w:rPr>
                <w:rFonts w:ascii="宋体"/>
                <w:vanish/>
              </w:rPr>
            </w:pPr>
          </w:p>
        </w:tc>
        <w:tc>
          <w:tcPr>
            <w:tcW w:w="0" w:type="auto"/>
            <w:gridSpan w:val="3"/>
            <w:shd w:val="clear" w:color="auto" w:fill="auto"/>
            <w:vAlign w:val="bottom"/>
          </w:tcPr>
          <w:p w14:paraId="442F70A4" w14:textId="77777777" w:rsidR="00CC25B5" w:rsidRDefault="00CC25B5">
            <w:pPr>
              <w:rPr>
                <w:rFonts w:ascii="宋体"/>
                <w:vanish/>
              </w:rPr>
            </w:pPr>
          </w:p>
        </w:tc>
        <w:tc>
          <w:tcPr>
            <w:tcW w:w="0" w:type="auto"/>
            <w:gridSpan w:val="3"/>
            <w:shd w:val="clear" w:color="auto" w:fill="auto"/>
            <w:vAlign w:val="bottom"/>
          </w:tcPr>
          <w:p w14:paraId="442F70A5" w14:textId="77777777" w:rsidR="00CC25B5" w:rsidRDefault="00CC25B5">
            <w:pPr>
              <w:rPr>
                <w:rFonts w:ascii="宋体"/>
                <w:vanish/>
              </w:rPr>
            </w:pPr>
          </w:p>
        </w:tc>
        <w:tc>
          <w:tcPr>
            <w:tcW w:w="0" w:type="auto"/>
            <w:gridSpan w:val="3"/>
            <w:shd w:val="clear" w:color="auto" w:fill="auto"/>
            <w:vAlign w:val="bottom"/>
          </w:tcPr>
          <w:p w14:paraId="442F70A6" w14:textId="77777777" w:rsidR="00CC25B5" w:rsidRDefault="00CC25B5">
            <w:pPr>
              <w:rPr>
                <w:rFonts w:ascii="宋体"/>
                <w:vanish/>
              </w:rPr>
            </w:pPr>
          </w:p>
        </w:tc>
        <w:tc>
          <w:tcPr>
            <w:tcW w:w="0" w:type="auto"/>
            <w:gridSpan w:val="3"/>
            <w:shd w:val="clear" w:color="auto" w:fill="auto"/>
            <w:vAlign w:val="bottom"/>
          </w:tcPr>
          <w:p w14:paraId="442F70A7" w14:textId="77777777" w:rsidR="00CC25B5" w:rsidRDefault="00CC25B5">
            <w:pPr>
              <w:rPr>
                <w:rFonts w:ascii="宋体"/>
                <w:vanish/>
              </w:rPr>
            </w:pPr>
          </w:p>
        </w:tc>
        <w:tc>
          <w:tcPr>
            <w:tcW w:w="0" w:type="auto"/>
            <w:gridSpan w:val="3"/>
            <w:shd w:val="clear" w:color="auto" w:fill="auto"/>
            <w:vAlign w:val="bottom"/>
          </w:tcPr>
          <w:p w14:paraId="442F70A8" w14:textId="77777777" w:rsidR="00CC25B5" w:rsidRDefault="00CC25B5">
            <w:pPr>
              <w:rPr>
                <w:rFonts w:ascii="宋体"/>
                <w:vanish/>
              </w:rPr>
            </w:pPr>
          </w:p>
        </w:tc>
        <w:tc>
          <w:tcPr>
            <w:tcW w:w="0" w:type="auto"/>
            <w:gridSpan w:val="3"/>
            <w:shd w:val="clear" w:color="auto" w:fill="auto"/>
            <w:vAlign w:val="bottom"/>
          </w:tcPr>
          <w:p w14:paraId="442F70A9" w14:textId="77777777" w:rsidR="00CC25B5" w:rsidRDefault="00CC25B5">
            <w:pPr>
              <w:rPr>
                <w:rFonts w:ascii="宋体"/>
                <w:vanish/>
              </w:rPr>
            </w:pPr>
          </w:p>
        </w:tc>
        <w:tc>
          <w:tcPr>
            <w:tcW w:w="0" w:type="auto"/>
            <w:gridSpan w:val="3"/>
            <w:shd w:val="clear" w:color="auto" w:fill="auto"/>
            <w:vAlign w:val="bottom"/>
          </w:tcPr>
          <w:p w14:paraId="442F70AA" w14:textId="77777777" w:rsidR="00CC25B5" w:rsidRDefault="00CC25B5">
            <w:pPr>
              <w:rPr>
                <w:rFonts w:ascii="宋体"/>
                <w:vanish/>
              </w:rPr>
            </w:pPr>
          </w:p>
        </w:tc>
        <w:tc>
          <w:tcPr>
            <w:tcW w:w="0" w:type="auto"/>
            <w:gridSpan w:val="3"/>
            <w:shd w:val="clear" w:color="auto" w:fill="auto"/>
            <w:vAlign w:val="bottom"/>
          </w:tcPr>
          <w:p w14:paraId="442F70AB" w14:textId="77777777" w:rsidR="00CC25B5" w:rsidRDefault="00CC25B5">
            <w:pPr>
              <w:rPr>
                <w:rFonts w:ascii="宋体"/>
                <w:vanish/>
              </w:rPr>
            </w:pPr>
          </w:p>
        </w:tc>
        <w:tc>
          <w:tcPr>
            <w:tcW w:w="0" w:type="auto"/>
            <w:gridSpan w:val="3"/>
            <w:shd w:val="clear" w:color="auto" w:fill="auto"/>
            <w:vAlign w:val="bottom"/>
          </w:tcPr>
          <w:p w14:paraId="442F70AC" w14:textId="77777777" w:rsidR="00CC25B5" w:rsidRDefault="00CC25B5">
            <w:pPr>
              <w:rPr>
                <w:rFonts w:ascii="宋体"/>
                <w:vanish/>
              </w:rPr>
            </w:pPr>
          </w:p>
        </w:tc>
        <w:tc>
          <w:tcPr>
            <w:tcW w:w="0" w:type="auto"/>
            <w:gridSpan w:val="3"/>
            <w:shd w:val="clear" w:color="auto" w:fill="auto"/>
            <w:vAlign w:val="bottom"/>
          </w:tcPr>
          <w:p w14:paraId="442F70AD" w14:textId="77777777" w:rsidR="00CC25B5" w:rsidRDefault="00CC25B5">
            <w:pPr>
              <w:rPr>
                <w:rFonts w:ascii="宋体"/>
                <w:vanish/>
              </w:rPr>
            </w:pPr>
          </w:p>
        </w:tc>
        <w:tc>
          <w:tcPr>
            <w:tcW w:w="0" w:type="auto"/>
            <w:shd w:val="clear" w:color="auto" w:fill="auto"/>
            <w:vAlign w:val="bottom"/>
          </w:tcPr>
          <w:p w14:paraId="442F70AE" w14:textId="77777777" w:rsidR="00CC25B5" w:rsidRDefault="00CC25B5">
            <w:pPr>
              <w:rPr>
                <w:rFonts w:ascii="宋体"/>
                <w:vanish/>
              </w:rPr>
            </w:pPr>
          </w:p>
        </w:tc>
        <w:tc>
          <w:tcPr>
            <w:tcW w:w="0" w:type="auto"/>
            <w:shd w:val="clear" w:color="auto" w:fill="auto"/>
            <w:vAlign w:val="bottom"/>
          </w:tcPr>
          <w:p w14:paraId="442F70AF" w14:textId="77777777" w:rsidR="00CC25B5" w:rsidRDefault="00CC25B5">
            <w:pPr>
              <w:rPr>
                <w:rFonts w:ascii="宋体"/>
                <w:vanish/>
              </w:rPr>
            </w:pPr>
          </w:p>
        </w:tc>
        <w:tc>
          <w:tcPr>
            <w:tcW w:w="0" w:type="auto"/>
            <w:shd w:val="clear" w:color="auto" w:fill="auto"/>
            <w:vAlign w:val="bottom"/>
          </w:tcPr>
          <w:p w14:paraId="442F70B0" w14:textId="77777777" w:rsidR="00CC25B5" w:rsidRDefault="00CC25B5">
            <w:pPr>
              <w:rPr>
                <w:rFonts w:ascii="宋体"/>
                <w:vanish/>
              </w:rPr>
            </w:pPr>
          </w:p>
        </w:tc>
      </w:tr>
      <w:tr w:rsidR="00CC25B5" w14:paraId="442F70C5" w14:textId="77777777">
        <w:trPr>
          <w:jc w:val="center"/>
          <w:hidden/>
        </w:trPr>
        <w:tc>
          <w:tcPr>
            <w:tcW w:w="0" w:type="auto"/>
            <w:gridSpan w:val="3"/>
            <w:shd w:val="clear" w:color="auto" w:fill="auto"/>
            <w:vAlign w:val="bottom"/>
          </w:tcPr>
          <w:p w14:paraId="442F70B2" w14:textId="77777777" w:rsidR="00CC25B5" w:rsidRDefault="00CC25B5">
            <w:pPr>
              <w:rPr>
                <w:rFonts w:ascii="宋体"/>
                <w:vanish/>
              </w:rPr>
            </w:pPr>
          </w:p>
        </w:tc>
        <w:tc>
          <w:tcPr>
            <w:tcW w:w="0" w:type="auto"/>
            <w:gridSpan w:val="3"/>
            <w:shd w:val="clear" w:color="auto" w:fill="auto"/>
            <w:vAlign w:val="bottom"/>
          </w:tcPr>
          <w:p w14:paraId="442F70B3" w14:textId="77777777" w:rsidR="00CC25B5" w:rsidRDefault="00CC25B5">
            <w:pPr>
              <w:rPr>
                <w:rFonts w:ascii="宋体"/>
                <w:vanish/>
              </w:rPr>
            </w:pPr>
          </w:p>
        </w:tc>
        <w:tc>
          <w:tcPr>
            <w:tcW w:w="0" w:type="auto"/>
            <w:gridSpan w:val="3"/>
            <w:shd w:val="clear" w:color="auto" w:fill="auto"/>
            <w:vAlign w:val="bottom"/>
          </w:tcPr>
          <w:p w14:paraId="442F70B4" w14:textId="77777777" w:rsidR="00CC25B5" w:rsidRDefault="00CC25B5">
            <w:pPr>
              <w:rPr>
                <w:rFonts w:ascii="宋体"/>
                <w:vanish/>
              </w:rPr>
            </w:pPr>
          </w:p>
        </w:tc>
        <w:tc>
          <w:tcPr>
            <w:tcW w:w="0" w:type="auto"/>
            <w:gridSpan w:val="3"/>
            <w:shd w:val="clear" w:color="auto" w:fill="auto"/>
            <w:vAlign w:val="bottom"/>
          </w:tcPr>
          <w:p w14:paraId="442F70B5" w14:textId="77777777" w:rsidR="00CC25B5" w:rsidRDefault="00CC25B5">
            <w:pPr>
              <w:rPr>
                <w:rFonts w:ascii="宋体"/>
                <w:vanish/>
              </w:rPr>
            </w:pPr>
          </w:p>
        </w:tc>
        <w:tc>
          <w:tcPr>
            <w:tcW w:w="0" w:type="auto"/>
            <w:gridSpan w:val="3"/>
            <w:shd w:val="clear" w:color="auto" w:fill="auto"/>
            <w:vAlign w:val="bottom"/>
          </w:tcPr>
          <w:p w14:paraId="442F70B6" w14:textId="77777777" w:rsidR="00CC25B5" w:rsidRDefault="00CC25B5">
            <w:pPr>
              <w:rPr>
                <w:rFonts w:ascii="宋体"/>
                <w:vanish/>
              </w:rPr>
            </w:pPr>
          </w:p>
        </w:tc>
        <w:tc>
          <w:tcPr>
            <w:tcW w:w="0" w:type="auto"/>
            <w:gridSpan w:val="3"/>
            <w:shd w:val="clear" w:color="auto" w:fill="auto"/>
            <w:vAlign w:val="bottom"/>
          </w:tcPr>
          <w:p w14:paraId="442F70B7" w14:textId="77777777" w:rsidR="00CC25B5" w:rsidRDefault="00CC25B5">
            <w:pPr>
              <w:rPr>
                <w:rFonts w:ascii="宋体"/>
                <w:vanish/>
              </w:rPr>
            </w:pPr>
          </w:p>
        </w:tc>
        <w:tc>
          <w:tcPr>
            <w:tcW w:w="0" w:type="auto"/>
            <w:gridSpan w:val="3"/>
            <w:shd w:val="clear" w:color="auto" w:fill="auto"/>
            <w:vAlign w:val="bottom"/>
          </w:tcPr>
          <w:p w14:paraId="442F70B8" w14:textId="77777777" w:rsidR="00CC25B5" w:rsidRDefault="00CC25B5">
            <w:pPr>
              <w:rPr>
                <w:rFonts w:ascii="宋体"/>
                <w:vanish/>
              </w:rPr>
            </w:pPr>
          </w:p>
        </w:tc>
        <w:tc>
          <w:tcPr>
            <w:tcW w:w="0" w:type="auto"/>
            <w:gridSpan w:val="3"/>
            <w:shd w:val="clear" w:color="auto" w:fill="auto"/>
            <w:vAlign w:val="bottom"/>
          </w:tcPr>
          <w:p w14:paraId="442F70B9" w14:textId="77777777" w:rsidR="00CC25B5" w:rsidRDefault="00CC25B5">
            <w:pPr>
              <w:rPr>
                <w:rFonts w:ascii="宋体"/>
                <w:vanish/>
              </w:rPr>
            </w:pPr>
          </w:p>
        </w:tc>
        <w:tc>
          <w:tcPr>
            <w:tcW w:w="0" w:type="auto"/>
            <w:gridSpan w:val="3"/>
            <w:shd w:val="clear" w:color="auto" w:fill="auto"/>
            <w:vAlign w:val="bottom"/>
          </w:tcPr>
          <w:p w14:paraId="442F70BA" w14:textId="77777777" w:rsidR="00CC25B5" w:rsidRDefault="00CC25B5">
            <w:pPr>
              <w:rPr>
                <w:rFonts w:ascii="宋体"/>
                <w:vanish/>
              </w:rPr>
            </w:pPr>
          </w:p>
        </w:tc>
        <w:tc>
          <w:tcPr>
            <w:tcW w:w="0" w:type="auto"/>
            <w:gridSpan w:val="3"/>
            <w:shd w:val="clear" w:color="auto" w:fill="auto"/>
            <w:vAlign w:val="bottom"/>
          </w:tcPr>
          <w:p w14:paraId="442F70BB" w14:textId="77777777" w:rsidR="00CC25B5" w:rsidRDefault="00CC25B5">
            <w:pPr>
              <w:rPr>
                <w:rFonts w:ascii="宋体"/>
                <w:vanish/>
              </w:rPr>
            </w:pPr>
          </w:p>
        </w:tc>
        <w:tc>
          <w:tcPr>
            <w:tcW w:w="0" w:type="auto"/>
            <w:gridSpan w:val="3"/>
            <w:shd w:val="clear" w:color="auto" w:fill="auto"/>
            <w:vAlign w:val="bottom"/>
          </w:tcPr>
          <w:p w14:paraId="442F70BC" w14:textId="77777777" w:rsidR="00CC25B5" w:rsidRDefault="00CC25B5">
            <w:pPr>
              <w:rPr>
                <w:rFonts w:ascii="宋体"/>
                <w:vanish/>
              </w:rPr>
            </w:pPr>
          </w:p>
        </w:tc>
        <w:tc>
          <w:tcPr>
            <w:tcW w:w="0" w:type="auto"/>
            <w:gridSpan w:val="3"/>
            <w:shd w:val="clear" w:color="auto" w:fill="auto"/>
            <w:vAlign w:val="bottom"/>
          </w:tcPr>
          <w:p w14:paraId="442F70BD" w14:textId="77777777" w:rsidR="00CC25B5" w:rsidRDefault="00CC25B5">
            <w:pPr>
              <w:rPr>
                <w:rFonts w:ascii="宋体"/>
                <w:vanish/>
              </w:rPr>
            </w:pPr>
          </w:p>
        </w:tc>
        <w:tc>
          <w:tcPr>
            <w:tcW w:w="0" w:type="auto"/>
            <w:gridSpan w:val="3"/>
            <w:shd w:val="clear" w:color="auto" w:fill="auto"/>
            <w:vAlign w:val="bottom"/>
          </w:tcPr>
          <w:p w14:paraId="442F70BE" w14:textId="77777777" w:rsidR="00CC25B5" w:rsidRDefault="00CC25B5">
            <w:pPr>
              <w:rPr>
                <w:rFonts w:ascii="宋体"/>
                <w:vanish/>
              </w:rPr>
            </w:pPr>
          </w:p>
        </w:tc>
        <w:tc>
          <w:tcPr>
            <w:tcW w:w="0" w:type="auto"/>
            <w:gridSpan w:val="3"/>
            <w:shd w:val="clear" w:color="auto" w:fill="auto"/>
            <w:vAlign w:val="bottom"/>
          </w:tcPr>
          <w:p w14:paraId="442F70BF" w14:textId="77777777" w:rsidR="00CC25B5" w:rsidRDefault="00CC25B5">
            <w:pPr>
              <w:rPr>
                <w:rFonts w:ascii="宋体"/>
                <w:vanish/>
              </w:rPr>
            </w:pPr>
          </w:p>
        </w:tc>
        <w:tc>
          <w:tcPr>
            <w:tcW w:w="0" w:type="auto"/>
            <w:gridSpan w:val="3"/>
            <w:shd w:val="clear" w:color="auto" w:fill="auto"/>
            <w:vAlign w:val="bottom"/>
          </w:tcPr>
          <w:p w14:paraId="442F70C0" w14:textId="77777777" w:rsidR="00CC25B5" w:rsidRDefault="00CC25B5">
            <w:pPr>
              <w:rPr>
                <w:rFonts w:ascii="宋体"/>
                <w:vanish/>
              </w:rPr>
            </w:pPr>
          </w:p>
        </w:tc>
        <w:tc>
          <w:tcPr>
            <w:tcW w:w="0" w:type="auto"/>
            <w:gridSpan w:val="3"/>
            <w:shd w:val="clear" w:color="auto" w:fill="auto"/>
            <w:vAlign w:val="bottom"/>
          </w:tcPr>
          <w:p w14:paraId="442F70C1" w14:textId="77777777" w:rsidR="00CC25B5" w:rsidRDefault="00CC25B5">
            <w:pPr>
              <w:rPr>
                <w:rFonts w:ascii="宋体"/>
                <w:vanish/>
              </w:rPr>
            </w:pPr>
          </w:p>
        </w:tc>
        <w:tc>
          <w:tcPr>
            <w:tcW w:w="0" w:type="auto"/>
            <w:shd w:val="clear" w:color="auto" w:fill="auto"/>
            <w:vAlign w:val="bottom"/>
          </w:tcPr>
          <w:p w14:paraId="442F70C2" w14:textId="77777777" w:rsidR="00CC25B5" w:rsidRDefault="00CC25B5">
            <w:pPr>
              <w:rPr>
                <w:rFonts w:ascii="宋体"/>
                <w:vanish/>
              </w:rPr>
            </w:pPr>
          </w:p>
        </w:tc>
        <w:tc>
          <w:tcPr>
            <w:tcW w:w="0" w:type="auto"/>
            <w:shd w:val="clear" w:color="auto" w:fill="auto"/>
            <w:vAlign w:val="bottom"/>
          </w:tcPr>
          <w:p w14:paraId="442F70C3" w14:textId="77777777" w:rsidR="00CC25B5" w:rsidRDefault="00CC25B5">
            <w:pPr>
              <w:rPr>
                <w:rFonts w:ascii="宋体"/>
                <w:vanish/>
              </w:rPr>
            </w:pPr>
          </w:p>
        </w:tc>
        <w:tc>
          <w:tcPr>
            <w:tcW w:w="0" w:type="auto"/>
            <w:shd w:val="clear" w:color="auto" w:fill="auto"/>
            <w:vAlign w:val="bottom"/>
          </w:tcPr>
          <w:p w14:paraId="442F70C4" w14:textId="77777777" w:rsidR="00CC25B5" w:rsidRDefault="00CC25B5">
            <w:pPr>
              <w:rPr>
                <w:rFonts w:ascii="宋体"/>
                <w:vanish/>
              </w:rPr>
            </w:pPr>
          </w:p>
        </w:tc>
      </w:tr>
      <w:tr w:rsidR="00CC25B5" w14:paraId="442F70D9" w14:textId="77777777">
        <w:trPr>
          <w:jc w:val="center"/>
          <w:hidden/>
        </w:trPr>
        <w:tc>
          <w:tcPr>
            <w:tcW w:w="0" w:type="auto"/>
            <w:gridSpan w:val="3"/>
            <w:shd w:val="clear" w:color="auto" w:fill="auto"/>
            <w:vAlign w:val="bottom"/>
          </w:tcPr>
          <w:p w14:paraId="442F70C6" w14:textId="77777777" w:rsidR="00CC25B5" w:rsidRDefault="00CC25B5">
            <w:pPr>
              <w:rPr>
                <w:rFonts w:ascii="宋体"/>
                <w:vanish/>
              </w:rPr>
            </w:pPr>
          </w:p>
        </w:tc>
        <w:tc>
          <w:tcPr>
            <w:tcW w:w="0" w:type="auto"/>
            <w:gridSpan w:val="3"/>
            <w:shd w:val="clear" w:color="auto" w:fill="auto"/>
            <w:vAlign w:val="bottom"/>
          </w:tcPr>
          <w:p w14:paraId="442F70C7" w14:textId="77777777" w:rsidR="00CC25B5" w:rsidRDefault="00CC25B5">
            <w:pPr>
              <w:rPr>
                <w:rFonts w:ascii="宋体"/>
                <w:vanish/>
              </w:rPr>
            </w:pPr>
          </w:p>
        </w:tc>
        <w:tc>
          <w:tcPr>
            <w:tcW w:w="0" w:type="auto"/>
            <w:gridSpan w:val="3"/>
            <w:shd w:val="clear" w:color="auto" w:fill="auto"/>
            <w:vAlign w:val="bottom"/>
          </w:tcPr>
          <w:p w14:paraId="442F70C8" w14:textId="77777777" w:rsidR="00CC25B5" w:rsidRDefault="00CC25B5">
            <w:pPr>
              <w:rPr>
                <w:rFonts w:ascii="宋体"/>
                <w:vanish/>
              </w:rPr>
            </w:pPr>
          </w:p>
        </w:tc>
        <w:tc>
          <w:tcPr>
            <w:tcW w:w="0" w:type="auto"/>
            <w:gridSpan w:val="3"/>
            <w:shd w:val="clear" w:color="auto" w:fill="auto"/>
            <w:vAlign w:val="bottom"/>
          </w:tcPr>
          <w:p w14:paraId="442F70C9" w14:textId="77777777" w:rsidR="00CC25B5" w:rsidRDefault="00CC25B5">
            <w:pPr>
              <w:rPr>
                <w:rFonts w:ascii="宋体"/>
                <w:vanish/>
              </w:rPr>
            </w:pPr>
          </w:p>
        </w:tc>
        <w:tc>
          <w:tcPr>
            <w:tcW w:w="0" w:type="auto"/>
            <w:gridSpan w:val="3"/>
            <w:shd w:val="clear" w:color="auto" w:fill="auto"/>
            <w:vAlign w:val="bottom"/>
          </w:tcPr>
          <w:p w14:paraId="442F70CA" w14:textId="77777777" w:rsidR="00CC25B5" w:rsidRDefault="00CC25B5">
            <w:pPr>
              <w:rPr>
                <w:rFonts w:ascii="宋体"/>
                <w:vanish/>
              </w:rPr>
            </w:pPr>
          </w:p>
        </w:tc>
        <w:tc>
          <w:tcPr>
            <w:tcW w:w="0" w:type="auto"/>
            <w:gridSpan w:val="3"/>
            <w:shd w:val="clear" w:color="auto" w:fill="auto"/>
            <w:vAlign w:val="bottom"/>
          </w:tcPr>
          <w:p w14:paraId="442F70CB" w14:textId="77777777" w:rsidR="00CC25B5" w:rsidRDefault="00CC25B5">
            <w:pPr>
              <w:rPr>
                <w:rFonts w:ascii="宋体"/>
                <w:vanish/>
              </w:rPr>
            </w:pPr>
          </w:p>
        </w:tc>
        <w:tc>
          <w:tcPr>
            <w:tcW w:w="0" w:type="auto"/>
            <w:gridSpan w:val="3"/>
            <w:shd w:val="clear" w:color="auto" w:fill="auto"/>
            <w:vAlign w:val="bottom"/>
          </w:tcPr>
          <w:p w14:paraId="442F70CC" w14:textId="77777777" w:rsidR="00CC25B5" w:rsidRDefault="00CC25B5">
            <w:pPr>
              <w:rPr>
                <w:rFonts w:ascii="宋体"/>
                <w:vanish/>
              </w:rPr>
            </w:pPr>
          </w:p>
        </w:tc>
        <w:tc>
          <w:tcPr>
            <w:tcW w:w="0" w:type="auto"/>
            <w:gridSpan w:val="3"/>
            <w:shd w:val="clear" w:color="auto" w:fill="auto"/>
            <w:vAlign w:val="bottom"/>
          </w:tcPr>
          <w:p w14:paraId="442F70CD" w14:textId="77777777" w:rsidR="00CC25B5" w:rsidRDefault="00CC25B5">
            <w:pPr>
              <w:rPr>
                <w:rFonts w:ascii="宋体"/>
                <w:vanish/>
              </w:rPr>
            </w:pPr>
          </w:p>
        </w:tc>
        <w:tc>
          <w:tcPr>
            <w:tcW w:w="0" w:type="auto"/>
            <w:gridSpan w:val="3"/>
            <w:shd w:val="clear" w:color="auto" w:fill="auto"/>
            <w:vAlign w:val="bottom"/>
          </w:tcPr>
          <w:p w14:paraId="442F70CE" w14:textId="77777777" w:rsidR="00CC25B5" w:rsidRDefault="00CC25B5">
            <w:pPr>
              <w:rPr>
                <w:rFonts w:ascii="宋体"/>
                <w:vanish/>
              </w:rPr>
            </w:pPr>
          </w:p>
        </w:tc>
        <w:tc>
          <w:tcPr>
            <w:tcW w:w="0" w:type="auto"/>
            <w:gridSpan w:val="3"/>
            <w:shd w:val="clear" w:color="auto" w:fill="auto"/>
            <w:vAlign w:val="bottom"/>
          </w:tcPr>
          <w:p w14:paraId="442F70CF" w14:textId="77777777" w:rsidR="00CC25B5" w:rsidRDefault="00CC25B5">
            <w:pPr>
              <w:rPr>
                <w:rFonts w:ascii="宋体"/>
                <w:vanish/>
              </w:rPr>
            </w:pPr>
          </w:p>
        </w:tc>
        <w:tc>
          <w:tcPr>
            <w:tcW w:w="0" w:type="auto"/>
            <w:gridSpan w:val="3"/>
            <w:shd w:val="clear" w:color="auto" w:fill="auto"/>
            <w:vAlign w:val="bottom"/>
          </w:tcPr>
          <w:p w14:paraId="442F70D0" w14:textId="77777777" w:rsidR="00CC25B5" w:rsidRDefault="00CC25B5">
            <w:pPr>
              <w:rPr>
                <w:rFonts w:ascii="宋体"/>
                <w:vanish/>
              </w:rPr>
            </w:pPr>
          </w:p>
        </w:tc>
        <w:tc>
          <w:tcPr>
            <w:tcW w:w="0" w:type="auto"/>
            <w:gridSpan w:val="3"/>
            <w:shd w:val="clear" w:color="auto" w:fill="auto"/>
            <w:vAlign w:val="bottom"/>
          </w:tcPr>
          <w:p w14:paraId="442F70D1" w14:textId="77777777" w:rsidR="00CC25B5" w:rsidRDefault="00CC25B5">
            <w:pPr>
              <w:rPr>
                <w:rFonts w:ascii="宋体"/>
                <w:vanish/>
              </w:rPr>
            </w:pPr>
          </w:p>
        </w:tc>
        <w:tc>
          <w:tcPr>
            <w:tcW w:w="0" w:type="auto"/>
            <w:gridSpan w:val="3"/>
            <w:shd w:val="clear" w:color="auto" w:fill="auto"/>
            <w:vAlign w:val="bottom"/>
          </w:tcPr>
          <w:p w14:paraId="442F70D2" w14:textId="77777777" w:rsidR="00CC25B5" w:rsidRDefault="00CC25B5">
            <w:pPr>
              <w:rPr>
                <w:rFonts w:ascii="宋体"/>
                <w:vanish/>
              </w:rPr>
            </w:pPr>
          </w:p>
        </w:tc>
        <w:tc>
          <w:tcPr>
            <w:tcW w:w="0" w:type="auto"/>
            <w:gridSpan w:val="3"/>
            <w:shd w:val="clear" w:color="auto" w:fill="auto"/>
            <w:vAlign w:val="bottom"/>
          </w:tcPr>
          <w:p w14:paraId="442F70D3" w14:textId="77777777" w:rsidR="00CC25B5" w:rsidRDefault="00CC25B5">
            <w:pPr>
              <w:rPr>
                <w:rFonts w:ascii="宋体"/>
                <w:vanish/>
              </w:rPr>
            </w:pPr>
          </w:p>
        </w:tc>
        <w:tc>
          <w:tcPr>
            <w:tcW w:w="0" w:type="auto"/>
            <w:gridSpan w:val="3"/>
            <w:shd w:val="clear" w:color="auto" w:fill="auto"/>
            <w:vAlign w:val="bottom"/>
          </w:tcPr>
          <w:p w14:paraId="442F70D4" w14:textId="77777777" w:rsidR="00CC25B5" w:rsidRDefault="00CC25B5">
            <w:pPr>
              <w:rPr>
                <w:rFonts w:ascii="宋体"/>
                <w:vanish/>
              </w:rPr>
            </w:pPr>
          </w:p>
        </w:tc>
        <w:tc>
          <w:tcPr>
            <w:tcW w:w="0" w:type="auto"/>
            <w:gridSpan w:val="3"/>
            <w:shd w:val="clear" w:color="auto" w:fill="auto"/>
            <w:vAlign w:val="bottom"/>
          </w:tcPr>
          <w:p w14:paraId="442F70D5" w14:textId="77777777" w:rsidR="00CC25B5" w:rsidRDefault="00CC25B5">
            <w:pPr>
              <w:rPr>
                <w:rFonts w:ascii="宋体"/>
                <w:vanish/>
              </w:rPr>
            </w:pPr>
          </w:p>
        </w:tc>
        <w:tc>
          <w:tcPr>
            <w:tcW w:w="0" w:type="auto"/>
            <w:shd w:val="clear" w:color="auto" w:fill="auto"/>
            <w:vAlign w:val="bottom"/>
          </w:tcPr>
          <w:p w14:paraId="442F70D6" w14:textId="77777777" w:rsidR="00CC25B5" w:rsidRDefault="00CC25B5">
            <w:pPr>
              <w:rPr>
                <w:rFonts w:ascii="宋体"/>
                <w:vanish/>
              </w:rPr>
            </w:pPr>
          </w:p>
        </w:tc>
        <w:tc>
          <w:tcPr>
            <w:tcW w:w="0" w:type="auto"/>
            <w:shd w:val="clear" w:color="auto" w:fill="auto"/>
            <w:vAlign w:val="bottom"/>
          </w:tcPr>
          <w:p w14:paraId="442F70D7" w14:textId="77777777" w:rsidR="00CC25B5" w:rsidRDefault="00CC25B5">
            <w:pPr>
              <w:rPr>
                <w:rFonts w:ascii="宋体"/>
                <w:vanish/>
              </w:rPr>
            </w:pPr>
          </w:p>
        </w:tc>
        <w:tc>
          <w:tcPr>
            <w:tcW w:w="0" w:type="auto"/>
            <w:shd w:val="clear" w:color="auto" w:fill="auto"/>
            <w:vAlign w:val="bottom"/>
          </w:tcPr>
          <w:p w14:paraId="442F70D8" w14:textId="77777777" w:rsidR="00CC25B5" w:rsidRDefault="00CC25B5">
            <w:pPr>
              <w:rPr>
                <w:rFonts w:ascii="宋体"/>
                <w:vanish/>
              </w:rPr>
            </w:pPr>
          </w:p>
        </w:tc>
      </w:tr>
      <w:tr w:rsidR="00CC25B5" w14:paraId="442F70ED" w14:textId="77777777">
        <w:trPr>
          <w:jc w:val="center"/>
          <w:hidden/>
        </w:trPr>
        <w:tc>
          <w:tcPr>
            <w:tcW w:w="0" w:type="auto"/>
            <w:gridSpan w:val="3"/>
            <w:shd w:val="clear" w:color="auto" w:fill="auto"/>
            <w:vAlign w:val="bottom"/>
          </w:tcPr>
          <w:p w14:paraId="442F70DA" w14:textId="77777777" w:rsidR="00CC25B5" w:rsidRDefault="00CC25B5">
            <w:pPr>
              <w:rPr>
                <w:rFonts w:ascii="宋体"/>
                <w:vanish/>
              </w:rPr>
            </w:pPr>
          </w:p>
        </w:tc>
        <w:tc>
          <w:tcPr>
            <w:tcW w:w="0" w:type="auto"/>
            <w:gridSpan w:val="3"/>
            <w:shd w:val="clear" w:color="auto" w:fill="auto"/>
            <w:vAlign w:val="bottom"/>
          </w:tcPr>
          <w:p w14:paraId="442F70DB" w14:textId="77777777" w:rsidR="00CC25B5" w:rsidRDefault="00CC25B5">
            <w:pPr>
              <w:rPr>
                <w:rFonts w:ascii="宋体"/>
                <w:vanish/>
              </w:rPr>
            </w:pPr>
          </w:p>
        </w:tc>
        <w:tc>
          <w:tcPr>
            <w:tcW w:w="0" w:type="auto"/>
            <w:gridSpan w:val="3"/>
            <w:shd w:val="clear" w:color="auto" w:fill="auto"/>
            <w:vAlign w:val="bottom"/>
          </w:tcPr>
          <w:p w14:paraId="442F70DC" w14:textId="77777777" w:rsidR="00CC25B5" w:rsidRDefault="00CC25B5">
            <w:pPr>
              <w:rPr>
                <w:rFonts w:ascii="宋体"/>
                <w:vanish/>
              </w:rPr>
            </w:pPr>
          </w:p>
        </w:tc>
        <w:tc>
          <w:tcPr>
            <w:tcW w:w="0" w:type="auto"/>
            <w:gridSpan w:val="3"/>
            <w:shd w:val="clear" w:color="auto" w:fill="auto"/>
            <w:vAlign w:val="bottom"/>
          </w:tcPr>
          <w:p w14:paraId="442F70DD" w14:textId="77777777" w:rsidR="00CC25B5" w:rsidRDefault="00CC25B5">
            <w:pPr>
              <w:rPr>
                <w:rFonts w:ascii="宋体"/>
                <w:vanish/>
              </w:rPr>
            </w:pPr>
          </w:p>
        </w:tc>
        <w:tc>
          <w:tcPr>
            <w:tcW w:w="0" w:type="auto"/>
            <w:gridSpan w:val="3"/>
            <w:shd w:val="clear" w:color="auto" w:fill="auto"/>
            <w:vAlign w:val="bottom"/>
          </w:tcPr>
          <w:p w14:paraId="442F70DE" w14:textId="77777777" w:rsidR="00CC25B5" w:rsidRDefault="00CC25B5">
            <w:pPr>
              <w:rPr>
                <w:rFonts w:ascii="宋体"/>
                <w:vanish/>
              </w:rPr>
            </w:pPr>
          </w:p>
        </w:tc>
        <w:tc>
          <w:tcPr>
            <w:tcW w:w="0" w:type="auto"/>
            <w:gridSpan w:val="3"/>
            <w:shd w:val="clear" w:color="auto" w:fill="auto"/>
            <w:vAlign w:val="bottom"/>
          </w:tcPr>
          <w:p w14:paraId="442F70DF" w14:textId="77777777" w:rsidR="00CC25B5" w:rsidRDefault="00CC25B5">
            <w:pPr>
              <w:rPr>
                <w:rFonts w:ascii="宋体"/>
                <w:vanish/>
              </w:rPr>
            </w:pPr>
          </w:p>
        </w:tc>
        <w:tc>
          <w:tcPr>
            <w:tcW w:w="0" w:type="auto"/>
            <w:gridSpan w:val="3"/>
            <w:shd w:val="clear" w:color="auto" w:fill="auto"/>
            <w:vAlign w:val="bottom"/>
          </w:tcPr>
          <w:p w14:paraId="442F70E0" w14:textId="77777777" w:rsidR="00CC25B5" w:rsidRDefault="00CC25B5">
            <w:pPr>
              <w:rPr>
                <w:rFonts w:ascii="宋体"/>
                <w:vanish/>
              </w:rPr>
            </w:pPr>
          </w:p>
        </w:tc>
        <w:tc>
          <w:tcPr>
            <w:tcW w:w="0" w:type="auto"/>
            <w:gridSpan w:val="3"/>
            <w:shd w:val="clear" w:color="auto" w:fill="auto"/>
            <w:vAlign w:val="bottom"/>
          </w:tcPr>
          <w:p w14:paraId="442F70E1" w14:textId="77777777" w:rsidR="00CC25B5" w:rsidRDefault="00CC25B5">
            <w:pPr>
              <w:rPr>
                <w:rFonts w:ascii="宋体"/>
                <w:vanish/>
              </w:rPr>
            </w:pPr>
          </w:p>
        </w:tc>
        <w:tc>
          <w:tcPr>
            <w:tcW w:w="0" w:type="auto"/>
            <w:gridSpan w:val="3"/>
            <w:shd w:val="clear" w:color="auto" w:fill="auto"/>
            <w:vAlign w:val="bottom"/>
          </w:tcPr>
          <w:p w14:paraId="442F70E2" w14:textId="77777777" w:rsidR="00CC25B5" w:rsidRDefault="00CC25B5">
            <w:pPr>
              <w:rPr>
                <w:rFonts w:ascii="宋体"/>
                <w:vanish/>
              </w:rPr>
            </w:pPr>
          </w:p>
        </w:tc>
        <w:tc>
          <w:tcPr>
            <w:tcW w:w="0" w:type="auto"/>
            <w:gridSpan w:val="3"/>
            <w:shd w:val="clear" w:color="auto" w:fill="auto"/>
            <w:vAlign w:val="bottom"/>
          </w:tcPr>
          <w:p w14:paraId="442F70E3" w14:textId="77777777" w:rsidR="00CC25B5" w:rsidRDefault="00CC25B5">
            <w:pPr>
              <w:rPr>
                <w:rFonts w:ascii="宋体"/>
                <w:vanish/>
              </w:rPr>
            </w:pPr>
          </w:p>
        </w:tc>
        <w:tc>
          <w:tcPr>
            <w:tcW w:w="0" w:type="auto"/>
            <w:gridSpan w:val="3"/>
            <w:shd w:val="clear" w:color="auto" w:fill="auto"/>
            <w:vAlign w:val="bottom"/>
          </w:tcPr>
          <w:p w14:paraId="442F70E4" w14:textId="77777777" w:rsidR="00CC25B5" w:rsidRDefault="00CC25B5">
            <w:pPr>
              <w:rPr>
                <w:rFonts w:ascii="宋体"/>
                <w:vanish/>
              </w:rPr>
            </w:pPr>
          </w:p>
        </w:tc>
        <w:tc>
          <w:tcPr>
            <w:tcW w:w="0" w:type="auto"/>
            <w:gridSpan w:val="3"/>
            <w:shd w:val="clear" w:color="auto" w:fill="auto"/>
            <w:vAlign w:val="bottom"/>
          </w:tcPr>
          <w:p w14:paraId="442F70E5" w14:textId="77777777" w:rsidR="00CC25B5" w:rsidRDefault="00CC25B5">
            <w:pPr>
              <w:rPr>
                <w:rFonts w:ascii="宋体"/>
                <w:vanish/>
              </w:rPr>
            </w:pPr>
          </w:p>
        </w:tc>
        <w:tc>
          <w:tcPr>
            <w:tcW w:w="0" w:type="auto"/>
            <w:gridSpan w:val="3"/>
            <w:shd w:val="clear" w:color="auto" w:fill="auto"/>
            <w:vAlign w:val="bottom"/>
          </w:tcPr>
          <w:p w14:paraId="442F70E6" w14:textId="77777777" w:rsidR="00CC25B5" w:rsidRDefault="00CC25B5">
            <w:pPr>
              <w:rPr>
                <w:rFonts w:ascii="宋体"/>
                <w:vanish/>
              </w:rPr>
            </w:pPr>
          </w:p>
        </w:tc>
        <w:tc>
          <w:tcPr>
            <w:tcW w:w="0" w:type="auto"/>
            <w:gridSpan w:val="3"/>
            <w:shd w:val="clear" w:color="auto" w:fill="auto"/>
            <w:vAlign w:val="bottom"/>
          </w:tcPr>
          <w:p w14:paraId="442F70E7" w14:textId="77777777" w:rsidR="00CC25B5" w:rsidRDefault="00CC25B5">
            <w:pPr>
              <w:rPr>
                <w:rFonts w:ascii="宋体"/>
                <w:vanish/>
              </w:rPr>
            </w:pPr>
          </w:p>
        </w:tc>
        <w:tc>
          <w:tcPr>
            <w:tcW w:w="0" w:type="auto"/>
            <w:gridSpan w:val="3"/>
            <w:shd w:val="clear" w:color="auto" w:fill="auto"/>
            <w:vAlign w:val="bottom"/>
          </w:tcPr>
          <w:p w14:paraId="442F70E8" w14:textId="77777777" w:rsidR="00CC25B5" w:rsidRDefault="00CC25B5">
            <w:pPr>
              <w:rPr>
                <w:rFonts w:ascii="宋体"/>
                <w:vanish/>
              </w:rPr>
            </w:pPr>
          </w:p>
        </w:tc>
        <w:tc>
          <w:tcPr>
            <w:tcW w:w="0" w:type="auto"/>
            <w:gridSpan w:val="3"/>
            <w:shd w:val="clear" w:color="auto" w:fill="auto"/>
            <w:vAlign w:val="bottom"/>
          </w:tcPr>
          <w:p w14:paraId="442F70E9" w14:textId="77777777" w:rsidR="00CC25B5" w:rsidRDefault="00CC25B5">
            <w:pPr>
              <w:rPr>
                <w:rFonts w:ascii="宋体"/>
                <w:vanish/>
              </w:rPr>
            </w:pPr>
          </w:p>
        </w:tc>
        <w:tc>
          <w:tcPr>
            <w:tcW w:w="0" w:type="auto"/>
            <w:shd w:val="clear" w:color="auto" w:fill="auto"/>
            <w:vAlign w:val="bottom"/>
          </w:tcPr>
          <w:p w14:paraId="442F70EA" w14:textId="77777777" w:rsidR="00CC25B5" w:rsidRDefault="00CC25B5">
            <w:pPr>
              <w:rPr>
                <w:rFonts w:ascii="宋体"/>
                <w:vanish/>
              </w:rPr>
            </w:pPr>
          </w:p>
        </w:tc>
        <w:tc>
          <w:tcPr>
            <w:tcW w:w="0" w:type="auto"/>
            <w:shd w:val="clear" w:color="auto" w:fill="auto"/>
            <w:vAlign w:val="bottom"/>
          </w:tcPr>
          <w:p w14:paraId="442F70EB" w14:textId="77777777" w:rsidR="00CC25B5" w:rsidRDefault="00CC25B5">
            <w:pPr>
              <w:rPr>
                <w:rFonts w:ascii="宋体"/>
                <w:vanish/>
              </w:rPr>
            </w:pPr>
          </w:p>
        </w:tc>
        <w:tc>
          <w:tcPr>
            <w:tcW w:w="0" w:type="auto"/>
            <w:shd w:val="clear" w:color="auto" w:fill="auto"/>
            <w:vAlign w:val="bottom"/>
          </w:tcPr>
          <w:p w14:paraId="442F70EC" w14:textId="77777777" w:rsidR="00CC25B5" w:rsidRDefault="00CC25B5">
            <w:pPr>
              <w:rPr>
                <w:rFonts w:ascii="宋体"/>
                <w:vanish/>
              </w:rPr>
            </w:pPr>
          </w:p>
        </w:tc>
      </w:tr>
      <w:tr w:rsidR="00CC25B5" w14:paraId="442F7101" w14:textId="77777777">
        <w:trPr>
          <w:jc w:val="center"/>
          <w:hidden/>
        </w:trPr>
        <w:tc>
          <w:tcPr>
            <w:tcW w:w="0" w:type="auto"/>
            <w:gridSpan w:val="3"/>
            <w:shd w:val="clear" w:color="auto" w:fill="auto"/>
            <w:vAlign w:val="bottom"/>
          </w:tcPr>
          <w:p w14:paraId="442F70EE" w14:textId="77777777" w:rsidR="00CC25B5" w:rsidRDefault="00CC25B5">
            <w:pPr>
              <w:rPr>
                <w:rFonts w:ascii="宋体"/>
                <w:vanish/>
              </w:rPr>
            </w:pPr>
          </w:p>
        </w:tc>
        <w:tc>
          <w:tcPr>
            <w:tcW w:w="0" w:type="auto"/>
            <w:gridSpan w:val="3"/>
            <w:shd w:val="clear" w:color="auto" w:fill="auto"/>
            <w:vAlign w:val="bottom"/>
          </w:tcPr>
          <w:p w14:paraId="442F70EF" w14:textId="77777777" w:rsidR="00CC25B5" w:rsidRDefault="00CC25B5">
            <w:pPr>
              <w:rPr>
                <w:rFonts w:ascii="宋体"/>
                <w:vanish/>
              </w:rPr>
            </w:pPr>
          </w:p>
        </w:tc>
        <w:tc>
          <w:tcPr>
            <w:tcW w:w="0" w:type="auto"/>
            <w:gridSpan w:val="3"/>
            <w:shd w:val="clear" w:color="auto" w:fill="auto"/>
            <w:vAlign w:val="bottom"/>
          </w:tcPr>
          <w:p w14:paraId="442F70F0" w14:textId="77777777" w:rsidR="00CC25B5" w:rsidRDefault="00CC25B5">
            <w:pPr>
              <w:rPr>
                <w:rFonts w:ascii="宋体"/>
                <w:vanish/>
              </w:rPr>
            </w:pPr>
          </w:p>
        </w:tc>
        <w:tc>
          <w:tcPr>
            <w:tcW w:w="0" w:type="auto"/>
            <w:gridSpan w:val="3"/>
            <w:shd w:val="clear" w:color="auto" w:fill="auto"/>
            <w:vAlign w:val="bottom"/>
          </w:tcPr>
          <w:p w14:paraId="442F70F1" w14:textId="77777777" w:rsidR="00CC25B5" w:rsidRDefault="00CC25B5">
            <w:pPr>
              <w:rPr>
                <w:rFonts w:ascii="宋体"/>
                <w:vanish/>
              </w:rPr>
            </w:pPr>
          </w:p>
        </w:tc>
        <w:tc>
          <w:tcPr>
            <w:tcW w:w="0" w:type="auto"/>
            <w:gridSpan w:val="3"/>
            <w:shd w:val="clear" w:color="auto" w:fill="auto"/>
            <w:vAlign w:val="bottom"/>
          </w:tcPr>
          <w:p w14:paraId="442F70F2" w14:textId="77777777" w:rsidR="00CC25B5" w:rsidRDefault="00CC25B5">
            <w:pPr>
              <w:rPr>
                <w:rFonts w:ascii="宋体"/>
                <w:vanish/>
              </w:rPr>
            </w:pPr>
          </w:p>
        </w:tc>
        <w:tc>
          <w:tcPr>
            <w:tcW w:w="0" w:type="auto"/>
            <w:gridSpan w:val="3"/>
            <w:shd w:val="clear" w:color="auto" w:fill="auto"/>
            <w:vAlign w:val="bottom"/>
          </w:tcPr>
          <w:p w14:paraId="442F70F3" w14:textId="77777777" w:rsidR="00CC25B5" w:rsidRDefault="00CC25B5">
            <w:pPr>
              <w:rPr>
                <w:rFonts w:ascii="宋体"/>
                <w:vanish/>
              </w:rPr>
            </w:pPr>
          </w:p>
        </w:tc>
        <w:tc>
          <w:tcPr>
            <w:tcW w:w="0" w:type="auto"/>
            <w:gridSpan w:val="3"/>
            <w:shd w:val="clear" w:color="auto" w:fill="auto"/>
            <w:vAlign w:val="bottom"/>
          </w:tcPr>
          <w:p w14:paraId="442F70F4" w14:textId="77777777" w:rsidR="00CC25B5" w:rsidRDefault="00CC25B5">
            <w:pPr>
              <w:rPr>
                <w:rFonts w:ascii="宋体"/>
                <w:vanish/>
              </w:rPr>
            </w:pPr>
          </w:p>
        </w:tc>
        <w:tc>
          <w:tcPr>
            <w:tcW w:w="0" w:type="auto"/>
            <w:gridSpan w:val="3"/>
            <w:shd w:val="clear" w:color="auto" w:fill="auto"/>
            <w:vAlign w:val="bottom"/>
          </w:tcPr>
          <w:p w14:paraId="442F70F5" w14:textId="77777777" w:rsidR="00CC25B5" w:rsidRDefault="00CC25B5">
            <w:pPr>
              <w:rPr>
                <w:rFonts w:ascii="宋体"/>
                <w:vanish/>
              </w:rPr>
            </w:pPr>
          </w:p>
        </w:tc>
        <w:tc>
          <w:tcPr>
            <w:tcW w:w="0" w:type="auto"/>
            <w:gridSpan w:val="3"/>
            <w:shd w:val="clear" w:color="auto" w:fill="auto"/>
            <w:vAlign w:val="bottom"/>
          </w:tcPr>
          <w:p w14:paraId="442F70F6" w14:textId="77777777" w:rsidR="00CC25B5" w:rsidRDefault="00CC25B5">
            <w:pPr>
              <w:rPr>
                <w:rFonts w:ascii="宋体"/>
                <w:vanish/>
              </w:rPr>
            </w:pPr>
          </w:p>
        </w:tc>
        <w:tc>
          <w:tcPr>
            <w:tcW w:w="0" w:type="auto"/>
            <w:gridSpan w:val="3"/>
            <w:shd w:val="clear" w:color="auto" w:fill="auto"/>
            <w:vAlign w:val="bottom"/>
          </w:tcPr>
          <w:p w14:paraId="442F70F7" w14:textId="77777777" w:rsidR="00CC25B5" w:rsidRDefault="00CC25B5">
            <w:pPr>
              <w:rPr>
                <w:rFonts w:ascii="宋体"/>
                <w:vanish/>
              </w:rPr>
            </w:pPr>
          </w:p>
        </w:tc>
        <w:tc>
          <w:tcPr>
            <w:tcW w:w="0" w:type="auto"/>
            <w:gridSpan w:val="3"/>
            <w:shd w:val="clear" w:color="auto" w:fill="auto"/>
            <w:vAlign w:val="bottom"/>
          </w:tcPr>
          <w:p w14:paraId="442F70F8" w14:textId="77777777" w:rsidR="00CC25B5" w:rsidRDefault="00CC25B5">
            <w:pPr>
              <w:rPr>
                <w:rFonts w:ascii="宋体"/>
                <w:vanish/>
              </w:rPr>
            </w:pPr>
          </w:p>
        </w:tc>
        <w:tc>
          <w:tcPr>
            <w:tcW w:w="0" w:type="auto"/>
            <w:gridSpan w:val="3"/>
            <w:shd w:val="clear" w:color="auto" w:fill="auto"/>
            <w:vAlign w:val="bottom"/>
          </w:tcPr>
          <w:p w14:paraId="442F70F9" w14:textId="77777777" w:rsidR="00CC25B5" w:rsidRDefault="00CC25B5">
            <w:pPr>
              <w:rPr>
                <w:rFonts w:ascii="宋体"/>
                <w:vanish/>
              </w:rPr>
            </w:pPr>
          </w:p>
        </w:tc>
        <w:tc>
          <w:tcPr>
            <w:tcW w:w="0" w:type="auto"/>
            <w:gridSpan w:val="3"/>
            <w:shd w:val="clear" w:color="auto" w:fill="auto"/>
            <w:vAlign w:val="bottom"/>
          </w:tcPr>
          <w:p w14:paraId="442F70FA" w14:textId="77777777" w:rsidR="00CC25B5" w:rsidRDefault="00CC25B5">
            <w:pPr>
              <w:rPr>
                <w:rFonts w:ascii="宋体"/>
                <w:vanish/>
              </w:rPr>
            </w:pPr>
          </w:p>
        </w:tc>
        <w:tc>
          <w:tcPr>
            <w:tcW w:w="0" w:type="auto"/>
            <w:gridSpan w:val="3"/>
            <w:shd w:val="clear" w:color="auto" w:fill="auto"/>
            <w:vAlign w:val="bottom"/>
          </w:tcPr>
          <w:p w14:paraId="442F70FB" w14:textId="77777777" w:rsidR="00CC25B5" w:rsidRDefault="00CC25B5">
            <w:pPr>
              <w:rPr>
                <w:rFonts w:ascii="宋体"/>
                <w:vanish/>
              </w:rPr>
            </w:pPr>
          </w:p>
        </w:tc>
        <w:tc>
          <w:tcPr>
            <w:tcW w:w="0" w:type="auto"/>
            <w:gridSpan w:val="3"/>
            <w:shd w:val="clear" w:color="auto" w:fill="auto"/>
            <w:vAlign w:val="bottom"/>
          </w:tcPr>
          <w:p w14:paraId="442F70FC" w14:textId="77777777" w:rsidR="00CC25B5" w:rsidRDefault="00CC25B5">
            <w:pPr>
              <w:rPr>
                <w:rFonts w:ascii="宋体"/>
                <w:vanish/>
              </w:rPr>
            </w:pPr>
          </w:p>
        </w:tc>
        <w:tc>
          <w:tcPr>
            <w:tcW w:w="0" w:type="auto"/>
            <w:gridSpan w:val="3"/>
            <w:shd w:val="clear" w:color="auto" w:fill="auto"/>
            <w:vAlign w:val="bottom"/>
          </w:tcPr>
          <w:p w14:paraId="442F70FD" w14:textId="77777777" w:rsidR="00CC25B5" w:rsidRDefault="00CC25B5">
            <w:pPr>
              <w:rPr>
                <w:rFonts w:ascii="宋体"/>
                <w:vanish/>
              </w:rPr>
            </w:pPr>
          </w:p>
        </w:tc>
        <w:tc>
          <w:tcPr>
            <w:tcW w:w="0" w:type="auto"/>
            <w:shd w:val="clear" w:color="auto" w:fill="auto"/>
            <w:vAlign w:val="bottom"/>
          </w:tcPr>
          <w:p w14:paraId="442F70FE" w14:textId="77777777" w:rsidR="00CC25B5" w:rsidRDefault="00CC25B5">
            <w:pPr>
              <w:rPr>
                <w:rFonts w:ascii="宋体"/>
                <w:vanish/>
              </w:rPr>
            </w:pPr>
          </w:p>
        </w:tc>
        <w:tc>
          <w:tcPr>
            <w:tcW w:w="0" w:type="auto"/>
            <w:shd w:val="clear" w:color="auto" w:fill="auto"/>
            <w:vAlign w:val="bottom"/>
          </w:tcPr>
          <w:p w14:paraId="442F70FF" w14:textId="77777777" w:rsidR="00CC25B5" w:rsidRDefault="00CC25B5">
            <w:pPr>
              <w:rPr>
                <w:rFonts w:ascii="宋体"/>
                <w:vanish/>
              </w:rPr>
            </w:pPr>
          </w:p>
        </w:tc>
        <w:tc>
          <w:tcPr>
            <w:tcW w:w="0" w:type="auto"/>
            <w:shd w:val="clear" w:color="auto" w:fill="auto"/>
            <w:vAlign w:val="bottom"/>
          </w:tcPr>
          <w:p w14:paraId="442F7100" w14:textId="77777777" w:rsidR="00CC25B5" w:rsidRDefault="00CC25B5">
            <w:pPr>
              <w:rPr>
                <w:rFonts w:ascii="宋体"/>
                <w:vanish/>
              </w:rPr>
            </w:pPr>
          </w:p>
        </w:tc>
      </w:tr>
      <w:tr w:rsidR="00CC25B5" w14:paraId="442F7115" w14:textId="77777777">
        <w:trPr>
          <w:jc w:val="center"/>
          <w:hidden/>
        </w:trPr>
        <w:tc>
          <w:tcPr>
            <w:tcW w:w="0" w:type="auto"/>
            <w:gridSpan w:val="3"/>
            <w:shd w:val="clear" w:color="auto" w:fill="auto"/>
            <w:vAlign w:val="bottom"/>
          </w:tcPr>
          <w:p w14:paraId="442F7102" w14:textId="77777777" w:rsidR="00CC25B5" w:rsidRDefault="00CC25B5">
            <w:pPr>
              <w:rPr>
                <w:rFonts w:ascii="宋体"/>
                <w:vanish/>
              </w:rPr>
            </w:pPr>
          </w:p>
        </w:tc>
        <w:tc>
          <w:tcPr>
            <w:tcW w:w="0" w:type="auto"/>
            <w:gridSpan w:val="3"/>
            <w:shd w:val="clear" w:color="auto" w:fill="auto"/>
            <w:vAlign w:val="bottom"/>
          </w:tcPr>
          <w:p w14:paraId="442F7103" w14:textId="77777777" w:rsidR="00CC25B5" w:rsidRDefault="00CC25B5">
            <w:pPr>
              <w:rPr>
                <w:rFonts w:ascii="宋体"/>
                <w:vanish/>
              </w:rPr>
            </w:pPr>
          </w:p>
        </w:tc>
        <w:tc>
          <w:tcPr>
            <w:tcW w:w="0" w:type="auto"/>
            <w:gridSpan w:val="3"/>
            <w:shd w:val="clear" w:color="auto" w:fill="auto"/>
            <w:vAlign w:val="bottom"/>
          </w:tcPr>
          <w:p w14:paraId="442F7104" w14:textId="77777777" w:rsidR="00CC25B5" w:rsidRDefault="00CC25B5">
            <w:pPr>
              <w:rPr>
                <w:rFonts w:ascii="宋体"/>
                <w:vanish/>
              </w:rPr>
            </w:pPr>
          </w:p>
        </w:tc>
        <w:tc>
          <w:tcPr>
            <w:tcW w:w="0" w:type="auto"/>
            <w:gridSpan w:val="3"/>
            <w:shd w:val="clear" w:color="auto" w:fill="auto"/>
            <w:vAlign w:val="bottom"/>
          </w:tcPr>
          <w:p w14:paraId="442F7105" w14:textId="77777777" w:rsidR="00CC25B5" w:rsidRDefault="00CC25B5">
            <w:pPr>
              <w:rPr>
                <w:rFonts w:ascii="宋体"/>
                <w:vanish/>
              </w:rPr>
            </w:pPr>
          </w:p>
        </w:tc>
        <w:tc>
          <w:tcPr>
            <w:tcW w:w="0" w:type="auto"/>
            <w:gridSpan w:val="3"/>
            <w:shd w:val="clear" w:color="auto" w:fill="auto"/>
            <w:vAlign w:val="bottom"/>
          </w:tcPr>
          <w:p w14:paraId="442F7106" w14:textId="77777777" w:rsidR="00CC25B5" w:rsidRDefault="00CC25B5">
            <w:pPr>
              <w:rPr>
                <w:rFonts w:ascii="宋体"/>
                <w:vanish/>
              </w:rPr>
            </w:pPr>
          </w:p>
        </w:tc>
        <w:tc>
          <w:tcPr>
            <w:tcW w:w="0" w:type="auto"/>
            <w:gridSpan w:val="3"/>
            <w:shd w:val="clear" w:color="auto" w:fill="auto"/>
            <w:vAlign w:val="bottom"/>
          </w:tcPr>
          <w:p w14:paraId="442F7107" w14:textId="77777777" w:rsidR="00CC25B5" w:rsidRDefault="00CC25B5">
            <w:pPr>
              <w:rPr>
                <w:rFonts w:ascii="宋体"/>
                <w:vanish/>
              </w:rPr>
            </w:pPr>
          </w:p>
        </w:tc>
        <w:tc>
          <w:tcPr>
            <w:tcW w:w="0" w:type="auto"/>
            <w:gridSpan w:val="3"/>
            <w:shd w:val="clear" w:color="auto" w:fill="auto"/>
            <w:vAlign w:val="bottom"/>
          </w:tcPr>
          <w:p w14:paraId="442F7108" w14:textId="77777777" w:rsidR="00CC25B5" w:rsidRDefault="00CC25B5">
            <w:pPr>
              <w:rPr>
                <w:rFonts w:ascii="宋体"/>
                <w:vanish/>
              </w:rPr>
            </w:pPr>
          </w:p>
        </w:tc>
        <w:tc>
          <w:tcPr>
            <w:tcW w:w="0" w:type="auto"/>
            <w:gridSpan w:val="3"/>
            <w:shd w:val="clear" w:color="auto" w:fill="auto"/>
            <w:vAlign w:val="bottom"/>
          </w:tcPr>
          <w:p w14:paraId="442F7109" w14:textId="77777777" w:rsidR="00CC25B5" w:rsidRDefault="00CC25B5">
            <w:pPr>
              <w:rPr>
                <w:rFonts w:ascii="宋体"/>
                <w:vanish/>
              </w:rPr>
            </w:pPr>
          </w:p>
        </w:tc>
        <w:tc>
          <w:tcPr>
            <w:tcW w:w="0" w:type="auto"/>
            <w:gridSpan w:val="3"/>
            <w:shd w:val="clear" w:color="auto" w:fill="auto"/>
            <w:vAlign w:val="bottom"/>
          </w:tcPr>
          <w:p w14:paraId="442F710A" w14:textId="77777777" w:rsidR="00CC25B5" w:rsidRDefault="00CC25B5">
            <w:pPr>
              <w:rPr>
                <w:rFonts w:ascii="宋体"/>
                <w:vanish/>
              </w:rPr>
            </w:pPr>
          </w:p>
        </w:tc>
        <w:tc>
          <w:tcPr>
            <w:tcW w:w="0" w:type="auto"/>
            <w:gridSpan w:val="3"/>
            <w:shd w:val="clear" w:color="auto" w:fill="auto"/>
            <w:vAlign w:val="bottom"/>
          </w:tcPr>
          <w:p w14:paraId="442F710B" w14:textId="77777777" w:rsidR="00CC25B5" w:rsidRDefault="00CC25B5">
            <w:pPr>
              <w:rPr>
                <w:rFonts w:ascii="宋体"/>
                <w:vanish/>
              </w:rPr>
            </w:pPr>
          </w:p>
        </w:tc>
        <w:tc>
          <w:tcPr>
            <w:tcW w:w="0" w:type="auto"/>
            <w:gridSpan w:val="3"/>
            <w:shd w:val="clear" w:color="auto" w:fill="auto"/>
            <w:vAlign w:val="bottom"/>
          </w:tcPr>
          <w:p w14:paraId="442F710C" w14:textId="77777777" w:rsidR="00CC25B5" w:rsidRDefault="00CC25B5">
            <w:pPr>
              <w:rPr>
                <w:rFonts w:ascii="宋体"/>
                <w:vanish/>
              </w:rPr>
            </w:pPr>
          </w:p>
        </w:tc>
        <w:tc>
          <w:tcPr>
            <w:tcW w:w="0" w:type="auto"/>
            <w:gridSpan w:val="3"/>
            <w:shd w:val="clear" w:color="auto" w:fill="auto"/>
            <w:vAlign w:val="bottom"/>
          </w:tcPr>
          <w:p w14:paraId="442F710D" w14:textId="77777777" w:rsidR="00CC25B5" w:rsidRDefault="00CC25B5">
            <w:pPr>
              <w:rPr>
                <w:rFonts w:ascii="宋体"/>
                <w:vanish/>
              </w:rPr>
            </w:pPr>
          </w:p>
        </w:tc>
        <w:tc>
          <w:tcPr>
            <w:tcW w:w="0" w:type="auto"/>
            <w:gridSpan w:val="3"/>
            <w:shd w:val="clear" w:color="auto" w:fill="auto"/>
            <w:vAlign w:val="bottom"/>
          </w:tcPr>
          <w:p w14:paraId="442F710E" w14:textId="77777777" w:rsidR="00CC25B5" w:rsidRDefault="00CC25B5">
            <w:pPr>
              <w:rPr>
                <w:rFonts w:ascii="宋体"/>
                <w:vanish/>
              </w:rPr>
            </w:pPr>
          </w:p>
        </w:tc>
        <w:tc>
          <w:tcPr>
            <w:tcW w:w="0" w:type="auto"/>
            <w:gridSpan w:val="3"/>
            <w:shd w:val="clear" w:color="auto" w:fill="auto"/>
            <w:vAlign w:val="bottom"/>
          </w:tcPr>
          <w:p w14:paraId="442F710F" w14:textId="77777777" w:rsidR="00CC25B5" w:rsidRDefault="00CC25B5">
            <w:pPr>
              <w:rPr>
                <w:rFonts w:ascii="宋体"/>
                <w:vanish/>
              </w:rPr>
            </w:pPr>
          </w:p>
        </w:tc>
        <w:tc>
          <w:tcPr>
            <w:tcW w:w="0" w:type="auto"/>
            <w:gridSpan w:val="3"/>
            <w:shd w:val="clear" w:color="auto" w:fill="auto"/>
            <w:vAlign w:val="bottom"/>
          </w:tcPr>
          <w:p w14:paraId="442F7110" w14:textId="77777777" w:rsidR="00CC25B5" w:rsidRDefault="00CC25B5">
            <w:pPr>
              <w:rPr>
                <w:rFonts w:ascii="宋体"/>
                <w:vanish/>
              </w:rPr>
            </w:pPr>
          </w:p>
        </w:tc>
        <w:tc>
          <w:tcPr>
            <w:tcW w:w="0" w:type="auto"/>
            <w:gridSpan w:val="3"/>
            <w:shd w:val="clear" w:color="auto" w:fill="auto"/>
            <w:vAlign w:val="bottom"/>
          </w:tcPr>
          <w:p w14:paraId="442F7111" w14:textId="77777777" w:rsidR="00CC25B5" w:rsidRDefault="00CC25B5">
            <w:pPr>
              <w:rPr>
                <w:rFonts w:ascii="宋体"/>
                <w:vanish/>
              </w:rPr>
            </w:pPr>
          </w:p>
        </w:tc>
        <w:tc>
          <w:tcPr>
            <w:tcW w:w="0" w:type="auto"/>
            <w:shd w:val="clear" w:color="auto" w:fill="auto"/>
            <w:vAlign w:val="bottom"/>
          </w:tcPr>
          <w:p w14:paraId="442F7112" w14:textId="77777777" w:rsidR="00CC25B5" w:rsidRDefault="00CC25B5">
            <w:pPr>
              <w:rPr>
                <w:rFonts w:ascii="宋体"/>
                <w:vanish/>
              </w:rPr>
            </w:pPr>
          </w:p>
        </w:tc>
        <w:tc>
          <w:tcPr>
            <w:tcW w:w="0" w:type="auto"/>
            <w:shd w:val="clear" w:color="auto" w:fill="auto"/>
            <w:vAlign w:val="bottom"/>
          </w:tcPr>
          <w:p w14:paraId="442F7113" w14:textId="77777777" w:rsidR="00CC25B5" w:rsidRDefault="00CC25B5">
            <w:pPr>
              <w:rPr>
                <w:rFonts w:ascii="宋体"/>
                <w:vanish/>
              </w:rPr>
            </w:pPr>
          </w:p>
        </w:tc>
        <w:tc>
          <w:tcPr>
            <w:tcW w:w="0" w:type="auto"/>
            <w:shd w:val="clear" w:color="auto" w:fill="auto"/>
            <w:vAlign w:val="bottom"/>
          </w:tcPr>
          <w:p w14:paraId="442F7114" w14:textId="77777777" w:rsidR="00CC25B5" w:rsidRDefault="00CC25B5">
            <w:pPr>
              <w:rPr>
                <w:rFonts w:ascii="宋体"/>
                <w:vanish/>
              </w:rPr>
            </w:pPr>
          </w:p>
        </w:tc>
      </w:tr>
      <w:tr w:rsidR="00CC25B5" w14:paraId="442F7129" w14:textId="77777777">
        <w:trPr>
          <w:jc w:val="center"/>
          <w:hidden/>
        </w:trPr>
        <w:tc>
          <w:tcPr>
            <w:tcW w:w="0" w:type="auto"/>
            <w:gridSpan w:val="3"/>
            <w:shd w:val="clear" w:color="auto" w:fill="auto"/>
            <w:vAlign w:val="bottom"/>
          </w:tcPr>
          <w:p w14:paraId="442F7116" w14:textId="77777777" w:rsidR="00CC25B5" w:rsidRDefault="00CC25B5">
            <w:pPr>
              <w:rPr>
                <w:rFonts w:ascii="宋体"/>
                <w:vanish/>
              </w:rPr>
            </w:pPr>
          </w:p>
        </w:tc>
        <w:tc>
          <w:tcPr>
            <w:tcW w:w="0" w:type="auto"/>
            <w:gridSpan w:val="3"/>
            <w:shd w:val="clear" w:color="auto" w:fill="auto"/>
            <w:vAlign w:val="bottom"/>
          </w:tcPr>
          <w:p w14:paraId="442F7117" w14:textId="77777777" w:rsidR="00CC25B5" w:rsidRDefault="00CC25B5">
            <w:pPr>
              <w:rPr>
                <w:rFonts w:ascii="宋体"/>
                <w:vanish/>
              </w:rPr>
            </w:pPr>
          </w:p>
        </w:tc>
        <w:tc>
          <w:tcPr>
            <w:tcW w:w="0" w:type="auto"/>
            <w:gridSpan w:val="3"/>
            <w:shd w:val="clear" w:color="auto" w:fill="auto"/>
            <w:vAlign w:val="bottom"/>
          </w:tcPr>
          <w:p w14:paraId="442F7118" w14:textId="77777777" w:rsidR="00CC25B5" w:rsidRDefault="00CC25B5">
            <w:pPr>
              <w:rPr>
                <w:rFonts w:ascii="宋体"/>
                <w:vanish/>
              </w:rPr>
            </w:pPr>
          </w:p>
        </w:tc>
        <w:tc>
          <w:tcPr>
            <w:tcW w:w="0" w:type="auto"/>
            <w:gridSpan w:val="3"/>
            <w:shd w:val="clear" w:color="auto" w:fill="auto"/>
            <w:vAlign w:val="bottom"/>
          </w:tcPr>
          <w:p w14:paraId="442F7119" w14:textId="77777777" w:rsidR="00CC25B5" w:rsidRDefault="00CC25B5">
            <w:pPr>
              <w:rPr>
                <w:rFonts w:ascii="宋体"/>
                <w:vanish/>
              </w:rPr>
            </w:pPr>
          </w:p>
        </w:tc>
        <w:tc>
          <w:tcPr>
            <w:tcW w:w="0" w:type="auto"/>
            <w:gridSpan w:val="3"/>
            <w:shd w:val="clear" w:color="auto" w:fill="auto"/>
            <w:vAlign w:val="bottom"/>
          </w:tcPr>
          <w:p w14:paraId="442F711A" w14:textId="77777777" w:rsidR="00CC25B5" w:rsidRDefault="00CC25B5">
            <w:pPr>
              <w:rPr>
                <w:rFonts w:ascii="宋体"/>
                <w:vanish/>
              </w:rPr>
            </w:pPr>
          </w:p>
        </w:tc>
        <w:tc>
          <w:tcPr>
            <w:tcW w:w="0" w:type="auto"/>
            <w:gridSpan w:val="3"/>
            <w:shd w:val="clear" w:color="auto" w:fill="auto"/>
            <w:vAlign w:val="bottom"/>
          </w:tcPr>
          <w:p w14:paraId="442F711B" w14:textId="77777777" w:rsidR="00CC25B5" w:rsidRDefault="00CC25B5">
            <w:pPr>
              <w:rPr>
                <w:rFonts w:ascii="宋体"/>
                <w:vanish/>
              </w:rPr>
            </w:pPr>
          </w:p>
        </w:tc>
        <w:tc>
          <w:tcPr>
            <w:tcW w:w="0" w:type="auto"/>
            <w:gridSpan w:val="3"/>
            <w:shd w:val="clear" w:color="auto" w:fill="auto"/>
            <w:vAlign w:val="bottom"/>
          </w:tcPr>
          <w:p w14:paraId="442F711C" w14:textId="77777777" w:rsidR="00CC25B5" w:rsidRDefault="00CC25B5">
            <w:pPr>
              <w:rPr>
                <w:rFonts w:ascii="宋体"/>
                <w:vanish/>
              </w:rPr>
            </w:pPr>
          </w:p>
        </w:tc>
        <w:tc>
          <w:tcPr>
            <w:tcW w:w="0" w:type="auto"/>
            <w:gridSpan w:val="3"/>
            <w:shd w:val="clear" w:color="auto" w:fill="auto"/>
            <w:vAlign w:val="bottom"/>
          </w:tcPr>
          <w:p w14:paraId="442F711D" w14:textId="77777777" w:rsidR="00CC25B5" w:rsidRDefault="00CC25B5">
            <w:pPr>
              <w:rPr>
                <w:rFonts w:ascii="宋体"/>
                <w:vanish/>
              </w:rPr>
            </w:pPr>
          </w:p>
        </w:tc>
        <w:tc>
          <w:tcPr>
            <w:tcW w:w="0" w:type="auto"/>
            <w:gridSpan w:val="3"/>
            <w:shd w:val="clear" w:color="auto" w:fill="auto"/>
            <w:vAlign w:val="bottom"/>
          </w:tcPr>
          <w:p w14:paraId="442F711E" w14:textId="77777777" w:rsidR="00CC25B5" w:rsidRDefault="00CC25B5">
            <w:pPr>
              <w:rPr>
                <w:rFonts w:ascii="宋体"/>
                <w:vanish/>
              </w:rPr>
            </w:pPr>
          </w:p>
        </w:tc>
        <w:tc>
          <w:tcPr>
            <w:tcW w:w="0" w:type="auto"/>
            <w:gridSpan w:val="3"/>
            <w:shd w:val="clear" w:color="auto" w:fill="auto"/>
            <w:vAlign w:val="bottom"/>
          </w:tcPr>
          <w:p w14:paraId="442F711F" w14:textId="77777777" w:rsidR="00CC25B5" w:rsidRDefault="00CC25B5">
            <w:pPr>
              <w:rPr>
                <w:rFonts w:ascii="宋体"/>
                <w:vanish/>
              </w:rPr>
            </w:pPr>
          </w:p>
        </w:tc>
        <w:tc>
          <w:tcPr>
            <w:tcW w:w="0" w:type="auto"/>
            <w:gridSpan w:val="3"/>
            <w:shd w:val="clear" w:color="auto" w:fill="auto"/>
            <w:vAlign w:val="bottom"/>
          </w:tcPr>
          <w:p w14:paraId="442F7120" w14:textId="77777777" w:rsidR="00CC25B5" w:rsidRDefault="00CC25B5">
            <w:pPr>
              <w:rPr>
                <w:rFonts w:ascii="宋体"/>
                <w:vanish/>
              </w:rPr>
            </w:pPr>
          </w:p>
        </w:tc>
        <w:tc>
          <w:tcPr>
            <w:tcW w:w="0" w:type="auto"/>
            <w:gridSpan w:val="3"/>
            <w:shd w:val="clear" w:color="auto" w:fill="auto"/>
            <w:vAlign w:val="bottom"/>
          </w:tcPr>
          <w:p w14:paraId="442F7121" w14:textId="77777777" w:rsidR="00CC25B5" w:rsidRDefault="00CC25B5">
            <w:pPr>
              <w:rPr>
                <w:rFonts w:ascii="宋体"/>
                <w:vanish/>
              </w:rPr>
            </w:pPr>
          </w:p>
        </w:tc>
        <w:tc>
          <w:tcPr>
            <w:tcW w:w="0" w:type="auto"/>
            <w:gridSpan w:val="3"/>
            <w:shd w:val="clear" w:color="auto" w:fill="auto"/>
            <w:vAlign w:val="bottom"/>
          </w:tcPr>
          <w:p w14:paraId="442F7122" w14:textId="77777777" w:rsidR="00CC25B5" w:rsidRDefault="00CC25B5">
            <w:pPr>
              <w:rPr>
                <w:rFonts w:ascii="宋体"/>
                <w:vanish/>
              </w:rPr>
            </w:pPr>
          </w:p>
        </w:tc>
        <w:tc>
          <w:tcPr>
            <w:tcW w:w="0" w:type="auto"/>
            <w:gridSpan w:val="3"/>
            <w:shd w:val="clear" w:color="auto" w:fill="auto"/>
            <w:vAlign w:val="bottom"/>
          </w:tcPr>
          <w:p w14:paraId="442F7123" w14:textId="77777777" w:rsidR="00CC25B5" w:rsidRDefault="00CC25B5">
            <w:pPr>
              <w:rPr>
                <w:rFonts w:ascii="宋体"/>
                <w:vanish/>
              </w:rPr>
            </w:pPr>
          </w:p>
        </w:tc>
        <w:tc>
          <w:tcPr>
            <w:tcW w:w="0" w:type="auto"/>
            <w:gridSpan w:val="3"/>
            <w:shd w:val="clear" w:color="auto" w:fill="auto"/>
            <w:vAlign w:val="bottom"/>
          </w:tcPr>
          <w:p w14:paraId="442F7124" w14:textId="77777777" w:rsidR="00CC25B5" w:rsidRDefault="00CC25B5">
            <w:pPr>
              <w:rPr>
                <w:rFonts w:ascii="宋体"/>
                <w:vanish/>
              </w:rPr>
            </w:pPr>
          </w:p>
        </w:tc>
        <w:tc>
          <w:tcPr>
            <w:tcW w:w="0" w:type="auto"/>
            <w:gridSpan w:val="3"/>
            <w:shd w:val="clear" w:color="auto" w:fill="auto"/>
            <w:vAlign w:val="bottom"/>
          </w:tcPr>
          <w:p w14:paraId="442F7125" w14:textId="77777777" w:rsidR="00CC25B5" w:rsidRDefault="00CC25B5">
            <w:pPr>
              <w:rPr>
                <w:rFonts w:ascii="宋体"/>
                <w:vanish/>
              </w:rPr>
            </w:pPr>
          </w:p>
        </w:tc>
        <w:tc>
          <w:tcPr>
            <w:tcW w:w="0" w:type="auto"/>
            <w:shd w:val="clear" w:color="auto" w:fill="auto"/>
            <w:vAlign w:val="bottom"/>
          </w:tcPr>
          <w:p w14:paraId="442F7126" w14:textId="77777777" w:rsidR="00CC25B5" w:rsidRDefault="00CC25B5">
            <w:pPr>
              <w:rPr>
                <w:rFonts w:ascii="宋体"/>
                <w:vanish/>
              </w:rPr>
            </w:pPr>
          </w:p>
        </w:tc>
        <w:tc>
          <w:tcPr>
            <w:tcW w:w="0" w:type="auto"/>
            <w:shd w:val="clear" w:color="auto" w:fill="auto"/>
            <w:vAlign w:val="bottom"/>
          </w:tcPr>
          <w:p w14:paraId="442F7127" w14:textId="77777777" w:rsidR="00CC25B5" w:rsidRDefault="00CC25B5">
            <w:pPr>
              <w:rPr>
                <w:rFonts w:ascii="宋体"/>
                <w:vanish/>
              </w:rPr>
            </w:pPr>
          </w:p>
        </w:tc>
        <w:tc>
          <w:tcPr>
            <w:tcW w:w="0" w:type="auto"/>
            <w:shd w:val="clear" w:color="auto" w:fill="auto"/>
            <w:vAlign w:val="bottom"/>
          </w:tcPr>
          <w:p w14:paraId="442F7128" w14:textId="77777777" w:rsidR="00CC25B5" w:rsidRDefault="00CC25B5">
            <w:pPr>
              <w:rPr>
                <w:rFonts w:ascii="宋体"/>
                <w:vanish/>
              </w:rPr>
            </w:pPr>
          </w:p>
        </w:tc>
      </w:tr>
      <w:tr w:rsidR="00CC25B5" w14:paraId="442F713D" w14:textId="77777777">
        <w:trPr>
          <w:jc w:val="center"/>
          <w:hidden/>
        </w:trPr>
        <w:tc>
          <w:tcPr>
            <w:tcW w:w="0" w:type="auto"/>
            <w:gridSpan w:val="3"/>
            <w:shd w:val="clear" w:color="auto" w:fill="auto"/>
            <w:vAlign w:val="bottom"/>
          </w:tcPr>
          <w:p w14:paraId="442F712A" w14:textId="77777777" w:rsidR="00CC25B5" w:rsidRDefault="00CC25B5">
            <w:pPr>
              <w:rPr>
                <w:rFonts w:ascii="宋体"/>
                <w:vanish/>
              </w:rPr>
            </w:pPr>
          </w:p>
        </w:tc>
        <w:tc>
          <w:tcPr>
            <w:tcW w:w="0" w:type="auto"/>
            <w:gridSpan w:val="3"/>
            <w:shd w:val="clear" w:color="auto" w:fill="auto"/>
            <w:vAlign w:val="bottom"/>
          </w:tcPr>
          <w:p w14:paraId="442F712B" w14:textId="77777777" w:rsidR="00CC25B5" w:rsidRDefault="00CC25B5">
            <w:pPr>
              <w:rPr>
                <w:rFonts w:ascii="宋体"/>
                <w:vanish/>
              </w:rPr>
            </w:pPr>
          </w:p>
        </w:tc>
        <w:tc>
          <w:tcPr>
            <w:tcW w:w="0" w:type="auto"/>
            <w:gridSpan w:val="3"/>
            <w:shd w:val="clear" w:color="auto" w:fill="auto"/>
            <w:vAlign w:val="bottom"/>
          </w:tcPr>
          <w:p w14:paraId="442F712C" w14:textId="77777777" w:rsidR="00CC25B5" w:rsidRDefault="00CC25B5">
            <w:pPr>
              <w:rPr>
                <w:rFonts w:ascii="宋体"/>
                <w:vanish/>
              </w:rPr>
            </w:pPr>
          </w:p>
        </w:tc>
        <w:tc>
          <w:tcPr>
            <w:tcW w:w="0" w:type="auto"/>
            <w:gridSpan w:val="3"/>
            <w:shd w:val="clear" w:color="auto" w:fill="auto"/>
            <w:vAlign w:val="bottom"/>
          </w:tcPr>
          <w:p w14:paraId="442F712D" w14:textId="77777777" w:rsidR="00CC25B5" w:rsidRDefault="00CC25B5">
            <w:pPr>
              <w:rPr>
                <w:rFonts w:ascii="宋体"/>
                <w:vanish/>
              </w:rPr>
            </w:pPr>
          </w:p>
        </w:tc>
        <w:tc>
          <w:tcPr>
            <w:tcW w:w="0" w:type="auto"/>
            <w:gridSpan w:val="3"/>
            <w:shd w:val="clear" w:color="auto" w:fill="auto"/>
            <w:vAlign w:val="bottom"/>
          </w:tcPr>
          <w:p w14:paraId="442F712E" w14:textId="77777777" w:rsidR="00CC25B5" w:rsidRDefault="00CC25B5">
            <w:pPr>
              <w:rPr>
                <w:rFonts w:ascii="宋体"/>
                <w:vanish/>
              </w:rPr>
            </w:pPr>
          </w:p>
        </w:tc>
        <w:tc>
          <w:tcPr>
            <w:tcW w:w="0" w:type="auto"/>
            <w:gridSpan w:val="3"/>
            <w:shd w:val="clear" w:color="auto" w:fill="auto"/>
            <w:vAlign w:val="bottom"/>
          </w:tcPr>
          <w:p w14:paraId="442F712F" w14:textId="77777777" w:rsidR="00CC25B5" w:rsidRDefault="00CC25B5">
            <w:pPr>
              <w:rPr>
                <w:rFonts w:ascii="宋体"/>
                <w:vanish/>
              </w:rPr>
            </w:pPr>
          </w:p>
        </w:tc>
        <w:tc>
          <w:tcPr>
            <w:tcW w:w="0" w:type="auto"/>
            <w:gridSpan w:val="3"/>
            <w:shd w:val="clear" w:color="auto" w:fill="auto"/>
            <w:vAlign w:val="bottom"/>
          </w:tcPr>
          <w:p w14:paraId="442F7130" w14:textId="77777777" w:rsidR="00CC25B5" w:rsidRDefault="00CC25B5">
            <w:pPr>
              <w:rPr>
                <w:rFonts w:ascii="宋体"/>
                <w:vanish/>
              </w:rPr>
            </w:pPr>
          </w:p>
        </w:tc>
        <w:tc>
          <w:tcPr>
            <w:tcW w:w="0" w:type="auto"/>
            <w:gridSpan w:val="3"/>
            <w:shd w:val="clear" w:color="auto" w:fill="auto"/>
            <w:vAlign w:val="bottom"/>
          </w:tcPr>
          <w:p w14:paraId="442F7131" w14:textId="77777777" w:rsidR="00CC25B5" w:rsidRDefault="00CC25B5">
            <w:pPr>
              <w:rPr>
                <w:rFonts w:ascii="宋体"/>
                <w:vanish/>
              </w:rPr>
            </w:pPr>
          </w:p>
        </w:tc>
        <w:tc>
          <w:tcPr>
            <w:tcW w:w="0" w:type="auto"/>
            <w:gridSpan w:val="3"/>
            <w:shd w:val="clear" w:color="auto" w:fill="auto"/>
            <w:vAlign w:val="bottom"/>
          </w:tcPr>
          <w:p w14:paraId="442F7132" w14:textId="77777777" w:rsidR="00CC25B5" w:rsidRDefault="00CC25B5">
            <w:pPr>
              <w:rPr>
                <w:rFonts w:ascii="宋体"/>
                <w:vanish/>
              </w:rPr>
            </w:pPr>
          </w:p>
        </w:tc>
        <w:tc>
          <w:tcPr>
            <w:tcW w:w="0" w:type="auto"/>
            <w:gridSpan w:val="3"/>
            <w:shd w:val="clear" w:color="auto" w:fill="auto"/>
            <w:vAlign w:val="bottom"/>
          </w:tcPr>
          <w:p w14:paraId="442F7133" w14:textId="77777777" w:rsidR="00CC25B5" w:rsidRDefault="00CC25B5">
            <w:pPr>
              <w:rPr>
                <w:rFonts w:ascii="宋体"/>
                <w:vanish/>
              </w:rPr>
            </w:pPr>
          </w:p>
        </w:tc>
        <w:tc>
          <w:tcPr>
            <w:tcW w:w="0" w:type="auto"/>
            <w:gridSpan w:val="3"/>
            <w:shd w:val="clear" w:color="auto" w:fill="auto"/>
            <w:vAlign w:val="bottom"/>
          </w:tcPr>
          <w:p w14:paraId="442F7134" w14:textId="77777777" w:rsidR="00CC25B5" w:rsidRDefault="00CC25B5">
            <w:pPr>
              <w:rPr>
                <w:rFonts w:ascii="宋体"/>
                <w:vanish/>
              </w:rPr>
            </w:pPr>
          </w:p>
        </w:tc>
        <w:tc>
          <w:tcPr>
            <w:tcW w:w="0" w:type="auto"/>
            <w:gridSpan w:val="3"/>
            <w:shd w:val="clear" w:color="auto" w:fill="auto"/>
            <w:vAlign w:val="bottom"/>
          </w:tcPr>
          <w:p w14:paraId="442F7135" w14:textId="77777777" w:rsidR="00CC25B5" w:rsidRDefault="00CC25B5">
            <w:pPr>
              <w:rPr>
                <w:rFonts w:ascii="宋体"/>
                <w:vanish/>
              </w:rPr>
            </w:pPr>
          </w:p>
        </w:tc>
        <w:tc>
          <w:tcPr>
            <w:tcW w:w="0" w:type="auto"/>
            <w:gridSpan w:val="3"/>
            <w:shd w:val="clear" w:color="auto" w:fill="auto"/>
            <w:vAlign w:val="bottom"/>
          </w:tcPr>
          <w:p w14:paraId="442F7136" w14:textId="77777777" w:rsidR="00CC25B5" w:rsidRDefault="00CC25B5">
            <w:pPr>
              <w:rPr>
                <w:rFonts w:ascii="宋体"/>
                <w:vanish/>
              </w:rPr>
            </w:pPr>
          </w:p>
        </w:tc>
        <w:tc>
          <w:tcPr>
            <w:tcW w:w="0" w:type="auto"/>
            <w:gridSpan w:val="3"/>
            <w:shd w:val="clear" w:color="auto" w:fill="auto"/>
            <w:vAlign w:val="bottom"/>
          </w:tcPr>
          <w:p w14:paraId="442F7137" w14:textId="77777777" w:rsidR="00CC25B5" w:rsidRDefault="00CC25B5">
            <w:pPr>
              <w:rPr>
                <w:rFonts w:ascii="宋体"/>
                <w:vanish/>
              </w:rPr>
            </w:pPr>
          </w:p>
        </w:tc>
        <w:tc>
          <w:tcPr>
            <w:tcW w:w="0" w:type="auto"/>
            <w:gridSpan w:val="3"/>
            <w:shd w:val="clear" w:color="auto" w:fill="auto"/>
            <w:vAlign w:val="bottom"/>
          </w:tcPr>
          <w:p w14:paraId="442F7138" w14:textId="77777777" w:rsidR="00CC25B5" w:rsidRDefault="00CC25B5">
            <w:pPr>
              <w:rPr>
                <w:rFonts w:ascii="宋体"/>
                <w:vanish/>
              </w:rPr>
            </w:pPr>
          </w:p>
        </w:tc>
        <w:tc>
          <w:tcPr>
            <w:tcW w:w="0" w:type="auto"/>
            <w:gridSpan w:val="3"/>
            <w:shd w:val="clear" w:color="auto" w:fill="auto"/>
            <w:vAlign w:val="bottom"/>
          </w:tcPr>
          <w:p w14:paraId="442F7139" w14:textId="77777777" w:rsidR="00CC25B5" w:rsidRDefault="00CC25B5">
            <w:pPr>
              <w:rPr>
                <w:rFonts w:ascii="宋体"/>
                <w:vanish/>
              </w:rPr>
            </w:pPr>
          </w:p>
        </w:tc>
        <w:tc>
          <w:tcPr>
            <w:tcW w:w="0" w:type="auto"/>
            <w:shd w:val="clear" w:color="auto" w:fill="auto"/>
            <w:vAlign w:val="bottom"/>
          </w:tcPr>
          <w:p w14:paraId="442F713A" w14:textId="77777777" w:rsidR="00CC25B5" w:rsidRDefault="00CC25B5">
            <w:pPr>
              <w:rPr>
                <w:rFonts w:ascii="宋体"/>
                <w:vanish/>
              </w:rPr>
            </w:pPr>
          </w:p>
        </w:tc>
        <w:tc>
          <w:tcPr>
            <w:tcW w:w="0" w:type="auto"/>
            <w:shd w:val="clear" w:color="auto" w:fill="auto"/>
            <w:vAlign w:val="bottom"/>
          </w:tcPr>
          <w:p w14:paraId="442F713B" w14:textId="77777777" w:rsidR="00CC25B5" w:rsidRDefault="00CC25B5">
            <w:pPr>
              <w:rPr>
                <w:rFonts w:ascii="宋体"/>
                <w:vanish/>
              </w:rPr>
            </w:pPr>
          </w:p>
        </w:tc>
        <w:tc>
          <w:tcPr>
            <w:tcW w:w="0" w:type="auto"/>
            <w:shd w:val="clear" w:color="auto" w:fill="auto"/>
            <w:vAlign w:val="bottom"/>
          </w:tcPr>
          <w:p w14:paraId="442F713C" w14:textId="77777777" w:rsidR="00CC25B5" w:rsidRDefault="00CC25B5">
            <w:pPr>
              <w:rPr>
                <w:rFonts w:ascii="宋体"/>
                <w:vanish/>
              </w:rPr>
            </w:pPr>
          </w:p>
        </w:tc>
      </w:tr>
      <w:tr w:rsidR="00CC25B5" w14:paraId="442F7151" w14:textId="77777777">
        <w:trPr>
          <w:jc w:val="center"/>
          <w:hidden/>
        </w:trPr>
        <w:tc>
          <w:tcPr>
            <w:tcW w:w="0" w:type="auto"/>
            <w:gridSpan w:val="3"/>
            <w:shd w:val="clear" w:color="auto" w:fill="auto"/>
            <w:vAlign w:val="bottom"/>
          </w:tcPr>
          <w:p w14:paraId="442F713E" w14:textId="77777777" w:rsidR="00CC25B5" w:rsidRDefault="00CC25B5">
            <w:pPr>
              <w:rPr>
                <w:rFonts w:ascii="宋体"/>
                <w:vanish/>
              </w:rPr>
            </w:pPr>
          </w:p>
        </w:tc>
        <w:tc>
          <w:tcPr>
            <w:tcW w:w="0" w:type="auto"/>
            <w:gridSpan w:val="3"/>
            <w:shd w:val="clear" w:color="auto" w:fill="auto"/>
            <w:vAlign w:val="bottom"/>
          </w:tcPr>
          <w:p w14:paraId="442F713F" w14:textId="77777777" w:rsidR="00CC25B5" w:rsidRDefault="00CC25B5">
            <w:pPr>
              <w:rPr>
                <w:rFonts w:ascii="宋体"/>
                <w:vanish/>
              </w:rPr>
            </w:pPr>
          </w:p>
        </w:tc>
        <w:tc>
          <w:tcPr>
            <w:tcW w:w="0" w:type="auto"/>
            <w:gridSpan w:val="3"/>
            <w:shd w:val="clear" w:color="auto" w:fill="auto"/>
            <w:vAlign w:val="bottom"/>
          </w:tcPr>
          <w:p w14:paraId="442F7140" w14:textId="77777777" w:rsidR="00CC25B5" w:rsidRDefault="00CC25B5">
            <w:pPr>
              <w:rPr>
                <w:rFonts w:ascii="宋体"/>
                <w:vanish/>
              </w:rPr>
            </w:pPr>
          </w:p>
        </w:tc>
        <w:tc>
          <w:tcPr>
            <w:tcW w:w="0" w:type="auto"/>
            <w:gridSpan w:val="3"/>
            <w:shd w:val="clear" w:color="auto" w:fill="auto"/>
            <w:vAlign w:val="bottom"/>
          </w:tcPr>
          <w:p w14:paraId="442F7141" w14:textId="77777777" w:rsidR="00CC25B5" w:rsidRDefault="00CC25B5">
            <w:pPr>
              <w:rPr>
                <w:rFonts w:ascii="宋体"/>
                <w:vanish/>
              </w:rPr>
            </w:pPr>
          </w:p>
        </w:tc>
        <w:tc>
          <w:tcPr>
            <w:tcW w:w="0" w:type="auto"/>
            <w:gridSpan w:val="3"/>
            <w:shd w:val="clear" w:color="auto" w:fill="auto"/>
            <w:vAlign w:val="bottom"/>
          </w:tcPr>
          <w:p w14:paraId="442F7142" w14:textId="77777777" w:rsidR="00CC25B5" w:rsidRDefault="00CC25B5">
            <w:pPr>
              <w:rPr>
                <w:rFonts w:ascii="宋体"/>
                <w:vanish/>
              </w:rPr>
            </w:pPr>
          </w:p>
        </w:tc>
        <w:tc>
          <w:tcPr>
            <w:tcW w:w="0" w:type="auto"/>
            <w:gridSpan w:val="3"/>
            <w:shd w:val="clear" w:color="auto" w:fill="auto"/>
            <w:vAlign w:val="bottom"/>
          </w:tcPr>
          <w:p w14:paraId="442F7143" w14:textId="77777777" w:rsidR="00CC25B5" w:rsidRDefault="00CC25B5">
            <w:pPr>
              <w:rPr>
                <w:rFonts w:ascii="宋体"/>
                <w:vanish/>
              </w:rPr>
            </w:pPr>
          </w:p>
        </w:tc>
        <w:tc>
          <w:tcPr>
            <w:tcW w:w="0" w:type="auto"/>
            <w:gridSpan w:val="3"/>
            <w:shd w:val="clear" w:color="auto" w:fill="auto"/>
            <w:vAlign w:val="bottom"/>
          </w:tcPr>
          <w:p w14:paraId="442F7144" w14:textId="77777777" w:rsidR="00CC25B5" w:rsidRDefault="00CC25B5">
            <w:pPr>
              <w:rPr>
                <w:rFonts w:ascii="宋体"/>
                <w:vanish/>
              </w:rPr>
            </w:pPr>
          </w:p>
        </w:tc>
        <w:tc>
          <w:tcPr>
            <w:tcW w:w="0" w:type="auto"/>
            <w:gridSpan w:val="3"/>
            <w:shd w:val="clear" w:color="auto" w:fill="auto"/>
            <w:vAlign w:val="bottom"/>
          </w:tcPr>
          <w:p w14:paraId="442F7145" w14:textId="77777777" w:rsidR="00CC25B5" w:rsidRDefault="00CC25B5">
            <w:pPr>
              <w:rPr>
                <w:rFonts w:ascii="宋体"/>
                <w:vanish/>
              </w:rPr>
            </w:pPr>
          </w:p>
        </w:tc>
        <w:tc>
          <w:tcPr>
            <w:tcW w:w="0" w:type="auto"/>
            <w:gridSpan w:val="3"/>
            <w:shd w:val="clear" w:color="auto" w:fill="auto"/>
            <w:vAlign w:val="bottom"/>
          </w:tcPr>
          <w:p w14:paraId="442F7146" w14:textId="77777777" w:rsidR="00CC25B5" w:rsidRDefault="00CC25B5">
            <w:pPr>
              <w:rPr>
                <w:rFonts w:ascii="宋体"/>
                <w:vanish/>
              </w:rPr>
            </w:pPr>
          </w:p>
        </w:tc>
        <w:tc>
          <w:tcPr>
            <w:tcW w:w="0" w:type="auto"/>
            <w:gridSpan w:val="3"/>
            <w:shd w:val="clear" w:color="auto" w:fill="auto"/>
            <w:vAlign w:val="bottom"/>
          </w:tcPr>
          <w:p w14:paraId="442F7147" w14:textId="77777777" w:rsidR="00CC25B5" w:rsidRDefault="00CC25B5">
            <w:pPr>
              <w:rPr>
                <w:rFonts w:ascii="宋体"/>
                <w:vanish/>
              </w:rPr>
            </w:pPr>
          </w:p>
        </w:tc>
        <w:tc>
          <w:tcPr>
            <w:tcW w:w="0" w:type="auto"/>
            <w:gridSpan w:val="3"/>
            <w:shd w:val="clear" w:color="auto" w:fill="auto"/>
            <w:vAlign w:val="bottom"/>
          </w:tcPr>
          <w:p w14:paraId="442F7148" w14:textId="77777777" w:rsidR="00CC25B5" w:rsidRDefault="00CC25B5">
            <w:pPr>
              <w:rPr>
                <w:rFonts w:ascii="宋体"/>
                <w:vanish/>
              </w:rPr>
            </w:pPr>
          </w:p>
        </w:tc>
        <w:tc>
          <w:tcPr>
            <w:tcW w:w="0" w:type="auto"/>
            <w:gridSpan w:val="3"/>
            <w:shd w:val="clear" w:color="auto" w:fill="auto"/>
            <w:vAlign w:val="bottom"/>
          </w:tcPr>
          <w:p w14:paraId="442F7149" w14:textId="77777777" w:rsidR="00CC25B5" w:rsidRDefault="00CC25B5">
            <w:pPr>
              <w:rPr>
                <w:rFonts w:ascii="宋体"/>
                <w:vanish/>
              </w:rPr>
            </w:pPr>
          </w:p>
        </w:tc>
        <w:tc>
          <w:tcPr>
            <w:tcW w:w="0" w:type="auto"/>
            <w:gridSpan w:val="3"/>
            <w:shd w:val="clear" w:color="auto" w:fill="auto"/>
            <w:vAlign w:val="bottom"/>
          </w:tcPr>
          <w:p w14:paraId="442F714A" w14:textId="77777777" w:rsidR="00CC25B5" w:rsidRDefault="00CC25B5">
            <w:pPr>
              <w:rPr>
                <w:rFonts w:ascii="宋体"/>
                <w:vanish/>
              </w:rPr>
            </w:pPr>
          </w:p>
        </w:tc>
        <w:tc>
          <w:tcPr>
            <w:tcW w:w="0" w:type="auto"/>
            <w:gridSpan w:val="3"/>
            <w:shd w:val="clear" w:color="auto" w:fill="auto"/>
            <w:vAlign w:val="bottom"/>
          </w:tcPr>
          <w:p w14:paraId="442F714B" w14:textId="77777777" w:rsidR="00CC25B5" w:rsidRDefault="00CC25B5">
            <w:pPr>
              <w:rPr>
                <w:rFonts w:ascii="宋体"/>
                <w:vanish/>
              </w:rPr>
            </w:pPr>
          </w:p>
        </w:tc>
        <w:tc>
          <w:tcPr>
            <w:tcW w:w="0" w:type="auto"/>
            <w:gridSpan w:val="3"/>
            <w:shd w:val="clear" w:color="auto" w:fill="auto"/>
            <w:vAlign w:val="bottom"/>
          </w:tcPr>
          <w:p w14:paraId="442F714C" w14:textId="77777777" w:rsidR="00CC25B5" w:rsidRDefault="00CC25B5">
            <w:pPr>
              <w:rPr>
                <w:rFonts w:ascii="宋体"/>
                <w:vanish/>
              </w:rPr>
            </w:pPr>
          </w:p>
        </w:tc>
        <w:tc>
          <w:tcPr>
            <w:tcW w:w="0" w:type="auto"/>
            <w:gridSpan w:val="3"/>
            <w:shd w:val="clear" w:color="auto" w:fill="auto"/>
            <w:vAlign w:val="bottom"/>
          </w:tcPr>
          <w:p w14:paraId="442F714D" w14:textId="77777777" w:rsidR="00CC25B5" w:rsidRDefault="00CC25B5">
            <w:pPr>
              <w:rPr>
                <w:rFonts w:ascii="宋体"/>
                <w:vanish/>
              </w:rPr>
            </w:pPr>
          </w:p>
        </w:tc>
        <w:tc>
          <w:tcPr>
            <w:tcW w:w="0" w:type="auto"/>
            <w:shd w:val="clear" w:color="auto" w:fill="auto"/>
            <w:vAlign w:val="bottom"/>
          </w:tcPr>
          <w:p w14:paraId="442F714E" w14:textId="77777777" w:rsidR="00CC25B5" w:rsidRDefault="00CC25B5">
            <w:pPr>
              <w:rPr>
                <w:rFonts w:ascii="宋体"/>
                <w:vanish/>
              </w:rPr>
            </w:pPr>
          </w:p>
        </w:tc>
        <w:tc>
          <w:tcPr>
            <w:tcW w:w="0" w:type="auto"/>
            <w:shd w:val="clear" w:color="auto" w:fill="auto"/>
            <w:vAlign w:val="bottom"/>
          </w:tcPr>
          <w:p w14:paraId="442F714F" w14:textId="77777777" w:rsidR="00CC25B5" w:rsidRDefault="00CC25B5">
            <w:pPr>
              <w:rPr>
                <w:rFonts w:ascii="宋体"/>
                <w:vanish/>
              </w:rPr>
            </w:pPr>
          </w:p>
        </w:tc>
        <w:tc>
          <w:tcPr>
            <w:tcW w:w="0" w:type="auto"/>
            <w:shd w:val="clear" w:color="auto" w:fill="auto"/>
            <w:vAlign w:val="bottom"/>
          </w:tcPr>
          <w:p w14:paraId="442F7150" w14:textId="77777777" w:rsidR="00CC25B5" w:rsidRDefault="00CC25B5">
            <w:pPr>
              <w:rPr>
                <w:rFonts w:ascii="宋体"/>
                <w:vanish/>
              </w:rPr>
            </w:pPr>
          </w:p>
        </w:tc>
      </w:tr>
      <w:tr w:rsidR="00CC25B5" w14:paraId="442F7165" w14:textId="77777777">
        <w:trPr>
          <w:jc w:val="center"/>
          <w:hidden/>
        </w:trPr>
        <w:tc>
          <w:tcPr>
            <w:tcW w:w="0" w:type="auto"/>
            <w:gridSpan w:val="3"/>
            <w:shd w:val="clear" w:color="auto" w:fill="auto"/>
            <w:vAlign w:val="bottom"/>
          </w:tcPr>
          <w:p w14:paraId="442F7152" w14:textId="77777777" w:rsidR="00CC25B5" w:rsidRDefault="00CC25B5">
            <w:pPr>
              <w:rPr>
                <w:rFonts w:ascii="宋体"/>
                <w:vanish/>
              </w:rPr>
            </w:pPr>
          </w:p>
        </w:tc>
        <w:tc>
          <w:tcPr>
            <w:tcW w:w="0" w:type="auto"/>
            <w:gridSpan w:val="3"/>
            <w:shd w:val="clear" w:color="auto" w:fill="auto"/>
            <w:vAlign w:val="bottom"/>
          </w:tcPr>
          <w:p w14:paraId="442F7153" w14:textId="77777777" w:rsidR="00CC25B5" w:rsidRDefault="00CC25B5">
            <w:pPr>
              <w:rPr>
                <w:rFonts w:ascii="宋体"/>
                <w:vanish/>
              </w:rPr>
            </w:pPr>
          </w:p>
        </w:tc>
        <w:tc>
          <w:tcPr>
            <w:tcW w:w="0" w:type="auto"/>
            <w:gridSpan w:val="3"/>
            <w:shd w:val="clear" w:color="auto" w:fill="auto"/>
            <w:vAlign w:val="bottom"/>
          </w:tcPr>
          <w:p w14:paraId="442F7154" w14:textId="77777777" w:rsidR="00CC25B5" w:rsidRDefault="00CC25B5">
            <w:pPr>
              <w:rPr>
                <w:rFonts w:ascii="宋体"/>
                <w:vanish/>
              </w:rPr>
            </w:pPr>
          </w:p>
        </w:tc>
        <w:tc>
          <w:tcPr>
            <w:tcW w:w="0" w:type="auto"/>
            <w:gridSpan w:val="3"/>
            <w:shd w:val="clear" w:color="auto" w:fill="auto"/>
            <w:vAlign w:val="bottom"/>
          </w:tcPr>
          <w:p w14:paraId="442F7155" w14:textId="77777777" w:rsidR="00CC25B5" w:rsidRDefault="00CC25B5">
            <w:pPr>
              <w:rPr>
                <w:rFonts w:ascii="宋体"/>
                <w:vanish/>
              </w:rPr>
            </w:pPr>
          </w:p>
        </w:tc>
        <w:tc>
          <w:tcPr>
            <w:tcW w:w="0" w:type="auto"/>
            <w:gridSpan w:val="3"/>
            <w:shd w:val="clear" w:color="auto" w:fill="auto"/>
            <w:vAlign w:val="bottom"/>
          </w:tcPr>
          <w:p w14:paraId="442F7156" w14:textId="77777777" w:rsidR="00CC25B5" w:rsidRDefault="00CC25B5">
            <w:pPr>
              <w:rPr>
                <w:rFonts w:ascii="宋体"/>
                <w:vanish/>
              </w:rPr>
            </w:pPr>
          </w:p>
        </w:tc>
        <w:tc>
          <w:tcPr>
            <w:tcW w:w="0" w:type="auto"/>
            <w:gridSpan w:val="3"/>
            <w:shd w:val="clear" w:color="auto" w:fill="auto"/>
            <w:vAlign w:val="bottom"/>
          </w:tcPr>
          <w:p w14:paraId="442F7157" w14:textId="77777777" w:rsidR="00CC25B5" w:rsidRDefault="00CC25B5">
            <w:pPr>
              <w:rPr>
                <w:rFonts w:ascii="宋体"/>
                <w:vanish/>
              </w:rPr>
            </w:pPr>
          </w:p>
        </w:tc>
        <w:tc>
          <w:tcPr>
            <w:tcW w:w="0" w:type="auto"/>
            <w:gridSpan w:val="3"/>
            <w:shd w:val="clear" w:color="auto" w:fill="auto"/>
            <w:vAlign w:val="bottom"/>
          </w:tcPr>
          <w:p w14:paraId="442F7158" w14:textId="77777777" w:rsidR="00CC25B5" w:rsidRDefault="00CC25B5">
            <w:pPr>
              <w:rPr>
                <w:rFonts w:ascii="宋体"/>
                <w:vanish/>
              </w:rPr>
            </w:pPr>
          </w:p>
        </w:tc>
        <w:tc>
          <w:tcPr>
            <w:tcW w:w="0" w:type="auto"/>
            <w:gridSpan w:val="3"/>
            <w:shd w:val="clear" w:color="auto" w:fill="auto"/>
            <w:vAlign w:val="bottom"/>
          </w:tcPr>
          <w:p w14:paraId="442F7159" w14:textId="77777777" w:rsidR="00CC25B5" w:rsidRDefault="00CC25B5">
            <w:pPr>
              <w:rPr>
                <w:rFonts w:ascii="宋体"/>
                <w:vanish/>
              </w:rPr>
            </w:pPr>
          </w:p>
        </w:tc>
        <w:tc>
          <w:tcPr>
            <w:tcW w:w="0" w:type="auto"/>
            <w:gridSpan w:val="3"/>
            <w:shd w:val="clear" w:color="auto" w:fill="auto"/>
            <w:vAlign w:val="bottom"/>
          </w:tcPr>
          <w:p w14:paraId="442F715A" w14:textId="77777777" w:rsidR="00CC25B5" w:rsidRDefault="00CC25B5">
            <w:pPr>
              <w:rPr>
                <w:rFonts w:ascii="宋体"/>
                <w:vanish/>
              </w:rPr>
            </w:pPr>
          </w:p>
        </w:tc>
        <w:tc>
          <w:tcPr>
            <w:tcW w:w="0" w:type="auto"/>
            <w:gridSpan w:val="3"/>
            <w:shd w:val="clear" w:color="auto" w:fill="auto"/>
            <w:vAlign w:val="bottom"/>
          </w:tcPr>
          <w:p w14:paraId="442F715B" w14:textId="77777777" w:rsidR="00CC25B5" w:rsidRDefault="00CC25B5">
            <w:pPr>
              <w:rPr>
                <w:rFonts w:ascii="宋体"/>
                <w:vanish/>
              </w:rPr>
            </w:pPr>
          </w:p>
        </w:tc>
        <w:tc>
          <w:tcPr>
            <w:tcW w:w="0" w:type="auto"/>
            <w:gridSpan w:val="3"/>
            <w:shd w:val="clear" w:color="auto" w:fill="auto"/>
            <w:vAlign w:val="bottom"/>
          </w:tcPr>
          <w:p w14:paraId="442F715C" w14:textId="77777777" w:rsidR="00CC25B5" w:rsidRDefault="00CC25B5">
            <w:pPr>
              <w:rPr>
                <w:rFonts w:ascii="宋体"/>
                <w:vanish/>
              </w:rPr>
            </w:pPr>
          </w:p>
        </w:tc>
        <w:tc>
          <w:tcPr>
            <w:tcW w:w="0" w:type="auto"/>
            <w:gridSpan w:val="3"/>
            <w:shd w:val="clear" w:color="auto" w:fill="auto"/>
            <w:vAlign w:val="bottom"/>
          </w:tcPr>
          <w:p w14:paraId="442F715D" w14:textId="77777777" w:rsidR="00CC25B5" w:rsidRDefault="00CC25B5">
            <w:pPr>
              <w:rPr>
                <w:rFonts w:ascii="宋体"/>
                <w:vanish/>
              </w:rPr>
            </w:pPr>
          </w:p>
        </w:tc>
        <w:tc>
          <w:tcPr>
            <w:tcW w:w="0" w:type="auto"/>
            <w:gridSpan w:val="3"/>
            <w:shd w:val="clear" w:color="auto" w:fill="auto"/>
            <w:vAlign w:val="bottom"/>
          </w:tcPr>
          <w:p w14:paraId="442F715E" w14:textId="77777777" w:rsidR="00CC25B5" w:rsidRDefault="00CC25B5">
            <w:pPr>
              <w:rPr>
                <w:rFonts w:ascii="宋体"/>
                <w:vanish/>
              </w:rPr>
            </w:pPr>
          </w:p>
        </w:tc>
        <w:tc>
          <w:tcPr>
            <w:tcW w:w="0" w:type="auto"/>
            <w:gridSpan w:val="3"/>
            <w:shd w:val="clear" w:color="auto" w:fill="auto"/>
            <w:vAlign w:val="bottom"/>
          </w:tcPr>
          <w:p w14:paraId="442F715F" w14:textId="77777777" w:rsidR="00CC25B5" w:rsidRDefault="00CC25B5">
            <w:pPr>
              <w:rPr>
                <w:rFonts w:ascii="宋体"/>
                <w:vanish/>
              </w:rPr>
            </w:pPr>
          </w:p>
        </w:tc>
        <w:tc>
          <w:tcPr>
            <w:tcW w:w="0" w:type="auto"/>
            <w:gridSpan w:val="3"/>
            <w:shd w:val="clear" w:color="auto" w:fill="auto"/>
            <w:vAlign w:val="bottom"/>
          </w:tcPr>
          <w:p w14:paraId="442F7160" w14:textId="77777777" w:rsidR="00CC25B5" w:rsidRDefault="00CC25B5">
            <w:pPr>
              <w:rPr>
                <w:rFonts w:ascii="宋体"/>
                <w:vanish/>
              </w:rPr>
            </w:pPr>
          </w:p>
        </w:tc>
        <w:tc>
          <w:tcPr>
            <w:tcW w:w="0" w:type="auto"/>
            <w:gridSpan w:val="3"/>
            <w:shd w:val="clear" w:color="auto" w:fill="auto"/>
            <w:vAlign w:val="bottom"/>
          </w:tcPr>
          <w:p w14:paraId="442F7161" w14:textId="77777777" w:rsidR="00CC25B5" w:rsidRDefault="00CC25B5">
            <w:pPr>
              <w:rPr>
                <w:rFonts w:ascii="宋体"/>
                <w:vanish/>
              </w:rPr>
            </w:pPr>
          </w:p>
        </w:tc>
        <w:tc>
          <w:tcPr>
            <w:tcW w:w="0" w:type="auto"/>
            <w:shd w:val="clear" w:color="auto" w:fill="auto"/>
            <w:vAlign w:val="bottom"/>
          </w:tcPr>
          <w:p w14:paraId="442F7162" w14:textId="77777777" w:rsidR="00CC25B5" w:rsidRDefault="00CC25B5">
            <w:pPr>
              <w:rPr>
                <w:rFonts w:ascii="宋体"/>
                <w:vanish/>
              </w:rPr>
            </w:pPr>
          </w:p>
        </w:tc>
        <w:tc>
          <w:tcPr>
            <w:tcW w:w="0" w:type="auto"/>
            <w:shd w:val="clear" w:color="auto" w:fill="auto"/>
            <w:vAlign w:val="bottom"/>
          </w:tcPr>
          <w:p w14:paraId="442F7163" w14:textId="77777777" w:rsidR="00CC25B5" w:rsidRDefault="00CC25B5">
            <w:pPr>
              <w:rPr>
                <w:rFonts w:ascii="宋体"/>
                <w:vanish/>
              </w:rPr>
            </w:pPr>
          </w:p>
        </w:tc>
        <w:tc>
          <w:tcPr>
            <w:tcW w:w="0" w:type="auto"/>
            <w:shd w:val="clear" w:color="auto" w:fill="auto"/>
            <w:vAlign w:val="bottom"/>
          </w:tcPr>
          <w:p w14:paraId="442F7164" w14:textId="77777777" w:rsidR="00CC25B5" w:rsidRDefault="00CC25B5">
            <w:pPr>
              <w:rPr>
                <w:rFonts w:ascii="宋体"/>
                <w:vanish/>
              </w:rPr>
            </w:pPr>
          </w:p>
        </w:tc>
      </w:tr>
      <w:tr w:rsidR="00CC25B5" w14:paraId="442F7179" w14:textId="77777777">
        <w:trPr>
          <w:jc w:val="center"/>
          <w:hidden/>
        </w:trPr>
        <w:tc>
          <w:tcPr>
            <w:tcW w:w="0" w:type="auto"/>
            <w:gridSpan w:val="3"/>
            <w:shd w:val="clear" w:color="auto" w:fill="auto"/>
            <w:vAlign w:val="bottom"/>
          </w:tcPr>
          <w:p w14:paraId="442F7166" w14:textId="77777777" w:rsidR="00CC25B5" w:rsidRDefault="00CC25B5">
            <w:pPr>
              <w:rPr>
                <w:rFonts w:ascii="宋体"/>
                <w:vanish/>
              </w:rPr>
            </w:pPr>
          </w:p>
        </w:tc>
        <w:tc>
          <w:tcPr>
            <w:tcW w:w="0" w:type="auto"/>
            <w:gridSpan w:val="3"/>
            <w:shd w:val="clear" w:color="auto" w:fill="auto"/>
            <w:vAlign w:val="bottom"/>
          </w:tcPr>
          <w:p w14:paraId="442F7167" w14:textId="77777777" w:rsidR="00CC25B5" w:rsidRDefault="00CC25B5">
            <w:pPr>
              <w:rPr>
                <w:rFonts w:ascii="宋体"/>
                <w:vanish/>
              </w:rPr>
            </w:pPr>
          </w:p>
        </w:tc>
        <w:tc>
          <w:tcPr>
            <w:tcW w:w="0" w:type="auto"/>
            <w:gridSpan w:val="3"/>
            <w:shd w:val="clear" w:color="auto" w:fill="auto"/>
            <w:vAlign w:val="bottom"/>
          </w:tcPr>
          <w:p w14:paraId="442F7168" w14:textId="77777777" w:rsidR="00CC25B5" w:rsidRDefault="00CC25B5">
            <w:pPr>
              <w:rPr>
                <w:rFonts w:ascii="宋体"/>
                <w:vanish/>
              </w:rPr>
            </w:pPr>
          </w:p>
        </w:tc>
        <w:tc>
          <w:tcPr>
            <w:tcW w:w="0" w:type="auto"/>
            <w:gridSpan w:val="3"/>
            <w:shd w:val="clear" w:color="auto" w:fill="auto"/>
            <w:vAlign w:val="bottom"/>
          </w:tcPr>
          <w:p w14:paraId="442F7169" w14:textId="77777777" w:rsidR="00CC25B5" w:rsidRDefault="00CC25B5">
            <w:pPr>
              <w:rPr>
                <w:rFonts w:ascii="宋体"/>
                <w:vanish/>
              </w:rPr>
            </w:pPr>
          </w:p>
        </w:tc>
        <w:tc>
          <w:tcPr>
            <w:tcW w:w="0" w:type="auto"/>
            <w:gridSpan w:val="3"/>
            <w:shd w:val="clear" w:color="auto" w:fill="auto"/>
            <w:vAlign w:val="bottom"/>
          </w:tcPr>
          <w:p w14:paraId="442F716A" w14:textId="77777777" w:rsidR="00CC25B5" w:rsidRDefault="00CC25B5">
            <w:pPr>
              <w:rPr>
                <w:rFonts w:ascii="宋体"/>
                <w:vanish/>
              </w:rPr>
            </w:pPr>
          </w:p>
        </w:tc>
        <w:tc>
          <w:tcPr>
            <w:tcW w:w="0" w:type="auto"/>
            <w:gridSpan w:val="3"/>
            <w:shd w:val="clear" w:color="auto" w:fill="auto"/>
            <w:vAlign w:val="bottom"/>
          </w:tcPr>
          <w:p w14:paraId="442F716B" w14:textId="77777777" w:rsidR="00CC25B5" w:rsidRDefault="00CC25B5">
            <w:pPr>
              <w:rPr>
                <w:rFonts w:ascii="宋体"/>
                <w:vanish/>
              </w:rPr>
            </w:pPr>
          </w:p>
        </w:tc>
        <w:tc>
          <w:tcPr>
            <w:tcW w:w="0" w:type="auto"/>
            <w:gridSpan w:val="3"/>
            <w:shd w:val="clear" w:color="auto" w:fill="auto"/>
            <w:vAlign w:val="bottom"/>
          </w:tcPr>
          <w:p w14:paraId="442F716C" w14:textId="77777777" w:rsidR="00CC25B5" w:rsidRDefault="00CC25B5">
            <w:pPr>
              <w:rPr>
                <w:rFonts w:ascii="宋体"/>
                <w:vanish/>
              </w:rPr>
            </w:pPr>
          </w:p>
        </w:tc>
        <w:tc>
          <w:tcPr>
            <w:tcW w:w="0" w:type="auto"/>
            <w:gridSpan w:val="3"/>
            <w:shd w:val="clear" w:color="auto" w:fill="auto"/>
            <w:vAlign w:val="bottom"/>
          </w:tcPr>
          <w:p w14:paraId="442F716D" w14:textId="77777777" w:rsidR="00CC25B5" w:rsidRDefault="00CC25B5">
            <w:pPr>
              <w:rPr>
                <w:rFonts w:ascii="宋体"/>
                <w:vanish/>
              </w:rPr>
            </w:pPr>
          </w:p>
        </w:tc>
        <w:tc>
          <w:tcPr>
            <w:tcW w:w="0" w:type="auto"/>
            <w:gridSpan w:val="3"/>
            <w:shd w:val="clear" w:color="auto" w:fill="auto"/>
            <w:vAlign w:val="bottom"/>
          </w:tcPr>
          <w:p w14:paraId="442F716E" w14:textId="77777777" w:rsidR="00CC25B5" w:rsidRDefault="00CC25B5">
            <w:pPr>
              <w:rPr>
                <w:rFonts w:ascii="宋体"/>
                <w:vanish/>
              </w:rPr>
            </w:pPr>
          </w:p>
        </w:tc>
        <w:tc>
          <w:tcPr>
            <w:tcW w:w="0" w:type="auto"/>
            <w:gridSpan w:val="3"/>
            <w:shd w:val="clear" w:color="auto" w:fill="auto"/>
            <w:vAlign w:val="bottom"/>
          </w:tcPr>
          <w:p w14:paraId="442F716F" w14:textId="77777777" w:rsidR="00CC25B5" w:rsidRDefault="00CC25B5">
            <w:pPr>
              <w:rPr>
                <w:rFonts w:ascii="宋体"/>
                <w:vanish/>
              </w:rPr>
            </w:pPr>
          </w:p>
        </w:tc>
        <w:tc>
          <w:tcPr>
            <w:tcW w:w="0" w:type="auto"/>
            <w:gridSpan w:val="3"/>
            <w:shd w:val="clear" w:color="auto" w:fill="auto"/>
            <w:vAlign w:val="bottom"/>
          </w:tcPr>
          <w:p w14:paraId="442F7170" w14:textId="77777777" w:rsidR="00CC25B5" w:rsidRDefault="00CC25B5">
            <w:pPr>
              <w:rPr>
                <w:rFonts w:ascii="宋体"/>
                <w:vanish/>
              </w:rPr>
            </w:pPr>
          </w:p>
        </w:tc>
        <w:tc>
          <w:tcPr>
            <w:tcW w:w="0" w:type="auto"/>
            <w:gridSpan w:val="3"/>
            <w:shd w:val="clear" w:color="auto" w:fill="auto"/>
            <w:vAlign w:val="bottom"/>
          </w:tcPr>
          <w:p w14:paraId="442F7171" w14:textId="77777777" w:rsidR="00CC25B5" w:rsidRDefault="00CC25B5">
            <w:pPr>
              <w:rPr>
                <w:rFonts w:ascii="宋体"/>
                <w:vanish/>
              </w:rPr>
            </w:pPr>
          </w:p>
        </w:tc>
        <w:tc>
          <w:tcPr>
            <w:tcW w:w="0" w:type="auto"/>
            <w:gridSpan w:val="3"/>
            <w:shd w:val="clear" w:color="auto" w:fill="auto"/>
            <w:vAlign w:val="bottom"/>
          </w:tcPr>
          <w:p w14:paraId="442F7172" w14:textId="77777777" w:rsidR="00CC25B5" w:rsidRDefault="00CC25B5">
            <w:pPr>
              <w:rPr>
                <w:rFonts w:ascii="宋体"/>
                <w:vanish/>
              </w:rPr>
            </w:pPr>
          </w:p>
        </w:tc>
        <w:tc>
          <w:tcPr>
            <w:tcW w:w="0" w:type="auto"/>
            <w:gridSpan w:val="3"/>
            <w:shd w:val="clear" w:color="auto" w:fill="auto"/>
            <w:vAlign w:val="bottom"/>
          </w:tcPr>
          <w:p w14:paraId="442F7173" w14:textId="77777777" w:rsidR="00CC25B5" w:rsidRDefault="00CC25B5">
            <w:pPr>
              <w:rPr>
                <w:rFonts w:ascii="宋体"/>
                <w:vanish/>
              </w:rPr>
            </w:pPr>
          </w:p>
        </w:tc>
        <w:tc>
          <w:tcPr>
            <w:tcW w:w="0" w:type="auto"/>
            <w:gridSpan w:val="3"/>
            <w:shd w:val="clear" w:color="auto" w:fill="auto"/>
            <w:vAlign w:val="bottom"/>
          </w:tcPr>
          <w:p w14:paraId="442F7174" w14:textId="77777777" w:rsidR="00CC25B5" w:rsidRDefault="00CC25B5">
            <w:pPr>
              <w:rPr>
                <w:rFonts w:ascii="宋体"/>
                <w:vanish/>
              </w:rPr>
            </w:pPr>
          </w:p>
        </w:tc>
        <w:tc>
          <w:tcPr>
            <w:tcW w:w="0" w:type="auto"/>
            <w:gridSpan w:val="3"/>
            <w:shd w:val="clear" w:color="auto" w:fill="auto"/>
            <w:vAlign w:val="bottom"/>
          </w:tcPr>
          <w:p w14:paraId="442F7175" w14:textId="77777777" w:rsidR="00CC25B5" w:rsidRDefault="00CC25B5">
            <w:pPr>
              <w:rPr>
                <w:rFonts w:ascii="宋体"/>
                <w:vanish/>
              </w:rPr>
            </w:pPr>
          </w:p>
        </w:tc>
        <w:tc>
          <w:tcPr>
            <w:tcW w:w="0" w:type="auto"/>
            <w:shd w:val="clear" w:color="auto" w:fill="auto"/>
            <w:vAlign w:val="bottom"/>
          </w:tcPr>
          <w:p w14:paraId="442F7176" w14:textId="77777777" w:rsidR="00CC25B5" w:rsidRDefault="00CC25B5">
            <w:pPr>
              <w:rPr>
                <w:rFonts w:ascii="宋体"/>
                <w:vanish/>
              </w:rPr>
            </w:pPr>
          </w:p>
        </w:tc>
        <w:tc>
          <w:tcPr>
            <w:tcW w:w="0" w:type="auto"/>
            <w:shd w:val="clear" w:color="auto" w:fill="auto"/>
            <w:vAlign w:val="bottom"/>
          </w:tcPr>
          <w:p w14:paraId="442F7177" w14:textId="77777777" w:rsidR="00CC25B5" w:rsidRDefault="00CC25B5">
            <w:pPr>
              <w:rPr>
                <w:rFonts w:ascii="宋体"/>
                <w:vanish/>
              </w:rPr>
            </w:pPr>
          </w:p>
        </w:tc>
        <w:tc>
          <w:tcPr>
            <w:tcW w:w="0" w:type="auto"/>
            <w:shd w:val="clear" w:color="auto" w:fill="auto"/>
            <w:vAlign w:val="bottom"/>
          </w:tcPr>
          <w:p w14:paraId="442F7178" w14:textId="77777777" w:rsidR="00CC25B5" w:rsidRDefault="00CC25B5">
            <w:pPr>
              <w:rPr>
                <w:rFonts w:ascii="宋体"/>
                <w:vanish/>
              </w:rPr>
            </w:pPr>
          </w:p>
        </w:tc>
      </w:tr>
      <w:tr w:rsidR="00CC25B5" w14:paraId="442F718D" w14:textId="77777777">
        <w:trPr>
          <w:jc w:val="center"/>
          <w:hidden/>
        </w:trPr>
        <w:tc>
          <w:tcPr>
            <w:tcW w:w="0" w:type="auto"/>
            <w:gridSpan w:val="3"/>
            <w:shd w:val="clear" w:color="auto" w:fill="auto"/>
            <w:vAlign w:val="bottom"/>
          </w:tcPr>
          <w:p w14:paraId="442F717A" w14:textId="77777777" w:rsidR="00CC25B5" w:rsidRDefault="00CC25B5">
            <w:pPr>
              <w:rPr>
                <w:rFonts w:ascii="宋体"/>
                <w:vanish/>
              </w:rPr>
            </w:pPr>
          </w:p>
        </w:tc>
        <w:tc>
          <w:tcPr>
            <w:tcW w:w="0" w:type="auto"/>
            <w:gridSpan w:val="3"/>
            <w:shd w:val="clear" w:color="auto" w:fill="auto"/>
            <w:vAlign w:val="bottom"/>
          </w:tcPr>
          <w:p w14:paraId="442F717B" w14:textId="77777777" w:rsidR="00CC25B5" w:rsidRDefault="00CC25B5">
            <w:pPr>
              <w:rPr>
                <w:rFonts w:ascii="宋体"/>
                <w:vanish/>
              </w:rPr>
            </w:pPr>
          </w:p>
        </w:tc>
        <w:tc>
          <w:tcPr>
            <w:tcW w:w="0" w:type="auto"/>
            <w:gridSpan w:val="3"/>
            <w:shd w:val="clear" w:color="auto" w:fill="auto"/>
            <w:vAlign w:val="bottom"/>
          </w:tcPr>
          <w:p w14:paraId="442F717C" w14:textId="77777777" w:rsidR="00CC25B5" w:rsidRDefault="00CC25B5">
            <w:pPr>
              <w:rPr>
                <w:rFonts w:ascii="宋体"/>
                <w:vanish/>
              </w:rPr>
            </w:pPr>
          </w:p>
        </w:tc>
        <w:tc>
          <w:tcPr>
            <w:tcW w:w="0" w:type="auto"/>
            <w:gridSpan w:val="3"/>
            <w:shd w:val="clear" w:color="auto" w:fill="auto"/>
            <w:vAlign w:val="bottom"/>
          </w:tcPr>
          <w:p w14:paraId="442F717D" w14:textId="77777777" w:rsidR="00CC25B5" w:rsidRDefault="00CC25B5">
            <w:pPr>
              <w:rPr>
                <w:rFonts w:ascii="宋体"/>
                <w:vanish/>
              </w:rPr>
            </w:pPr>
          </w:p>
        </w:tc>
        <w:tc>
          <w:tcPr>
            <w:tcW w:w="0" w:type="auto"/>
            <w:gridSpan w:val="3"/>
            <w:shd w:val="clear" w:color="auto" w:fill="auto"/>
            <w:vAlign w:val="bottom"/>
          </w:tcPr>
          <w:p w14:paraId="442F717E" w14:textId="77777777" w:rsidR="00CC25B5" w:rsidRDefault="00CC25B5">
            <w:pPr>
              <w:rPr>
                <w:rFonts w:ascii="宋体"/>
                <w:vanish/>
              </w:rPr>
            </w:pPr>
          </w:p>
        </w:tc>
        <w:tc>
          <w:tcPr>
            <w:tcW w:w="0" w:type="auto"/>
            <w:gridSpan w:val="3"/>
            <w:shd w:val="clear" w:color="auto" w:fill="auto"/>
            <w:vAlign w:val="bottom"/>
          </w:tcPr>
          <w:p w14:paraId="442F717F" w14:textId="77777777" w:rsidR="00CC25B5" w:rsidRDefault="00CC25B5">
            <w:pPr>
              <w:rPr>
                <w:rFonts w:ascii="宋体"/>
                <w:vanish/>
              </w:rPr>
            </w:pPr>
          </w:p>
        </w:tc>
        <w:tc>
          <w:tcPr>
            <w:tcW w:w="0" w:type="auto"/>
            <w:gridSpan w:val="3"/>
            <w:shd w:val="clear" w:color="auto" w:fill="auto"/>
            <w:vAlign w:val="bottom"/>
          </w:tcPr>
          <w:p w14:paraId="442F7180" w14:textId="77777777" w:rsidR="00CC25B5" w:rsidRDefault="00CC25B5">
            <w:pPr>
              <w:rPr>
                <w:rFonts w:ascii="宋体"/>
                <w:vanish/>
              </w:rPr>
            </w:pPr>
          </w:p>
        </w:tc>
        <w:tc>
          <w:tcPr>
            <w:tcW w:w="0" w:type="auto"/>
            <w:gridSpan w:val="3"/>
            <w:shd w:val="clear" w:color="auto" w:fill="auto"/>
            <w:vAlign w:val="bottom"/>
          </w:tcPr>
          <w:p w14:paraId="442F7181" w14:textId="77777777" w:rsidR="00CC25B5" w:rsidRDefault="00CC25B5">
            <w:pPr>
              <w:rPr>
                <w:rFonts w:ascii="宋体"/>
                <w:vanish/>
              </w:rPr>
            </w:pPr>
          </w:p>
        </w:tc>
        <w:tc>
          <w:tcPr>
            <w:tcW w:w="0" w:type="auto"/>
            <w:gridSpan w:val="3"/>
            <w:shd w:val="clear" w:color="auto" w:fill="auto"/>
            <w:vAlign w:val="bottom"/>
          </w:tcPr>
          <w:p w14:paraId="442F7182" w14:textId="77777777" w:rsidR="00CC25B5" w:rsidRDefault="00CC25B5">
            <w:pPr>
              <w:rPr>
                <w:rFonts w:ascii="宋体"/>
                <w:vanish/>
              </w:rPr>
            </w:pPr>
          </w:p>
        </w:tc>
        <w:tc>
          <w:tcPr>
            <w:tcW w:w="0" w:type="auto"/>
            <w:gridSpan w:val="3"/>
            <w:shd w:val="clear" w:color="auto" w:fill="auto"/>
            <w:vAlign w:val="bottom"/>
          </w:tcPr>
          <w:p w14:paraId="442F7183" w14:textId="77777777" w:rsidR="00CC25B5" w:rsidRDefault="00CC25B5">
            <w:pPr>
              <w:rPr>
                <w:rFonts w:ascii="宋体"/>
                <w:vanish/>
              </w:rPr>
            </w:pPr>
          </w:p>
        </w:tc>
        <w:tc>
          <w:tcPr>
            <w:tcW w:w="0" w:type="auto"/>
            <w:gridSpan w:val="3"/>
            <w:shd w:val="clear" w:color="auto" w:fill="auto"/>
            <w:vAlign w:val="bottom"/>
          </w:tcPr>
          <w:p w14:paraId="442F7184" w14:textId="77777777" w:rsidR="00CC25B5" w:rsidRDefault="00CC25B5">
            <w:pPr>
              <w:rPr>
                <w:rFonts w:ascii="宋体"/>
                <w:vanish/>
              </w:rPr>
            </w:pPr>
          </w:p>
        </w:tc>
        <w:tc>
          <w:tcPr>
            <w:tcW w:w="0" w:type="auto"/>
            <w:gridSpan w:val="3"/>
            <w:shd w:val="clear" w:color="auto" w:fill="auto"/>
            <w:vAlign w:val="bottom"/>
          </w:tcPr>
          <w:p w14:paraId="442F7185" w14:textId="77777777" w:rsidR="00CC25B5" w:rsidRDefault="00CC25B5">
            <w:pPr>
              <w:rPr>
                <w:rFonts w:ascii="宋体"/>
                <w:vanish/>
              </w:rPr>
            </w:pPr>
          </w:p>
        </w:tc>
        <w:tc>
          <w:tcPr>
            <w:tcW w:w="0" w:type="auto"/>
            <w:gridSpan w:val="3"/>
            <w:shd w:val="clear" w:color="auto" w:fill="auto"/>
            <w:vAlign w:val="bottom"/>
          </w:tcPr>
          <w:p w14:paraId="442F7186" w14:textId="77777777" w:rsidR="00CC25B5" w:rsidRDefault="00CC25B5">
            <w:pPr>
              <w:rPr>
                <w:rFonts w:ascii="宋体"/>
                <w:vanish/>
              </w:rPr>
            </w:pPr>
          </w:p>
        </w:tc>
        <w:tc>
          <w:tcPr>
            <w:tcW w:w="0" w:type="auto"/>
            <w:gridSpan w:val="3"/>
            <w:shd w:val="clear" w:color="auto" w:fill="auto"/>
            <w:vAlign w:val="bottom"/>
          </w:tcPr>
          <w:p w14:paraId="442F7187" w14:textId="77777777" w:rsidR="00CC25B5" w:rsidRDefault="00CC25B5">
            <w:pPr>
              <w:rPr>
                <w:rFonts w:ascii="宋体"/>
                <w:vanish/>
              </w:rPr>
            </w:pPr>
          </w:p>
        </w:tc>
        <w:tc>
          <w:tcPr>
            <w:tcW w:w="0" w:type="auto"/>
            <w:gridSpan w:val="3"/>
            <w:shd w:val="clear" w:color="auto" w:fill="auto"/>
            <w:vAlign w:val="bottom"/>
          </w:tcPr>
          <w:p w14:paraId="442F7188" w14:textId="77777777" w:rsidR="00CC25B5" w:rsidRDefault="00CC25B5">
            <w:pPr>
              <w:rPr>
                <w:rFonts w:ascii="宋体"/>
                <w:vanish/>
              </w:rPr>
            </w:pPr>
          </w:p>
        </w:tc>
        <w:tc>
          <w:tcPr>
            <w:tcW w:w="0" w:type="auto"/>
            <w:gridSpan w:val="3"/>
            <w:shd w:val="clear" w:color="auto" w:fill="auto"/>
            <w:vAlign w:val="bottom"/>
          </w:tcPr>
          <w:p w14:paraId="442F7189" w14:textId="77777777" w:rsidR="00CC25B5" w:rsidRDefault="00CC25B5">
            <w:pPr>
              <w:rPr>
                <w:rFonts w:ascii="宋体"/>
                <w:vanish/>
              </w:rPr>
            </w:pPr>
          </w:p>
        </w:tc>
        <w:tc>
          <w:tcPr>
            <w:tcW w:w="0" w:type="auto"/>
            <w:shd w:val="clear" w:color="auto" w:fill="auto"/>
            <w:vAlign w:val="bottom"/>
          </w:tcPr>
          <w:p w14:paraId="442F718A" w14:textId="77777777" w:rsidR="00CC25B5" w:rsidRDefault="00CC25B5">
            <w:pPr>
              <w:rPr>
                <w:rFonts w:ascii="宋体"/>
                <w:vanish/>
              </w:rPr>
            </w:pPr>
          </w:p>
        </w:tc>
        <w:tc>
          <w:tcPr>
            <w:tcW w:w="0" w:type="auto"/>
            <w:shd w:val="clear" w:color="auto" w:fill="auto"/>
            <w:vAlign w:val="bottom"/>
          </w:tcPr>
          <w:p w14:paraId="442F718B" w14:textId="77777777" w:rsidR="00CC25B5" w:rsidRDefault="00CC25B5">
            <w:pPr>
              <w:rPr>
                <w:rFonts w:ascii="宋体"/>
                <w:vanish/>
              </w:rPr>
            </w:pPr>
          </w:p>
        </w:tc>
        <w:tc>
          <w:tcPr>
            <w:tcW w:w="0" w:type="auto"/>
            <w:shd w:val="clear" w:color="auto" w:fill="auto"/>
            <w:vAlign w:val="bottom"/>
          </w:tcPr>
          <w:p w14:paraId="442F718C" w14:textId="77777777" w:rsidR="00CC25B5" w:rsidRDefault="00CC25B5">
            <w:pPr>
              <w:rPr>
                <w:rFonts w:ascii="宋体"/>
                <w:vanish/>
              </w:rPr>
            </w:pPr>
          </w:p>
        </w:tc>
      </w:tr>
      <w:tr w:rsidR="00CC25B5" w14:paraId="442F71A1" w14:textId="77777777">
        <w:trPr>
          <w:jc w:val="center"/>
          <w:hidden/>
        </w:trPr>
        <w:tc>
          <w:tcPr>
            <w:tcW w:w="0" w:type="auto"/>
            <w:gridSpan w:val="3"/>
            <w:shd w:val="clear" w:color="auto" w:fill="auto"/>
            <w:vAlign w:val="bottom"/>
          </w:tcPr>
          <w:p w14:paraId="442F718E" w14:textId="77777777" w:rsidR="00CC25B5" w:rsidRDefault="00CC25B5">
            <w:pPr>
              <w:rPr>
                <w:rFonts w:ascii="宋体"/>
                <w:vanish/>
              </w:rPr>
            </w:pPr>
          </w:p>
        </w:tc>
        <w:tc>
          <w:tcPr>
            <w:tcW w:w="0" w:type="auto"/>
            <w:gridSpan w:val="3"/>
            <w:shd w:val="clear" w:color="auto" w:fill="auto"/>
            <w:vAlign w:val="bottom"/>
          </w:tcPr>
          <w:p w14:paraId="442F718F" w14:textId="77777777" w:rsidR="00CC25B5" w:rsidRDefault="00CC25B5">
            <w:pPr>
              <w:rPr>
                <w:rFonts w:ascii="宋体"/>
                <w:vanish/>
              </w:rPr>
            </w:pPr>
          </w:p>
        </w:tc>
        <w:tc>
          <w:tcPr>
            <w:tcW w:w="0" w:type="auto"/>
            <w:gridSpan w:val="3"/>
            <w:shd w:val="clear" w:color="auto" w:fill="auto"/>
            <w:vAlign w:val="bottom"/>
          </w:tcPr>
          <w:p w14:paraId="442F7190" w14:textId="77777777" w:rsidR="00CC25B5" w:rsidRDefault="00CC25B5">
            <w:pPr>
              <w:rPr>
                <w:rFonts w:ascii="宋体"/>
                <w:vanish/>
              </w:rPr>
            </w:pPr>
          </w:p>
        </w:tc>
        <w:tc>
          <w:tcPr>
            <w:tcW w:w="0" w:type="auto"/>
            <w:gridSpan w:val="3"/>
            <w:shd w:val="clear" w:color="auto" w:fill="auto"/>
            <w:vAlign w:val="bottom"/>
          </w:tcPr>
          <w:p w14:paraId="442F7191" w14:textId="77777777" w:rsidR="00CC25B5" w:rsidRDefault="00CC25B5">
            <w:pPr>
              <w:rPr>
                <w:rFonts w:ascii="宋体"/>
                <w:vanish/>
              </w:rPr>
            </w:pPr>
          </w:p>
        </w:tc>
        <w:tc>
          <w:tcPr>
            <w:tcW w:w="0" w:type="auto"/>
            <w:gridSpan w:val="3"/>
            <w:shd w:val="clear" w:color="auto" w:fill="auto"/>
            <w:vAlign w:val="bottom"/>
          </w:tcPr>
          <w:p w14:paraId="442F7192" w14:textId="77777777" w:rsidR="00CC25B5" w:rsidRDefault="00CC25B5">
            <w:pPr>
              <w:rPr>
                <w:rFonts w:ascii="宋体"/>
                <w:vanish/>
              </w:rPr>
            </w:pPr>
          </w:p>
        </w:tc>
        <w:tc>
          <w:tcPr>
            <w:tcW w:w="0" w:type="auto"/>
            <w:gridSpan w:val="3"/>
            <w:shd w:val="clear" w:color="auto" w:fill="auto"/>
            <w:vAlign w:val="bottom"/>
          </w:tcPr>
          <w:p w14:paraId="442F7193" w14:textId="77777777" w:rsidR="00CC25B5" w:rsidRDefault="00CC25B5">
            <w:pPr>
              <w:rPr>
                <w:rFonts w:ascii="宋体"/>
                <w:vanish/>
              </w:rPr>
            </w:pPr>
          </w:p>
        </w:tc>
        <w:tc>
          <w:tcPr>
            <w:tcW w:w="0" w:type="auto"/>
            <w:gridSpan w:val="3"/>
            <w:shd w:val="clear" w:color="auto" w:fill="auto"/>
            <w:vAlign w:val="bottom"/>
          </w:tcPr>
          <w:p w14:paraId="442F7194" w14:textId="77777777" w:rsidR="00CC25B5" w:rsidRDefault="00CC25B5">
            <w:pPr>
              <w:rPr>
                <w:rFonts w:ascii="宋体"/>
                <w:vanish/>
              </w:rPr>
            </w:pPr>
          </w:p>
        </w:tc>
        <w:tc>
          <w:tcPr>
            <w:tcW w:w="0" w:type="auto"/>
            <w:gridSpan w:val="3"/>
            <w:shd w:val="clear" w:color="auto" w:fill="auto"/>
            <w:vAlign w:val="bottom"/>
          </w:tcPr>
          <w:p w14:paraId="442F7195" w14:textId="77777777" w:rsidR="00CC25B5" w:rsidRDefault="00CC25B5">
            <w:pPr>
              <w:rPr>
                <w:rFonts w:ascii="宋体"/>
                <w:vanish/>
              </w:rPr>
            </w:pPr>
          </w:p>
        </w:tc>
        <w:tc>
          <w:tcPr>
            <w:tcW w:w="0" w:type="auto"/>
            <w:gridSpan w:val="3"/>
            <w:shd w:val="clear" w:color="auto" w:fill="auto"/>
            <w:vAlign w:val="bottom"/>
          </w:tcPr>
          <w:p w14:paraId="442F7196" w14:textId="77777777" w:rsidR="00CC25B5" w:rsidRDefault="00CC25B5">
            <w:pPr>
              <w:rPr>
                <w:rFonts w:ascii="宋体"/>
                <w:vanish/>
              </w:rPr>
            </w:pPr>
          </w:p>
        </w:tc>
        <w:tc>
          <w:tcPr>
            <w:tcW w:w="0" w:type="auto"/>
            <w:gridSpan w:val="3"/>
            <w:shd w:val="clear" w:color="auto" w:fill="auto"/>
            <w:vAlign w:val="bottom"/>
          </w:tcPr>
          <w:p w14:paraId="442F7197" w14:textId="77777777" w:rsidR="00CC25B5" w:rsidRDefault="00CC25B5">
            <w:pPr>
              <w:rPr>
                <w:rFonts w:ascii="宋体"/>
                <w:vanish/>
              </w:rPr>
            </w:pPr>
          </w:p>
        </w:tc>
        <w:tc>
          <w:tcPr>
            <w:tcW w:w="0" w:type="auto"/>
            <w:gridSpan w:val="3"/>
            <w:shd w:val="clear" w:color="auto" w:fill="auto"/>
            <w:vAlign w:val="bottom"/>
          </w:tcPr>
          <w:p w14:paraId="442F7198" w14:textId="77777777" w:rsidR="00CC25B5" w:rsidRDefault="00CC25B5">
            <w:pPr>
              <w:rPr>
                <w:rFonts w:ascii="宋体"/>
                <w:vanish/>
              </w:rPr>
            </w:pPr>
          </w:p>
        </w:tc>
        <w:tc>
          <w:tcPr>
            <w:tcW w:w="0" w:type="auto"/>
            <w:gridSpan w:val="3"/>
            <w:shd w:val="clear" w:color="auto" w:fill="auto"/>
            <w:vAlign w:val="bottom"/>
          </w:tcPr>
          <w:p w14:paraId="442F7199" w14:textId="77777777" w:rsidR="00CC25B5" w:rsidRDefault="00CC25B5">
            <w:pPr>
              <w:rPr>
                <w:rFonts w:ascii="宋体"/>
                <w:vanish/>
              </w:rPr>
            </w:pPr>
          </w:p>
        </w:tc>
        <w:tc>
          <w:tcPr>
            <w:tcW w:w="0" w:type="auto"/>
            <w:gridSpan w:val="3"/>
            <w:shd w:val="clear" w:color="auto" w:fill="auto"/>
            <w:vAlign w:val="bottom"/>
          </w:tcPr>
          <w:p w14:paraId="442F719A" w14:textId="77777777" w:rsidR="00CC25B5" w:rsidRDefault="00CC25B5">
            <w:pPr>
              <w:rPr>
                <w:rFonts w:ascii="宋体"/>
                <w:vanish/>
              </w:rPr>
            </w:pPr>
          </w:p>
        </w:tc>
        <w:tc>
          <w:tcPr>
            <w:tcW w:w="0" w:type="auto"/>
            <w:gridSpan w:val="3"/>
            <w:shd w:val="clear" w:color="auto" w:fill="auto"/>
            <w:vAlign w:val="bottom"/>
          </w:tcPr>
          <w:p w14:paraId="442F719B" w14:textId="77777777" w:rsidR="00CC25B5" w:rsidRDefault="00CC25B5">
            <w:pPr>
              <w:rPr>
                <w:rFonts w:ascii="宋体"/>
                <w:vanish/>
              </w:rPr>
            </w:pPr>
          </w:p>
        </w:tc>
        <w:tc>
          <w:tcPr>
            <w:tcW w:w="0" w:type="auto"/>
            <w:gridSpan w:val="3"/>
            <w:shd w:val="clear" w:color="auto" w:fill="auto"/>
            <w:vAlign w:val="bottom"/>
          </w:tcPr>
          <w:p w14:paraId="442F719C" w14:textId="77777777" w:rsidR="00CC25B5" w:rsidRDefault="00CC25B5">
            <w:pPr>
              <w:rPr>
                <w:rFonts w:ascii="宋体"/>
                <w:vanish/>
              </w:rPr>
            </w:pPr>
          </w:p>
        </w:tc>
        <w:tc>
          <w:tcPr>
            <w:tcW w:w="0" w:type="auto"/>
            <w:gridSpan w:val="3"/>
            <w:shd w:val="clear" w:color="auto" w:fill="auto"/>
            <w:vAlign w:val="bottom"/>
          </w:tcPr>
          <w:p w14:paraId="442F719D" w14:textId="77777777" w:rsidR="00CC25B5" w:rsidRDefault="00CC25B5">
            <w:pPr>
              <w:rPr>
                <w:rFonts w:ascii="宋体"/>
                <w:vanish/>
              </w:rPr>
            </w:pPr>
          </w:p>
        </w:tc>
        <w:tc>
          <w:tcPr>
            <w:tcW w:w="0" w:type="auto"/>
            <w:shd w:val="clear" w:color="auto" w:fill="auto"/>
            <w:vAlign w:val="bottom"/>
          </w:tcPr>
          <w:p w14:paraId="442F719E" w14:textId="77777777" w:rsidR="00CC25B5" w:rsidRDefault="00CC25B5">
            <w:pPr>
              <w:rPr>
                <w:rFonts w:ascii="宋体"/>
                <w:vanish/>
              </w:rPr>
            </w:pPr>
          </w:p>
        </w:tc>
        <w:tc>
          <w:tcPr>
            <w:tcW w:w="0" w:type="auto"/>
            <w:shd w:val="clear" w:color="auto" w:fill="auto"/>
            <w:vAlign w:val="bottom"/>
          </w:tcPr>
          <w:p w14:paraId="442F719F" w14:textId="77777777" w:rsidR="00CC25B5" w:rsidRDefault="00CC25B5">
            <w:pPr>
              <w:rPr>
                <w:rFonts w:ascii="宋体"/>
                <w:vanish/>
              </w:rPr>
            </w:pPr>
          </w:p>
        </w:tc>
        <w:tc>
          <w:tcPr>
            <w:tcW w:w="0" w:type="auto"/>
            <w:shd w:val="clear" w:color="auto" w:fill="auto"/>
            <w:vAlign w:val="bottom"/>
          </w:tcPr>
          <w:p w14:paraId="442F71A0" w14:textId="77777777" w:rsidR="00CC25B5" w:rsidRDefault="00CC25B5">
            <w:pPr>
              <w:rPr>
                <w:rFonts w:ascii="宋体"/>
                <w:vanish/>
              </w:rPr>
            </w:pPr>
          </w:p>
        </w:tc>
      </w:tr>
      <w:tr w:rsidR="00CC25B5" w14:paraId="442F71B5" w14:textId="77777777">
        <w:trPr>
          <w:jc w:val="center"/>
          <w:hidden/>
        </w:trPr>
        <w:tc>
          <w:tcPr>
            <w:tcW w:w="0" w:type="auto"/>
            <w:gridSpan w:val="3"/>
            <w:shd w:val="clear" w:color="auto" w:fill="auto"/>
            <w:vAlign w:val="bottom"/>
          </w:tcPr>
          <w:p w14:paraId="442F71A2" w14:textId="77777777" w:rsidR="00CC25B5" w:rsidRDefault="00CC25B5">
            <w:pPr>
              <w:rPr>
                <w:rFonts w:ascii="宋体"/>
                <w:vanish/>
              </w:rPr>
            </w:pPr>
          </w:p>
        </w:tc>
        <w:tc>
          <w:tcPr>
            <w:tcW w:w="0" w:type="auto"/>
            <w:gridSpan w:val="3"/>
            <w:shd w:val="clear" w:color="auto" w:fill="auto"/>
            <w:vAlign w:val="bottom"/>
          </w:tcPr>
          <w:p w14:paraId="442F71A3" w14:textId="77777777" w:rsidR="00CC25B5" w:rsidRDefault="00CC25B5">
            <w:pPr>
              <w:rPr>
                <w:rFonts w:ascii="宋体"/>
                <w:vanish/>
              </w:rPr>
            </w:pPr>
          </w:p>
        </w:tc>
        <w:tc>
          <w:tcPr>
            <w:tcW w:w="0" w:type="auto"/>
            <w:gridSpan w:val="3"/>
            <w:shd w:val="clear" w:color="auto" w:fill="auto"/>
            <w:vAlign w:val="bottom"/>
          </w:tcPr>
          <w:p w14:paraId="442F71A4" w14:textId="77777777" w:rsidR="00CC25B5" w:rsidRDefault="00CC25B5">
            <w:pPr>
              <w:rPr>
                <w:rFonts w:ascii="宋体"/>
                <w:vanish/>
              </w:rPr>
            </w:pPr>
          </w:p>
        </w:tc>
        <w:tc>
          <w:tcPr>
            <w:tcW w:w="0" w:type="auto"/>
            <w:gridSpan w:val="3"/>
            <w:shd w:val="clear" w:color="auto" w:fill="auto"/>
            <w:vAlign w:val="bottom"/>
          </w:tcPr>
          <w:p w14:paraId="442F71A5" w14:textId="77777777" w:rsidR="00CC25B5" w:rsidRDefault="00CC25B5">
            <w:pPr>
              <w:rPr>
                <w:rFonts w:ascii="宋体"/>
                <w:vanish/>
              </w:rPr>
            </w:pPr>
          </w:p>
        </w:tc>
        <w:tc>
          <w:tcPr>
            <w:tcW w:w="0" w:type="auto"/>
            <w:gridSpan w:val="3"/>
            <w:shd w:val="clear" w:color="auto" w:fill="auto"/>
            <w:vAlign w:val="bottom"/>
          </w:tcPr>
          <w:p w14:paraId="442F71A6" w14:textId="77777777" w:rsidR="00CC25B5" w:rsidRDefault="00CC25B5">
            <w:pPr>
              <w:rPr>
                <w:rFonts w:ascii="宋体"/>
                <w:vanish/>
              </w:rPr>
            </w:pPr>
          </w:p>
        </w:tc>
        <w:tc>
          <w:tcPr>
            <w:tcW w:w="0" w:type="auto"/>
            <w:gridSpan w:val="3"/>
            <w:shd w:val="clear" w:color="auto" w:fill="auto"/>
            <w:vAlign w:val="bottom"/>
          </w:tcPr>
          <w:p w14:paraId="442F71A7" w14:textId="77777777" w:rsidR="00CC25B5" w:rsidRDefault="00CC25B5">
            <w:pPr>
              <w:rPr>
                <w:rFonts w:ascii="宋体"/>
                <w:vanish/>
              </w:rPr>
            </w:pPr>
          </w:p>
        </w:tc>
        <w:tc>
          <w:tcPr>
            <w:tcW w:w="0" w:type="auto"/>
            <w:gridSpan w:val="3"/>
            <w:shd w:val="clear" w:color="auto" w:fill="auto"/>
            <w:vAlign w:val="bottom"/>
          </w:tcPr>
          <w:p w14:paraId="442F71A8" w14:textId="77777777" w:rsidR="00CC25B5" w:rsidRDefault="00CC25B5">
            <w:pPr>
              <w:rPr>
                <w:rFonts w:ascii="宋体"/>
                <w:vanish/>
              </w:rPr>
            </w:pPr>
          </w:p>
        </w:tc>
        <w:tc>
          <w:tcPr>
            <w:tcW w:w="0" w:type="auto"/>
            <w:gridSpan w:val="3"/>
            <w:shd w:val="clear" w:color="auto" w:fill="auto"/>
            <w:vAlign w:val="bottom"/>
          </w:tcPr>
          <w:p w14:paraId="442F71A9" w14:textId="77777777" w:rsidR="00CC25B5" w:rsidRDefault="00CC25B5">
            <w:pPr>
              <w:rPr>
                <w:rFonts w:ascii="宋体"/>
                <w:vanish/>
              </w:rPr>
            </w:pPr>
          </w:p>
        </w:tc>
        <w:tc>
          <w:tcPr>
            <w:tcW w:w="0" w:type="auto"/>
            <w:gridSpan w:val="3"/>
            <w:shd w:val="clear" w:color="auto" w:fill="auto"/>
            <w:vAlign w:val="bottom"/>
          </w:tcPr>
          <w:p w14:paraId="442F71AA" w14:textId="77777777" w:rsidR="00CC25B5" w:rsidRDefault="00CC25B5">
            <w:pPr>
              <w:rPr>
                <w:rFonts w:ascii="宋体"/>
                <w:vanish/>
              </w:rPr>
            </w:pPr>
          </w:p>
        </w:tc>
        <w:tc>
          <w:tcPr>
            <w:tcW w:w="0" w:type="auto"/>
            <w:gridSpan w:val="3"/>
            <w:shd w:val="clear" w:color="auto" w:fill="auto"/>
            <w:vAlign w:val="bottom"/>
          </w:tcPr>
          <w:p w14:paraId="442F71AB" w14:textId="77777777" w:rsidR="00CC25B5" w:rsidRDefault="00CC25B5">
            <w:pPr>
              <w:rPr>
                <w:rFonts w:ascii="宋体"/>
                <w:vanish/>
              </w:rPr>
            </w:pPr>
          </w:p>
        </w:tc>
        <w:tc>
          <w:tcPr>
            <w:tcW w:w="0" w:type="auto"/>
            <w:gridSpan w:val="3"/>
            <w:shd w:val="clear" w:color="auto" w:fill="auto"/>
            <w:vAlign w:val="bottom"/>
          </w:tcPr>
          <w:p w14:paraId="442F71AC" w14:textId="77777777" w:rsidR="00CC25B5" w:rsidRDefault="00CC25B5">
            <w:pPr>
              <w:rPr>
                <w:rFonts w:ascii="宋体"/>
                <w:vanish/>
              </w:rPr>
            </w:pPr>
          </w:p>
        </w:tc>
        <w:tc>
          <w:tcPr>
            <w:tcW w:w="0" w:type="auto"/>
            <w:gridSpan w:val="3"/>
            <w:shd w:val="clear" w:color="auto" w:fill="auto"/>
            <w:vAlign w:val="bottom"/>
          </w:tcPr>
          <w:p w14:paraId="442F71AD" w14:textId="77777777" w:rsidR="00CC25B5" w:rsidRDefault="00CC25B5">
            <w:pPr>
              <w:rPr>
                <w:rFonts w:ascii="宋体"/>
                <w:vanish/>
              </w:rPr>
            </w:pPr>
          </w:p>
        </w:tc>
        <w:tc>
          <w:tcPr>
            <w:tcW w:w="0" w:type="auto"/>
            <w:gridSpan w:val="3"/>
            <w:shd w:val="clear" w:color="auto" w:fill="auto"/>
            <w:vAlign w:val="bottom"/>
          </w:tcPr>
          <w:p w14:paraId="442F71AE" w14:textId="77777777" w:rsidR="00CC25B5" w:rsidRDefault="00CC25B5">
            <w:pPr>
              <w:rPr>
                <w:rFonts w:ascii="宋体"/>
                <w:vanish/>
              </w:rPr>
            </w:pPr>
          </w:p>
        </w:tc>
        <w:tc>
          <w:tcPr>
            <w:tcW w:w="0" w:type="auto"/>
            <w:gridSpan w:val="3"/>
            <w:shd w:val="clear" w:color="auto" w:fill="auto"/>
            <w:vAlign w:val="bottom"/>
          </w:tcPr>
          <w:p w14:paraId="442F71AF" w14:textId="77777777" w:rsidR="00CC25B5" w:rsidRDefault="00CC25B5">
            <w:pPr>
              <w:rPr>
                <w:rFonts w:ascii="宋体"/>
                <w:vanish/>
              </w:rPr>
            </w:pPr>
          </w:p>
        </w:tc>
        <w:tc>
          <w:tcPr>
            <w:tcW w:w="0" w:type="auto"/>
            <w:gridSpan w:val="3"/>
            <w:shd w:val="clear" w:color="auto" w:fill="auto"/>
            <w:vAlign w:val="bottom"/>
          </w:tcPr>
          <w:p w14:paraId="442F71B0" w14:textId="77777777" w:rsidR="00CC25B5" w:rsidRDefault="00CC25B5">
            <w:pPr>
              <w:rPr>
                <w:rFonts w:ascii="宋体"/>
                <w:vanish/>
              </w:rPr>
            </w:pPr>
          </w:p>
        </w:tc>
        <w:tc>
          <w:tcPr>
            <w:tcW w:w="0" w:type="auto"/>
            <w:gridSpan w:val="3"/>
            <w:shd w:val="clear" w:color="auto" w:fill="auto"/>
            <w:vAlign w:val="bottom"/>
          </w:tcPr>
          <w:p w14:paraId="442F71B1" w14:textId="77777777" w:rsidR="00CC25B5" w:rsidRDefault="00CC25B5">
            <w:pPr>
              <w:rPr>
                <w:rFonts w:ascii="宋体"/>
                <w:vanish/>
              </w:rPr>
            </w:pPr>
          </w:p>
        </w:tc>
        <w:tc>
          <w:tcPr>
            <w:tcW w:w="0" w:type="auto"/>
            <w:shd w:val="clear" w:color="auto" w:fill="auto"/>
            <w:vAlign w:val="bottom"/>
          </w:tcPr>
          <w:p w14:paraId="442F71B2" w14:textId="77777777" w:rsidR="00CC25B5" w:rsidRDefault="00CC25B5">
            <w:pPr>
              <w:rPr>
                <w:rFonts w:ascii="宋体"/>
                <w:vanish/>
              </w:rPr>
            </w:pPr>
          </w:p>
        </w:tc>
        <w:tc>
          <w:tcPr>
            <w:tcW w:w="0" w:type="auto"/>
            <w:shd w:val="clear" w:color="auto" w:fill="auto"/>
            <w:vAlign w:val="bottom"/>
          </w:tcPr>
          <w:p w14:paraId="442F71B3" w14:textId="77777777" w:rsidR="00CC25B5" w:rsidRDefault="00CC25B5">
            <w:pPr>
              <w:rPr>
                <w:rFonts w:ascii="宋体"/>
                <w:vanish/>
              </w:rPr>
            </w:pPr>
          </w:p>
        </w:tc>
        <w:tc>
          <w:tcPr>
            <w:tcW w:w="0" w:type="auto"/>
            <w:shd w:val="clear" w:color="auto" w:fill="auto"/>
            <w:vAlign w:val="bottom"/>
          </w:tcPr>
          <w:p w14:paraId="442F71B4" w14:textId="77777777" w:rsidR="00CC25B5" w:rsidRDefault="00CC25B5">
            <w:pPr>
              <w:rPr>
                <w:rFonts w:ascii="宋体"/>
                <w:vanish/>
              </w:rPr>
            </w:pPr>
          </w:p>
        </w:tc>
      </w:tr>
      <w:tr w:rsidR="00CC25B5" w14:paraId="442F71C9" w14:textId="77777777">
        <w:trPr>
          <w:jc w:val="center"/>
          <w:hidden/>
        </w:trPr>
        <w:tc>
          <w:tcPr>
            <w:tcW w:w="0" w:type="auto"/>
            <w:gridSpan w:val="3"/>
            <w:shd w:val="clear" w:color="auto" w:fill="auto"/>
            <w:vAlign w:val="bottom"/>
          </w:tcPr>
          <w:p w14:paraId="442F71B6" w14:textId="77777777" w:rsidR="00CC25B5" w:rsidRDefault="00CC25B5">
            <w:pPr>
              <w:rPr>
                <w:rFonts w:ascii="宋体"/>
                <w:vanish/>
              </w:rPr>
            </w:pPr>
          </w:p>
        </w:tc>
        <w:tc>
          <w:tcPr>
            <w:tcW w:w="0" w:type="auto"/>
            <w:gridSpan w:val="3"/>
            <w:shd w:val="clear" w:color="auto" w:fill="auto"/>
            <w:vAlign w:val="bottom"/>
          </w:tcPr>
          <w:p w14:paraId="442F71B7" w14:textId="77777777" w:rsidR="00CC25B5" w:rsidRDefault="00CC25B5">
            <w:pPr>
              <w:rPr>
                <w:rFonts w:ascii="宋体"/>
                <w:vanish/>
              </w:rPr>
            </w:pPr>
          </w:p>
        </w:tc>
        <w:tc>
          <w:tcPr>
            <w:tcW w:w="0" w:type="auto"/>
            <w:gridSpan w:val="3"/>
            <w:shd w:val="clear" w:color="auto" w:fill="auto"/>
            <w:vAlign w:val="bottom"/>
          </w:tcPr>
          <w:p w14:paraId="442F71B8" w14:textId="77777777" w:rsidR="00CC25B5" w:rsidRDefault="00CC25B5">
            <w:pPr>
              <w:rPr>
                <w:rFonts w:ascii="宋体"/>
                <w:vanish/>
              </w:rPr>
            </w:pPr>
          </w:p>
        </w:tc>
        <w:tc>
          <w:tcPr>
            <w:tcW w:w="0" w:type="auto"/>
            <w:gridSpan w:val="3"/>
            <w:shd w:val="clear" w:color="auto" w:fill="auto"/>
            <w:vAlign w:val="bottom"/>
          </w:tcPr>
          <w:p w14:paraId="442F71B9" w14:textId="77777777" w:rsidR="00CC25B5" w:rsidRDefault="00CC25B5">
            <w:pPr>
              <w:rPr>
                <w:rFonts w:ascii="宋体"/>
                <w:vanish/>
              </w:rPr>
            </w:pPr>
          </w:p>
        </w:tc>
        <w:tc>
          <w:tcPr>
            <w:tcW w:w="0" w:type="auto"/>
            <w:gridSpan w:val="3"/>
            <w:shd w:val="clear" w:color="auto" w:fill="auto"/>
            <w:vAlign w:val="bottom"/>
          </w:tcPr>
          <w:p w14:paraId="442F71BA" w14:textId="77777777" w:rsidR="00CC25B5" w:rsidRDefault="00CC25B5">
            <w:pPr>
              <w:rPr>
                <w:rFonts w:ascii="宋体"/>
                <w:vanish/>
              </w:rPr>
            </w:pPr>
          </w:p>
        </w:tc>
        <w:tc>
          <w:tcPr>
            <w:tcW w:w="0" w:type="auto"/>
            <w:gridSpan w:val="3"/>
            <w:shd w:val="clear" w:color="auto" w:fill="auto"/>
            <w:vAlign w:val="bottom"/>
          </w:tcPr>
          <w:p w14:paraId="442F71BB" w14:textId="77777777" w:rsidR="00CC25B5" w:rsidRDefault="00CC25B5">
            <w:pPr>
              <w:rPr>
                <w:rFonts w:ascii="宋体"/>
                <w:vanish/>
              </w:rPr>
            </w:pPr>
          </w:p>
        </w:tc>
        <w:tc>
          <w:tcPr>
            <w:tcW w:w="0" w:type="auto"/>
            <w:gridSpan w:val="3"/>
            <w:shd w:val="clear" w:color="auto" w:fill="auto"/>
            <w:vAlign w:val="bottom"/>
          </w:tcPr>
          <w:p w14:paraId="442F71BC" w14:textId="77777777" w:rsidR="00CC25B5" w:rsidRDefault="00CC25B5">
            <w:pPr>
              <w:rPr>
                <w:rFonts w:ascii="宋体"/>
                <w:vanish/>
              </w:rPr>
            </w:pPr>
          </w:p>
        </w:tc>
        <w:tc>
          <w:tcPr>
            <w:tcW w:w="0" w:type="auto"/>
            <w:gridSpan w:val="3"/>
            <w:shd w:val="clear" w:color="auto" w:fill="auto"/>
            <w:vAlign w:val="bottom"/>
          </w:tcPr>
          <w:p w14:paraId="442F71BD" w14:textId="77777777" w:rsidR="00CC25B5" w:rsidRDefault="00CC25B5">
            <w:pPr>
              <w:rPr>
                <w:rFonts w:ascii="宋体"/>
                <w:vanish/>
              </w:rPr>
            </w:pPr>
          </w:p>
        </w:tc>
        <w:tc>
          <w:tcPr>
            <w:tcW w:w="0" w:type="auto"/>
            <w:gridSpan w:val="3"/>
            <w:shd w:val="clear" w:color="auto" w:fill="auto"/>
            <w:vAlign w:val="bottom"/>
          </w:tcPr>
          <w:p w14:paraId="442F71BE" w14:textId="77777777" w:rsidR="00CC25B5" w:rsidRDefault="00CC25B5">
            <w:pPr>
              <w:rPr>
                <w:rFonts w:ascii="宋体"/>
                <w:vanish/>
              </w:rPr>
            </w:pPr>
          </w:p>
        </w:tc>
        <w:tc>
          <w:tcPr>
            <w:tcW w:w="0" w:type="auto"/>
            <w:gridSpan w:val="3"/>
            <w:shd w:val="clear" w:color="auto" w:fill="auto"/>
            <w:vAlign w:val="bottom"/>
          </w:tcPr>
          <w:p w14:paraId="442F71BF" w14:textId="77777777" w:rsidR="00CC25B5" w:rsidRDefault="00CC25B5">
            <w:pPr>
              <w:rPr>
                <w:rFonts w:ascii="宋体"/>
                <w:vanish/>
              </w:rPr>
            </w:pPr>
          </w:p>
        </w:tc>
        <w:tc>
          <w:tcPr>
            <w:tcW w:w="0" w:type="auto"/>
            <w:gridSpan w:val="3"/>
            <w:shd w:val="clear" w:color="auto" w:fill="auto"/>
            <w:vAlign w:val="bottom"/>
          </w:tcPr>
          <w:p w14:paraId="442F71C0" w14:textId="77777777" w:rsidR="00CC25B5" w:rsidRDefault="00CC25B5">
            <w:pPr>
              <w:rPr>
                <w:rFonts w:ascii="宋体"/>
                <w:vanish/>
              </w:rPr>
            </w:pPr>
          </w:p>
        </w:tc>
        <w:tc>
          <w:tcPr>
            <w:tcW w:w="0" w:type="auto"/>
            <w:gridSpan w:val="3"/>
            <w:shd w:val="clear" w:color="auto" w:fill="auto"/>
            <w:vAlign w:val="bottom"/>
          </w:tcPr>
          <w:p w14:paraId="442F71C1" w14:textId="77777777" w:rsidR="00CC25B5" w:rsidRDefault="00CC25B5">
            <w:pPr>
              <w:rPr>
                <w:rFonts w:ascii="宋体"/>
                <w:vanish/>
              </w:rPr>
            </w:pPr>
          </w:p>
        </w:tc>
        <w:tc>
          <w:tcPr>
            <w:tcW w:w="0" w:type="auto"/>
            <w:gridSpan w:val="3"/>
            <w:shd w:val="clear" w:color="auto" w:fill="auto"/>
            <w:vAlign w:val="bottom"/>
          </w:tcPr>
          <w:p w14:paraId="442F71C2" w14:textId="77777777" w:rsidR="00CC25B5" w:rsidRDefault="00CC25B5">
            <w:pPr>
              <w:rPr>
                <w:rFonts w:ascii="宋体"/>
                <w:vanish/>
              </w:rPr>
            </w:pPr>
          </w:p>
        </w:tc>
        <w:tc>
          <w:tcPr>
            <w:tcW w:w="0" w:type="auto"/>
            <w:gridSpan w:val="3"/>
            <w:shd w:val="clear" w:color="auto" w:fill="auto"/>
            <w:vAlign w:val="bottom"/>
          </w:tcPr>
          <w:p w14:paraId="442F71C3" w14:textId="77777777" w:rsidR="00CC25B5" w:rsidRDefault="00CC25B5">
            <w:pPr>
              <w:rPr>
                <w:rFonts w:ascii="宋体"/>
                <w:vanish/>
              </w:rPr>
            </w:pPr>
          </w:p>
        </w:tc>
        <w:tc>
          <w:tcPr>
            <w:tcW w:w="0" w:type="auto"/>
            <w:gridSpan w:val="3"/>
            <w:shd w:val="clear" w:color="auto" w:fill="auto"/>
            <w:vAlign w:val="bottom"/>
          </w:tcPr>
          <w:p w14:paraId="442F71C4" w14:textId="77777777" w:rsidR="00CC25B5" w:rsidRDefault="00CC25B5">
            <w:pPr>
              <w:rPr>
                <w:rFonts w:ascii="宋体"/>
                <w:vanish/>
              </w:rPr>
            </w:pPr>
          </w:p>
        </w:tc>
        <w:tc>
          <w:tcPr>
            <w:tcW w:w="0" w:type="auto"/>
            <w:gridSpan w:val="3"/>
            <w:shd w:val="clear" w:color="auto" w:fill="auto"/>
            <w:vAlign w:val="bottom"/>
          </w:tcPr>
          <w:p w14:paraId="442F71C5" w14:textId="77777777" w:rsidR="00CC25B5" w:rsidRDefault="00CC25B5">
            <w:pPr>
              <w:rPr>
                <w:rFonts w:ascii="宋体"/>
                <w:vanish/>
              </w:rPr>
            </w:pPr>
          </w:p>
        </w:tc>
        <w:tc>
          <w:tcPr>
            <w:tcW w:w="0" w:type="auto"/>
            <w:shd w:val="clear" w:color="auto" w:fill="auto"/>
            <w:vAlign w:val="bottom"/>
          </w:tcPr>
          <w:p w14:paraId="442F71C6" w14:textId="77777777" w:rsidR="00CC25B5" w:rsidRDefault="00CC25B5">
            <w:pPr>
              <w:rPr>
                <w:rFonts w:ascii="宋体"/>
                <w:vanish/>
              </w:rPr>
            </w:pPr>
          </w:p>
        </w:tc>
        <w:tc>
          <w:tcPr>
            <w:tcW w:w="0" w:type="auto"/>
            <w:shd w:val="clear" w:color="auto" w:fill="auto"/>
            <w:vAlign w:val="bottom"/>
          </w:tcPr>
          <w:p w14:paraId="442F71C7" w14:textId="77777777" w:rsidR="00CC25B5" w:rsidRDefault="00CC25B5">
            <w:pPr>
              <w:rPr>
                <w:rFonts w:ascii="宋体"/>
                <w:vanish/>
              </w:rPr>
            </w:pPr>
          </w:p>
        </w:tc>
        <w:tc>
          <w:tcPr>
            <w:tcW w:w="0" w:type="auto"/>
            <w:shd w:val="clear" w:color="auto" w:fill="auto"/>
            <w:vAlign w:val="bottom"/>
          </w:tcPr>
          <w:p w14:paraId="442F71C8" w14:textId="77777777" w:rsidR="00CC25B5" w:rsidRDefault="00CC25B5">
            <w:pPr>
              <w:rPr>
                <w:rFonts w:ascii="宋体"/>
                <w:vanish/>
              </w:rPr>
            </w:pPr>
          </w:p>
        </w:tc>
      </w:tr>
    </w:tbl>
    <w:p w14:paraId="442F71CA" w14:textId="77777777" w:rsidR="00CC25B5" w:rsidRDefault="00900968">
      <w:pPr>
        <w:spacing w:before="80"/>
      </w:pPr>
      <w:r>
        <w:rPr>
          <w:rFonts w:ascii="Times New Roman" w:eastAsia="宋体" w:hAnsi="Times New Roman"/>
          <w:i/>
          <w:iCs/>
          <w:color w:val="000000"/>
          <w:sz w:val="16"/>
          <w:szCs w:val="16"/>
        </w:rPr>
        <w:t xml:space="preserve">See accompanying notes. </w:t>
      </w:r>
    </w:p>
    <w:p w14:paraId="442F71CB" w14:textId="77777777" w:rsidR="00CC25B5" w:rsidRDefault="00CC25B5">
      <w:pPr>
        <w:jc w:val="center"/>
      </w:pPr>
    </w:p>
    <w:p w14:paraId="442F71CC" w14:textId="77777777" w:rsidR="00CC25B5" w:rsidRDefault="00CC25B5"/>
    <w:p w14:paraId="442F71CD" w14:textId="77777777" w:rsidR="00CC25B5" w:rsidRDefault="00900968">
      <w:pPr>
        <w:jc w:val="center"/>
      </w:pPr>
      <w:r>
        <w:rPr>
          <w:rFonts w:ascii="Times New Roman" w:eastAsia="宋体" w:hAnsi="Times New Roman"/>
          <w:color w:val="000000"/>
          <w:sz w:val="20"/>
          <w:szCs w:val="20"/>
        </w:rPr>
        <w:t>6</w:t>
      </w:r>
    </w:p>
    <w:p w14:paraId="442F71CE" w14:textId="77777777" w:rsidR="00CC25B5" w:rsidRDefault="00900968">
      <w:r>
        <w:pict w14:anchorId="442F85CF">
          <v:rect id="_x0000_i1030" style="width:415.3pt;height:1.5pt" o:hralign="center" o:hrstd="t" o:hr="t" fillcolor="#a0a0a0" stroked="f"/>
        </w:pict>
      </w:r>
    </w:p>
    <w:p w14:paraId="442F71CF" w14:textId="77777777" w:rsidR="00CC25B5" w:rsidRDefault="00900968">
      <w:hyperlink r:id="rId45" w:anchor="ie1710166881948a18c44f48eaa2dcf00_7" w:history="1">
        <w:r>
          <w:rPr>
            <w:rStyle w:val="a5"/>
            <w:rFonts w:ascii="Times New Roman" w:eastAsia="宋体" w:hAnsi="Times New Roman"/>
            <w:sz w:val="20"/>
            <w:szCs w:val="20"/>
          </w:rPr>
          <w:t>Table of Contents</w:t>
        </w:r>
      </w:hyperlink>
    </w:p>
    <w:p w14:paraId="442F71D0" w14:textId="77777777" w:rsidR="00CC25B5" w:rsidRDefault="00900968">
      <w:pPr>
        <w:jc w:val="center"/>
      </w:pPr>
      <w:r>
        <w:rPr>
          <w:rFonts w:ascii="Times New Roman" w:eastAsia="宋体" w:hAnsi="Times New Roman"/>
          <w:b/>
          <w:bCs/>
          <w:color w:val="000000"/>
          <w:sz w:val="20"/>
          <w:szCs w:val="20"/>
        </w:rPr>
        <w:t>Walmart Inc.</w:t>
      </w:r>
    </w:p>
    <w:p w14:paraId="442F71D1" w14:textId="77777777" w:rsidR="00CC25B5" w:rsidRDefault="00900968">
      <w:pPr>
        <w:spacing w:before="60"/>
        <w:jc w:val="center"/>
      </w:pPr>
      <w:r>
        <w:rPr>
          <w:rFonts w:ascii="Times New Roman" w:eastAsia="宋体" w:hAnsi="Times New Roman"/>
          <w:b/>
          <w:bCs/>
          <w:color w:val="000000"/>
          <w:sz w:val="20"/>
          <w:szCs w:val="20"/>
        </w:rPr>
        <w:t>Condensed Consolidated Statements of Cash Flows</w:t>
      </w:r>
    </w:p>
    <w:p w14:paraId="442F71D2" w14:textId="77777777" w:rsidR="00CC25B5" w:rsidRDefault="00900968">
      <w:pPr>
        <w:spacing w:before="60"/>
        <w:jc w:val="center"/>
      </w:pPr>
      <w:r>
        <w:rPr>
          <w:rFonts w:ascii="Times New Roman" w:eastAsia="宋体" w:hAnsi="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4"/>
        <w:gridCol w:w="6155"/>
        <w:gridCol w:w="39"/>
        <w:gridCol w:w="36"/>
        <w:gridCol w:w="36"/>
        <w:gridCol w:w="36"/>
        <w:gridCol w:w="100"/>
        <w:gridCol w:w="756"/>
        <w:gridCol w:w="36"/>
        <w:gridCol w:w="36"/>
        <w:gridCol w:w="36"/>
        <w:gridCol w:w="36"/>
        <w:gridCol w:w="100"/>
        <w:gridCol w:w="782"/>
        <w:gridCol w:w="36"/>
        <w:gridCol w:w="36"/>
        <w:gridCol w:w="36"/>
      </w:tblGrid>
      <w:tr w:rsidR="00CC25B5" w14:paraId="442F71E4" w14:textId="77777777">
        <w:tc>
          <w:tcPr>
            <w:tcW w:w="50" w:type="pct"/>
            <w:shd w:val="clear" w:color="auto" w:fill="auto"/>
            <w:vAlign w:val="bottom"/>
          </w:tcPr>
          <w:p w14:paraId="442F71D3" w14:textId="77777777" w:rsidR="00CC25B5" w:rsidRDefault="00CC25B5">
            <w:pPr>
              <w:rPr>
                <w:rFonts w:ascii="宋体"/>
              </w:rPr>
            </w:pPr>
          </w:p>
        </w:tc>
        <w:tc>
          <w:tcPr>
            <w:tcW w:w="3746" w:type="pct"/>
            <w:shd w:val="clear" w:color="auto" w:fill="auto"/>
            <w:vAlign w:val="bottom"/>
          </w:tcPr>
          <w:p w14:paraId="442F71D4" w14:textId="77777777" w:rsidR="00CC25B5" w:rsidRDefault="00CC25B5">
            <w:pPr>
              <w:rPr>
                <w:rFonts w:ascii="宋体"/>
              </w:rPr>
            </w:pPr>
          </w:p>
        </w:tc>
        <w:tc>
          <w:tcPr>
            <w:tcW w:w="5" w:type="pct"/>
            <w:shd w:val="clear" w:color="auto" w:fill="auto"/>
            <w:vAlign w:val="bottom"/>
          </w:tcPr>
          <w:p w14:paraId="442F71D5" w14:textId="77777777" w:rsidR="00CC25B5" w:rsidRDefault="00CC25B5">
            <w:pPr>
              <w:rPr>
                <w:rFonts w:ascii="宋体"/>
              </w:rPr>
            </w:pPr>
          </w:p>
        </w:tc>
        <w:tc>
          <w:tcPr>
            <w:tcW w:w="5" w:type="pct"/>
            <w:shd w:val="clear" w:color="auto" w:fill="auto"/>
            <w:vAlign w:val="bottom"/>
          </w:tcPr>
          <w:p w14:paraId="442F71D6" w14:textId="77777777" w:rsidR="00CC25B5" w:rsidRDefault="00CC25B5">
            <w:pPr>
              <w:rPr>
                <w:rFonts w:ascii="宋体"/>
              </w:rPr>
            </w:pPr>
          </w:p>
        </w:tc>
        <w:tc>
          <w:tcPr>
            <w:tcW w:w="26" w:type="pct"/>
            <w:shd w:val="clear" w:color="auto" w:fill="auto"/>
            <w:vAlign w:val="bottom"/>
          </w:tcPr>
          <w:p w14:paraId="442F71D7" w14:textId="77777777" w:rsidR="00CC25B5" w:rsidRDefault="00CC25B5">
            <w:pPr>
              <w:rPr>
                <w:rFonts w:ascii="宋体"/>
              </w:rPr>
            </w:pPr>
          </w:p>
        </w:tc>
        <w:tc>
          <w:tcPr>
            <w:tcW w:w="5" w:type="pct"/>
            <w:shd w:val="clear" w:color="auto" w:fill="auto"/>
            <w:vAlign w:val="bottom"/>
          </w:tcPr>
          <w:p w14:paraId="442F71D8" w14:textId="77777777" w:rsidR="00CC25B5" w:rsidRDefault="00CC25B5">
            <w:pPr>
              <w:rPr>
                <w:rFonts w:ascii="宋体"/>
              </w:rPr>
            </w:pPr>
          </w:p>
        </w:tc>
        <w:tc>
          <w:tcPr>
            <w:tcW w:w="50" w:type="pct"/>
            <w:shd w:val="clear" w:color="auto" w:fill="auto"/>
            <w:vAlign w:val="bottom"/>
          </w:tcPr>
          <w:p w14:paraId="442F71D9" w14:textId="77777777" w:rsidR="00CC25B5" w:rsidRDefault="00CC25B5">
            <w:pPr>
              <w:rPr>
                <w:rFonts w:ascii="宋体"/>
              </w:rPr>
            </w:pPr>
          </w:p>
        </w:tc>
        <w:tc>
          <w:tcPr>
            <w:tcW w:w="500" w:type="pct"/>
            <w:shd w:val="clear" w:color="auto" w:fill="auto"/>
            <w:vAlign w:val="bottom"/>
          </w:tcPr>
          <w:p w14:paraId="442F71DA" w14:textId="77777777" w:rsidR="00CC25B5" w:rsidRDefault="00CC25B5">
            <w:pPr>
              <w:rPr>
                <w:rFonts w:ascii="宋体"/>
              </w:rPr>
            </w:pPr>
          </w:p>
        </w:tc>
        <w:tc>
          <w:tcPr>
            <w:tcW w:w="5" w:type="pct"/>
            <w:shd w:val="clear" w:color="auto" w:fill="auto"/>
            <w:vAlign w:val="bottom"/>
          </w:tcPr>
          <w:p w14:paraId="442F71DB" w14:textId="77777777" w:rsidR="00CC25B5" w:rsidRDefault="00CC25B5">
            <w:pPr>
              <w:rPr>
                <w:rFonts w:ascii="宋体"/>
              </w:rPr>
            </w:pPr>
          </w:p>
        </w:tc>
        <w:tc>
          <w:tcPr>
            <w:tcW w:w="5" w:type="pct"/>
            <w:shd w:val="clear" w:color="auto" w:fill="auto"/>
            <w:vAlign w:val="bottom"/>
          </w:tcPr>
          <w:p w14:paraId="442F71DC" w14:textId="77777777" w:rsidR="00CC25B5" w:rsidRDefault="00CC25B5">
            <w:pPr>
              <w:rPr>
                <w:rFonts w:ascii="宋体"/>
              </w:rPr>
            </w:pPr>
          </w:p>
        </w:tc>
        <w:tc>
          <w:tcPr>
            <w:tcW w:w="41" w:type="pct"/>
            <w:shd w:val="clear" w:color="auto" w:fill="auto"/>
            <w:vAlign w:val="bottom"/>
          </w:tcPr>
          <w:p w14:paraId="442F71DD" w14:textId="77777777" w:rsidR="00CC25B5" w:rsidRDefault="00CC25B5">
            <w:pPr>
              <w:rPr>
                <w:rFonts w:ascii="宋体"/>
              </w:rPr>
            </w:pPr>
          </w:p>
        </w:tc>
        <w:tc>
          <w:tcPr>
            <w:tcW w:w="5" w:type="pct"/>
            <w:shd w:val="clear" w:color="auto" w:fill="auto"/>
            <w:vAlign w:val="bottom"/>
          </w:tcPr>
          <w:p w14:paraId="442F71DE" w14:textId="77777777" w:rsidR="00CC25B5" w:rsidRDefault="00CC25B5">
            <w:pPr>
              <w:rPr>
                <w:rFonts w:ascii="宋体"/>
              </w:rPr>
            </w:pPr>
          </w:p>
        </w:tc>
        <w:tc>
          <w:tcPr>
            <w:tcW w:w="50" w:type="pct"/>
            <w:shd w:val="clear" w:color="auto" w:fill="auto"/>
            <w:vAlign w:val="bottom"/>
          </w:tcPr>
          <w:p w14:paraId="442F71DF" w14:textId="77777777" w:rsidR="00CC25B5" w:rsidRDefault="00CC25B5">
            <w:pPr>
              <w:rPr>
                <w:rFonts w:ascii="宋体"/>
              </w:rPr>
            </w:pPr>
          </w:p>
        </w:tc>
        <w:tc>
          <w:tcPr>
            <w:tcW w:w="500" w:type="pct"/>
            <w:shd w:val="clear" w:color="auto" w:fill="auto"/>
            <w:vAlign w:val="bottom"/>
          </w:tcPr>
          <w:p w14:paraId="442F71E0" w14:textId="77777777" w:rsidR="00CC25B5" w:rsidRDefault="00CC25B5">
            <w:pPr>
              <w:rPr>
                <w:rFonts w:ascii="宋体"/>
              </w:rPr>
            </w:pPr>
          </w:p>
        </w:tc>
        <w:tc>
          <w:tcPr>
            <w:tcW w:w="5" w:type="pct"/>
            <w:shd w:val="clear" w:color="auto" w:fill="auto"/>
            <w:vAlign w:val="bottom"/>
          </w:tcPr>
          <w:p w14:paraId="442F71E1" w14:textId="77777777" w:rsidR="00CC25B5" w:rsidRDefault="00CC25B5">
            <w:pPr>
              <w:rPr>
                <w:rFonts w:ascii="宋体"/>
              </w:rPr>
            </w:pPr>
          </w:p>
        </w:tc>
        <w:tc>
          <w:tcPr>
            <w:tcW w:w="0" w:type="auto"/>
            <w:shd w:val="clear" w:color="auto" w:fill="auto"/>
            <w:vAlign w:val="bottom"/>
          </w:tcPr>
          <w:p w14:paraId="442F71E2" w14:textId="77777777" w:rsidR="00CC25B5" w:rsidRDefault="00CC25B5">
            <w:pPr>
              <w:rPr>
                <w:rFonts w:ascii="宋体"/>
                <w:vanish/>
              </w:rPr>
            </w:pPr>
          </w:p>
        </w:tc>
        <w:tc>
          <w:tcPr>
            <w:tcW w:w="0" w:type="auto"/>
            <w:shd w:val="clear" w:color="auto" w:fill="auto"/>
            <w:vAlign w:val="bottom"/>
          </w:tcPr>
          <w:p w14:paraId="442F71E3" w14:textId="77777777" w:rsidR="00CC25B5" w:rsidRDefault="00CC25B5">
            <w:pPr>
              <w:rPr>
                <w:rFonts w:ascii="宋体"/>
                <w:vanish/>
              </w:rPr>
            </w:pPr>
          </w:p>
        </w:tc>
      </w:tr>
      <w:tr w:rsidR="00CC25B5" w14:paraId="442F71EA" w14:textId="77777777">
        <w:tc>
          <w:tcPr>
            <w:tcW w:w="0" w:type="auto"/>
            <w:gridSpan w:val="3"/>
            <w:shd w:val="clear" w:color="auto" w:fill="auto"/>
            <w:tcMar>
              <w:top w:w="0" w:type="dxa"/>
              <w:left w:w="20" w:type="dxa"/>
              <w:bottom w:w="0" w:type="dxa"/>
              <w:right w:w="20" w:type="dxa"/>
            </w:tcMar>
            <w:vAlign w:val="bottom"/>
          </w:tcPr>
          <w:p w14:paraId="442F71E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1E6"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1E7" w14:textId="77777777" w:rsidR="00CC25B5" w:rsidRDefault="00900968">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442F71E8" w14:textId="77777777" w:rsidR="00CC25B5" w:rsidRDefault="00CC25B5">
            <w:pPr>
              <w:rPr>
                <w:rFonts w:ascii="宋体"/>
                <w:vanish/>
              </w:rPr>
            </w:pPr>
          </w:p>
        </w:tc>
        <w:tc>
          <w:tcPr>
            <w:tcW w:w="0" w:type="auto"/>
            <w:shd w:val="clear" w:color="auto" w:fill="auto"/>
            <w:vAlign w:val="bottom"/>
          </w:tcPr>
          <w:p w14:paraId="442F71E9" w14:textId="77777777" w:rsidR="00CC25B5" w:rsidRDefault="00CC25B5">
            <w:pPr>
              <w:rPr>
                <w:rFonts w:ascii="宋体"/>
                <w:vanish/>
              </w:rPr>
            </w:pPr>
          </w:p>
        </w:tc>
      </w:tr>
      <w:tr w:rsidR="00CC25B5" w14:paraId="442F71F2" w14:textId="77777777">
        <w:tc>
          <w:tcPr>
            <w:tcW w:w="0" w:type="auto"/>
            <w:gridSpan w:val="3"/>
            <w:shd w:val="clear" w:color="auto" w:fill="auto"/>
            <w:tcMar>
              <w:top w:w="40" w:type="dxa"/>
              <w:left w:w="20" w:type="dxa"/>
              <w:bottom w:w="40" w:type="dxa"/>
              <w:right w:w="20" w:type="dxa"/>
            </w:tcMar>
            <w:vAlign w:val="bottom"/>
          </w:tcPr>
          <w:p w14:paraId="442F71EB"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1E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1ED"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1E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1EF"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shd w:val="clear" w:color="auto" w:fill="auto"/>
            <w:vAlign w:val="bottom"/>
          </w:tcPr>
          <w:p w14:paraId="442F71F0" w14:textId="77777777" w:rsidR="00CC25B5" w:rsidRDefault="00CC25B5">
            <w:pPr>
              <w:rPr>
                <w:rFonts w:ascii="宋体"/>
                <w:vanish/>
              </w:rPr>
            </w:pPr>
          </w:p>
        </w:tc>
        <w:tc>
          <w:tcPr>
            <w:tcW w:w="0" w:type="auto"/>
            <w:shd w:val="clear" w:color="auto" w:fill="auto"/>
            <w:vAlign w:val="bottom"/>
          </w:tcPr>
          <w:p w14:paraId="442F71F1" w14:textId="77777777" w:rsidR="00CC25B5" w:rsidRDefault="00CC25B5">
            <w:pPr>
              <w:rPr>
                <w:rFonts w:ascii="宋体"/>
                <w:vanish/>
              </w:rPr>
            </w:pPr>
          </w:p>
        </w:tc>
      </w:tr>
      <w:tr w:rsidR="00CC25B5" w14:paraId="442F71FA" w14:textId="77777777">
        <w:tc>
          <w:tcPr>
            <w:tcW w:w="0" w:type="auto"/>
            <w:gridSpan w:val="3"/>
            <w:shd w:val="clear" w:color="auto" w:fill="auto"/>
            <w:tcMar>
              <w:top w:w="40" w:type="dxa"/>
              <w:left w:w="20" w:type="dxa"/>
              <w:bottom w:w="40" w:type="dxa"/>
              <w:right w:w="20" w:type="dxa"/>
            </w:tcMar>
            <w:vAlign w:val="center"/>
          </w:tcPr>
          <w:p w14:paraId="442F71F3" w14:textId="77777777" w:rsidR="00CC25B5" w:rsidRDefault="00900968">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vAlign w:val="bottom"/>
          </w:tcPr>
          <w:p w14:paraId="442F71F4"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1F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1F6"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1F7" w14:textId="77777777" w:rsidR="00CC25B5" w:rsidRDefault="00CC25B5">
            <w:pPr>
              <w:rPr>
                <w:rFonts w:ascii="宋体"/>
              </w:rPr>
            </w:pPr>
          </w:p>
        </w:tc>
        <w:tc>
          <w:tcPr>
            <w:tcW w:w="0" w:type="auto"/>
            <w:shd w:val="clear" w:color="auto" w:fill="auto"/>
            <w:vAlign w:val="bottom"/>
          </w:tcPr>
          <w:p w14:paraId="442F71F8" w14:textId="77777777" w:rsidR="00CC25B5" w:rsidRDefault="00CC25B5">
            <w:pPr>
              <w:rPr>
                <w:rFonts w:ascii="宋体"/>
                <w:vanish/>
              </w:rPr>
            </w:pPr>
          </w:p>
        </w:tc>
        <w:tc>
          <w:tcPr>
            <w:tcW w:w="0" w:type="auto"/>
            <w:shd w:val="clear" w:color="auto" w:fill="auto"/>
            <w:vAlign w:val="bottom"/>
          </w:tcPr>
          <w:p w14:paraId="442F71F9" w14:textId="77777777" w:rsidR="00CC25B5" w:rsidRDefault="00CC25B5">
            <w:pPr>
              <w:rPr>
                <w:rFonts w:ascii="宋体"/>
                <w:vanish/>
              </w:rPr>
            </w:pPr>
          </w:p>
        </w:tc>
      </w:tr>
      <w:tr w:rsidR="00CC25B5" w14:paraId="442F7206" w14:textId="77777777">
        <w:tc>
          <w:tcPr>
            <w:tcW w:w="0" w:type="auto"/>
            <w:gridSpan w:val="3"/>
            <w:shd w:val="clear" w:color="auto" w:fill="CCEEFF"/>
            <w:tcMar>
              <w:top w:w="40" w:type="dxa"/>
              <w:left w:w="380" w:type="dxa"/>
              <w:bottom w:w="40" w:type="dxa"/>
              <w:right w:w="20" w:type="dxa"/>
            </w:tcMar>
            <w:vAlign w:val="center"/>
          </w:tcPr>
          <w:p w14:paraId="442F71FB" w14:textId="77777777" w:rsidR="00CC25B5" w:rsidRDefault="00900968">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442F71FC"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1FD"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1FE" w14:textId="77777777" w:rsidR="00CC25B5" w:rsidRDefault="00900968">
            <w:pPr>
              <w:jc w:val="right"/>
              <w:textAlignment w:val="center"/>
            </w:pPr>
            <w:r>
              <w:rPr>
                <w:rFonts w:ascii="Times New Roman" w:eastAsia="宋体" w:hAnsi="Times New Roman"/>
                <w:color w:val="000000"/>
                <w:sz w:val="16"/>
                <w:szCs w:val="16"/>
              </w:rPr>
              <w:t>7,175 </w:t>
            </w:r>
          </w:p>
        </w:tc>
        <w:tc>
          <w:tcPr>
            <w:tcW w:w="0" w:type="auto"/>
            <w:shd w:val="clear" w:color="auto" w:fill="CCEEFF"/>
            <w:tcMar>
              <w:top w:w="40" w:type="dxa"/>
              <w:left w:w="0" w:type="dxa"/>
              <w:bottom w:w="40" w:type="dxa"/>
              <w:right w:w="20" w:type="dxa"/>
            </w:tcMar>
            <w:vAlign w:val="center"/>
          </w:tcPr>
          <w:p w14:paraId="442F71F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00"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20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202" w14:textId="77777777" w:rsidR="00CC25B5" w:rsidRDefault="00900968">
            <w:pPr>
              <w:jc w:val="right"/>
              <w:textAlignment w:val="center"/>
            </w:pPr>
            <w:r>
              <w:rPr>
                <w:rFonts w:ascii="Times New Roman" w:eastAsia="宋体" w:hAnsi="Times New Roman"/>
                <w:color w:val="000000"/>
                <w:sz w:val="16"/>
                <w:szCs w:val="16"/>
              </w:rPr>
              <w:t>10,513 </w:t>
            </w:r>
          </w:p>
        </w:tc>
        <w:tc>
          <w:tcPr>
            <w:tcW w:w="0" w:type="auto"/>
            <w:shd w:val="clear" w:color="auto" w:fill="CCEEFF"/>
            <w:tcMar>
              <w:top w:w="40" w:type="dxa"/>
              <w:left w:w="0" w:type="dxa"/>
              <w:bottom w:w="40" w:type="dxa"/>
              <w:right w:w="20" w:type="dxa"/>
            </w:tcMar>
            <w:vAlign w:val="center"/>
          </w:tcPr>
          <w:p w14:paraId="442F7203" w14:textId="77777777" w:rsidR="00CC25B5" w:rsidRDefault="00CC25B5">
            <w:pPr>
              <w:jc w:val="right"/>
              <w:rPr>
                <w:rFonts w:ascii="宋体"/>
              </w:rPr>
            </w:pPr>
          </w:p>
        </w:tc>
        <w:tc>
          <w:tcPr>
            <w:tcW w:w="0" w:type="auto"/>
            <w:shd w:val="clear" w:color="auto" w:fill="auto"/>
            <w:vAlign w:val="bottom"/>
          </w:tcPr>
          <w:p w14:paraId="442F7204" w14:textId="77777777" w:rsidR="00CC25B5" w:rsidRDefault="00CC25B5">
            <w:pPr>
              <w:rPr>
                <w:rFonts w:ascii="宋体"/>
                <w:vanish/>
              </w:rPr>
            </w:pPr>
          </w:p>
        </w:tc>
        <w:tc>
          <w:tcPr>
            <w:tcW w:w="0" w:type="auto"/>
            <w:shd w:val="clear" w:color="auto" w:fill="auto"/>
            <w:vAlign w:val="bottom"/>
          </w:tcPr>
          <w:p w14:paraId="442F7205" w14:textId="77777777" w:rsidR="00CC25B5" w:rsidRDefault="00CC25B5">
            <w:pPr>
              <w:rPr>
                <w:rFonts w:ascii="宋体"/>
                <w:vanish/>
              </w:rPr>
            </w:pPr>
          </w:p>
        </w:tc>
      </w:tr>
      <w:tr w:rsidR="00CC25B5" w14:paraId="442F720E" w14:textId="77777777">
        <w:trPr>
          <w:hidden/>
        </w:trPr>
        <w:tc>
          <w:tcPr>
            <w:tcW w:w="0" w:type="auto"/>
            <w:gridSpan w:val="3"/>
            <w:shd w:val="clear" w:color="auto" w:fill="auto"/>
            <w:vAlign w:val="bottom"/>
          </w:tcPr>
          <w:p w14:paraId="442F7207" w14:textId="77777777" w:rsidR="00CC25B5" w:rsidRDefault="00CC25B5">
            <w:pPr>
              <w:rPr>
                <w:rFonts w:ascii="宋体"/>
                <w:vanish/>
              </w:rPr>
            </w:pPr>
          </w:p>
        </w:tc>
        <w:tc>
          <w:tcPr>
            <w:tcW w:w="0" w:type="auto"/>
            <w:gridSpan w:val="3"/>
            <w:shd w:val="clear" w:color="auto" w:fill="auto"/>
            <w:vAlign w:val="bottom"/>
          </w:tcPr>
          <w:p w14:paraId="442F7208" w14:textId="77777777" w:rsidR="00CC25B5" w:rsidRDefault="00CC25B5">
            <w:pPr>
              <w:rPr>
                <w:rFonts w:ascii="宋体"/>
                <w:vanish/>
              </w:rPr>
            </w:pPr>
          </w:p>
        </w:tc>
        <w:tc>
          <w:tcPr>
            <w:tcW w:w="0" w:type="auto"/>
            <w:gridSpan w:val="3"/>
            <w:shd w:val="clear" w:color="auto" w:fill="auto"/>
            <w:vAlign w:val="bottom"/>
          </w:tcPr>
          <w:p w14:paraId="442F7209" w14:textId="77777777" w:rsidR="00CC25B5" w:rsidRDefault="00CC25B5">
            <w:pPr>
              <w:rPr>
                <w:rFonts w:ascii="宋体"/>
                <w:vanish/>
              </w:rPr>
            </w:pPr>
          </w:p>
        </w:tc>
        <w:tc>
          <w:tcPr>
            <w:tcW w:w="0" w:type="auto"/>
            <w:gridSpan w:val="3"/>
            <w:shd w:val="clear" w:color="auto" w:fill="auto"/>
            <w:vAlign w:val="bottom"/>
          </w:tcPr>
          <w:p w14:paraId="442F720A" w14:textId="77777777" w:rsidR="00CC25B5" w:rsidRDefault="00CC25B5">
            <w:pPr>
              <w:rPr>
                <w:rFonts w:ascii="宋体"/>
                <w:vanish/>
              </w:rPr>
            </w:pPr>
          </w:p>
        </w:tc>
        <w:tc>
          <w:tcPr>
            <w:tcW w:w="0" w:type="auto"/>
            <w:gridSpan w:val="3"/>
            <w:shd w:val="clear" w:color="auto" w:fill="auto"/>
            <w:vAlign w:val="bottom"/>
          </w:tcPr>
          <w:p w14:paraId="442F720B" w14:textId="77777777" w:rsidR="00CC25B5" w:rsidRDefault="00CC25B5">
            <w:pPr>
              <w:rPr>
                <w:rFonts w:ascii="宋体"/>
                <w:vanish/>
              </w:rPr>
            </w:pPr>
          </w:p>
        </w:tc>
        <w:tc>
          <w:tcPr>
            <w:tcW w:w="0" w:type="auto"/>
            <w:shd w:val="clear" w:color="auto" w:fill="auto"/>
            <w:vAlign w:val="bottom"/>
          </w:tcPr>
          <w:p w14:paraId="442F720C" w14:textId="77777777" w:rsidR="00CC25B5" w:rsidRDefault="00CC25B5">
            <w:pPr>
              <w:rPr>
                <w:rFonts w:ascii="宋体"/>
                <w:vanish/>
              </w:rPr>
            </w:pPr>
          </w:p>
        </w:tc>
        <w:tc>
          <w:tcPr>
            <w:tcW w:w="0" w:type="auto"/>
            <w:shd w:val="clear" w:color="auto" w:fill="auto"/>
            <w:vAlign w:val="bottom"/>
          </w:tcPr>
          <w:p w14:paraId="442F720D" w14:textId="77777777" w:rsidR="00CC25B5" w:rsidRDefault="00CC25B5">
            <w:pPr>
              <w:rPr>
                <w:rFonts w:ascii="宋体"/>
                <w:vanish/>
              </w:rPr>
            </w:pPr>
          </w:p>
        </w:tc>
      </w:tr>
      <w:tr w:rsidR="00CC25B5" w14:paraId="442F7216" w14:textId="77777777">
        <w:trPr>
          <w:hidden/>
        </w:trPr>
        <w:tc>
          <w:tcPr>
            <w:tcW w:w="0" w:type="auto"/>
            <w:gridSpan w:val="3"/>
            <w:shd w:val="clear" w:color="auto" w:fill="auto"/>
            <w:vAlign w:val="bottom"/>
          </w:tcPr>
          <w:p w14:paraId="442F720F" w14:textId="77777777" w:rsidR="00CC25B5" w:rsidRDefault="00CC25B5">
            <w:pPr>
              <w:rPr>
                <w:rFonts w:ascii="宋体"/>
                <w:vanish/>
              </w:rPr>
            </w:pPr>
          </w:p>
        </w:tc>
        <w:tc>
          <w:tcPr>
            <w:tcW w:w="0" w:type="auto"/>
            <w:gridSpan w:val="3"/>
            <w:shd w:val="clear" w:color="auto" w:fill="auto"/>
            <w:vAlign w:val="bottom"/>
          </w:tcPr>
          <w:p w14:paraId="442F7210" w14:textId="77777777" w:rsidR="00CC25B5" w:rsidRDefault="00CC25B5">
            <w:pPr>
              <w:rPr>
                <w:rFonts w:ascii="宋体"/>
                <w:vanish/>
              </w:rPr>
            </w:pPr>
          </w:p>
        </w:tc>
        <w:tc>
          <w:tcPr>
            <w:tcW w:w="0" w:type="auto"/>
            <w:gridSpan w:val="3"/>
            <w:shd w:val="clear" w:color="auto" w:fill="auto"/>
            <w:vAlign w:val="bottom"/>
          </w:tcPr>
          <w:p w14:paraId="442F7211" w14:textId="77777777" w:rsidR="00CC25B5" w:rsidRDefault="00CC25B5">
            <w:pPr>
              <w:rPr>
                <w:rFonts w:ascii="宋体"/>
                <w:vanish/>
              </w:rPr>
            </w:pPr>
          </w:p>
        </w:tc>
        <w:tc>
          <w:tcPr>
            <w:tcW w:w="0" w:type="auto"/>
            <w:gridSpan w:val="3"/>
            <w:shd w:val="clear" w:color="auto" w:fill="auto"/>
            <w:vAlign w:val="bottom"/>
          </w:tcPr>
          <w:p w14:paraId="442F7212" w14:textId="77777777" w:rsidR="00CC25B5" w:rsidRDefault="00CC25B5">
            <w:pPr>
              <w:rPr>
                <w:rFonts w:ascii="宋体"/>
                <w:vanish/>
              </w:rPr>
            </w:pPr>
          </w:p>
        </w:tc>
        <w:tc>
          <w:tcPr>
            <w:tcW w:w="0" w:type="auto"/>
            <w:gridSpan w:val="3"/>
            <w:shd w:val="clear" w:color="auto" w:fill="auto"/>
            <w:vAlign w:val="bottom"/>
          </w:tcPr>
          <w:p w14:paraId="442F7213" w14:textId="77777777" w:rsidR="00CC25B5" w:rsidRDefault="00CC25B5">
            <w:pPr>
              <w:rPr>
                <w:rFonts w:ascii="宋体"/>
                <w:vanish/>
              </w:rPr>
            </w:pPr>
          </w:p>
        </w:tc>
        <w:tc>
          <w:tcPr>
            <w:tcW w:w="0" w:type="auto"/>
            <w:shd w:val="clear" w:color="auto" w:fill="auto"/>
            <w:vAlign w:val="bottom"/>
          </w:tcPr>
          <w:p w14:paraId="442F7214" w14:textId="77777777" w:rsidR="00CC25B5" w:rsidRDefault="00CC25B5">
            <w:pPr>
              <w:rPr>
                <w:rFonts w:ascii="宋体"/>
                <w:vanish/>
              </w:rPr>
            </w:pPr>
          </w:p>
        </w:tc>
        <w:tc>
          <w:tcPr>
            <w:tcW w:w="0" w:type="auto"/>
            <w:shd w:val="clear" w:color="auto" w:fill="auto"/>
            <w:vAlign w:val="bottom"/>
          </w:tcPr>
          <w:p w14:paraId="442F7215" w14:textId="77777777" w:rsidR="00CC25B5" w:rsidRDefault="00CC25B5">
            <w:pPr>
              <w:rPr>
                <w:rFonts w:ascii="宋体"/>
                <w:vanish/>
              </w:rPr>
            </w:pPr>
          </w:p>
        </w:tc>
      </w:tr>
      <w:tr w:rsidR="00CC25B5" w14:paraId="442F721E" w14:textId="77777777">
        <w:tc>
          <w:tcPr>
            <w:tcW w:w="0" w:type="auto"/>
            <w:gridSpan w:val="3"/>
            <w:shd w:val="clear" w:color="auto" w:fill="FFFFFF"/>
            <w:tcMar>
              <w:top w:w="40" w:type="dxa"/>
              <w:left w:w="380" w:type="dxa"/>
              <w:bottom w:w="40" w:type="dxa"/>
              <w:right w:w="20" w:type="dxa"/>
            </w:tcMar>
            <w:vAlign w:val="center"/>
          </w:tcPr>
          <w:p w14:paraId="442F7217" w14:textId="77777777" w:rsidR="00CC25B5" w:rsidRDefault="00900968">
            <w:pPr>
              <w:textAlignment w:val="center"/>
            </w:pPr>
            <w:r>
              <w:rPr>
                <w:rFonts w:ascii="Times New Roman" w:eastAsia="宋体" w:hAnsi="Times New Roman"/>
                <w:color w:val="000000"/>
                <w:sz w:val="16"/>
                <w:szCs w:val="16"/>
              </w:rPr>
              <w:t xml:space="preserve">Adjustments to reconcile consolidated net income to net cash </w:t>
            </w:r>
            <w:r>
              <w:rPr>
                <w:rFonts w:ascii="Times New Roman" w:eastAsia="宋体" w:hAnsi="Times New Roman"/>
                <w:color w:val="000000"/>
                <w:sz w:val="16"/>
                <w:szCs w:val="16"/>
              </w:rPr>
              <w:t>provided by operating activities:</w:t>
            </w:r>
          </w:p>
        </w:tc>
        <w:tc>
          <w:tcPr>
            <w:tcW w:w="0" w:type="auto"/>
            <w:gridSpan w:val="3"/>
            <w:shd w:val="clear" w:color="auto" w:fill="FFFFFF"/>
            <w:tcMar>
              <w:top w:w="0" w:type="dxa"/>
              <w:left w:w="20" w:type="dxa"/>
              <w:bottom w:w="0" w:type="dxa"/>
              <w:right w:w="20" w:type="dxa"/>
            </w:tcMar>
            <w:vAlign w:val="bottom"/>
          </w:tcPr>
          <w:p w14:paraId="442F721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19"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1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1B" w14:textId="77777777" w:rsidR="00CC25B5" w:rsidRDefault="00CC25B5">
            <w:pPr>
              <w:rPr>
                <w:rFonts w:ascii="宋体"/>
              </w:rPr>
            </w:pPr>
          </w:p>
        </w:tc>
        <w:tc>
          <w:tcPr>
            <w:tcW w:w="0" w:type="auto"/>
            <w:shd w:val="clear" w:color="auto" w:fill="auto"/>
            <w:vAlign w:val="bottom"/>
          </w:tcPr>
          <w:p w14:paraId="442F721C" w14:textId="77777777" w:rsidR="00CC25B5" w:rsidRDefault="00CC25B5">
            <w:pPr>
              <w:rPr>
                <w:rFonts w:ascii="宋体"/>
                <w:vanish/>
              </w:rPr>
            </w:pPr>
          </w:p>
        </w:tc>
        <w:tc>
          <w:tcPr>
            <w:tcW w:w="0" w:type="auto"/>
            <w:shd w:val="clear" w:color="auto" w:fill="auto"/>
            <w:vAlign w:val="bottom"/>
          </w:tcPr>
          <w:p w14:paraId="442F721D" w14:textId="77777777" w:rsidR="00CC25B5" w:rsidRDefault="00CC25B5">
            <w:pPr>
              <w:rPr>
                <w:rFonts w:ascii="宋体"/>
                <w:vanish/>
              </w:rPr>
            </w:pPr>
          </w:p>
        </w:tc>
      </w:tr>
      <w:tr w:rsidR="00CC25B5" w14:paraId="442F7228" w14:textId="77777777">
        <w:tc>
          <w:tcPr>
            <w:tcW w:w="0" w:type="auto"/>
            <w:gridSpan w:val="3"/>
            <w:shd w:val="clear" w:color="auto" w:fill="CCEEFF"/>
            <w:tcMar>
              <w:top w:w="40" w:type="dxa"/>
              <w:left w:w="740" w:type="dxa"/>
              <w:bottom w:w="40" w:type="dxa"/>
              <w:right w:w="20" w:type="dxa"/>
            </w:tcMar>
            <w:vAlign w:val="center"/>
          </w:tcPr>
          <w:p w14:paraId="442F721F" w14:textId="77777777" w:rsidR="00CC25B5" w:rsidRDefault="00900968">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442F722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21" w14:textId="77777777" w:rsidR="00CC25B5" w:rsidRDefault="00900968">
            <w:pPr>
              <w:jc w:val="right"/>
              <w:textAlignment w:val="center"/>
            </w:pPr>
            <w:r>
              <w:rPr>
                <w:rFonts w:ascii="Times New Roman" w:eastAsia="宋体" w:hAnsi="Times New Roman"/>
                <w:color w:val="000000"/>
                <w:sz w:val="16"/>
                <w:szCs w:val="16"/>
              </w:rPr>
              <w:t>5,302 </w:t>
            </w:r>
          </w:p>
        </w:tc>
        <w:tc>
          <w:tcPr>
            <w:tcW w:w="0" w:type="auto"/>
            <w:shd w:val="clear" w:color="auto" w:fill="CCEEFF"/>
            <w:tcMar>
              <w:top w:w="40" w:type="dxa"/>
              <w:left w:w="0" w:type="dxa"/>
              <w:bottom w:w="40" w:type="dxa"/>
              <w:right w:w="20" w:type="dxa"/>
            </w:tcMar>
            <w:vAlign w:val="center"/>
          </w:tcPr>
          <w:p w14:paraId="442F722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2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24" w14:textId="77777777" w:rsidR="00CC25B5" w:rsidRDefault="00900968">
            <w:pPr>
              <w:jc w:val="right"/>
              <w:textAlignment w:val="center"/>
            </w:pPr>
            <w:r>
              <w:rPr>
                <w:rFonts w:ascii="Times New Roman" w:eastAsia="宋体" w:hAnsi="Times New Roman"/>
                <w:color w:val="000000"/>
                <w:sz w:val="16"/>
                <w:szCs w:val="16"/>
              </w:rPr>
              <w:t>5,562 </w:t>
            </w:r>
          </w:p>
        </w:tc>
        <w:tc>
          <w:tcPr>
            <w:tcW w:w="0" w:type="auto"/>
            <w:shd w:val="clear" w:color="auto" w:fill="CCEEFF"/>
            <w:tcMar>
              <w:top w:w="40" w:type="dxa"/>
              <w:left w:w="0" w:type="dxa"/>
              <w:bottom w:w="40" w:type="dxa"/>
              <w:right w:w="20" w:type="dxa"/>
            </w:tcMar>
            <w:vAlign w:val="center"/>
          </w:tcPr>
          <w:p w14:paraId="442F7225" w14:textId="77777777" w:rsidR="00CC25B5" w:rsidRDefault="00CC25B5">
            <w:pPr>
              <w:jc w:val="right"/>
              <w:rPr>
                <w:rFonts w:ascii="宋体"/>
              </w:rPr>
            </w:pPr>
          </w:p>
        </w:tc>
        <w:tc>
          <w:tcPr>
            <w:tcW w:w="0" w:type="auto"/>
            <w:shd w:val="clear" w:color="auto" w:fill="auto"/>
            <w:vAlign w:val="bottom"/>
          </w:tcPr>
          <w:p w14:paraId="442F7226" w14:textId="77777777" w:rsidR="00CC25B5" w:rsidRDefault="00CC25B5">
            <w:pPr>
              <w:rPr>
                <w:rFonts w:ascii="宋体"/>
                <w:vanish/>
              </w:rPr>
            </w:pPr>
          </w:p>
        </w:tc>
        <w:tc>
          <w:tcPr>
            <w:tcW w:w="0" w:type="auto"/>
            <w:shd w:val="clear" w:color="auto" w:fill="auto"/>
            <w:vAlign w:val="bottom"/>
          </w:tcPr>
          <w:p w14:paraId="442F7227" w14:textId="77777777" w:rsidR="00CC25B5" w:rsidRDefault="00CC25B5">
            <w:pPr>
              <w:rPr>
                <w:rFonts w:ascii="宋体"/>
                <w:vanish/>
              </w:rPr>
            </w:pPr>
          </w:p>
        </w:tc>
      </w:tr>
      <w:tr w:rsidR="00CC25B5" w14:paraId="442F7232" w14:textId="77777777">
        <w:tc>
          <w:tcPr>
            <w:tcW w:w="0" w:type="auto"/>
            <w:gridSpan w:val="3"/>
            <w:shd w:val="clear" w:color="auto" w:fill="FFFFFF"/>
            <w:tcMar>
              <w:top w:w="40" w:type="dxa"/>
              <w:left w:w="740" w:type="dxa"/>
              <w:bottom w:w="40" w:type="dxa"/>
              <w:right w:w="20" w:type="dxa"/>
            </w:tcMar>
            <w:vAlign w:val="center"/>
          </w:tcPr>
          <w:p w14:paraId="442F7229" w14:textId="77777777" w:rsidR="00CC25B5" w:rsidRDefault="00900968">
            <w:pPr>
              <w:textAlignment w:val="center"/>
            </w:pPr>
            <w:r>
              <w:rPr>
                <w:rFonts w:ascii="Times New Roman" w:eastAsia="宋体" w:hAnsi="Times New Roman"/>
                <w:color w:val="000000"/>
                <w:sz w:val="16"/>
                <w:szCs w:val="16"/>
              </w:rPr>
              <w:t>Net unrealized and realized (gains) and losses</w:t>
            </w:r>
          </w:p>
        </w:tc>
        <w:tc>
          <w:tcPr>
            <w:tcW w:w="0" w:type="auto"/>
            <w:gridSpan w:val="3"/>
            <w:shd w:val="clear" w:color="auto" w:fill="FFFFFF"/>
            <w:tcMar>
              <w:top w:w="0" w:type="dxa"/>
              <w:left w:w="20" w:type="dxa"/>
              <w:bottom w:w="0" w:type="dxa"/>
              <w:right w:w="20" w:type="dxa"/>
            </w:tcMar>
            <w:vAlign w:val="bottom"/>
          </w:tcPr>
          <w:p w14:paraId="442F722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2B" w14:textId="77777777" w:rsidR="00CC25B5" w:rsidRDefault="00900968">
            <w:pPr>
              <w:jc w:val="right"/>
              <w:textAlignment w:val="center"/>
            </w:pPr>
            <w:r>
              <w:rPr>
                <w:rFonts w:ascii="Times New Roman" w:eastAsia="宋体" w:hAnsi="Times New Roman"/>
                <w:color w:val="000000"/>
                <w:sz w:val="16"/>
                <w:szCs w:val="16"/>
              </w:rPr>
              <w:t>3,019 </w:t>
            </w:r>
          </w:p>
        </w:tc>
        <w:tc>
          <w:tcPr>
            <w:tcW w:w="0" w:type="auto"/>
            <w:shd w:val="clear" w:color="auto" w:fill="FFFFFF"/>
            <w:tcMar>
              <w:top w:w="40" w:type="dxa"/>
              <w:left w:w="0" w:type="dxa"/>
              <w:bottom w:w="40" w:type="dxa"/>
              <w:right w:w="20" w:type="dxa"/>
            </w:tcMar>
            <w:vAlign w:val="center"/>
          </w:tcPr>
          <w:p w14:paraId="442F722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2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2E" w14:textId="77777777" w:rsidR="00CC25B5" w:rsidRDefault="00900968">
            <w:pPr>
              <w:jc w:val="right"/>
              <w:textAlignment w:val="center"/>
            </w:pPr>
            <w:r>
              <w:rPr>
                <w:rFonts w:ascii="Times New Roman" w:eastAsia="宋体" w:hAnsi="Times New Roman"/>
                <w:color w:val="000000"/>
                <w:sz w:val="16"/>
                <w:szCs w:val="16"/>
              </w:rPr>
              <w:t>(4,006)</w:t>
            </w:r>
          </w:p>
        </w:tc>
        <w:tc>
          <w:tcPr>
            <w:tcW w:w="0" w:type="auto"/>
            <w:shd w:val="clear" w:color="auto" w:fill="FFFFFF"/>
            <w:tcMar>
              <w:top w:w="40" w:type="dxa"/>
              <w:left w:w="0" w:type="dxa"/>
              <w:bottom w:w="40" w:type="dxa"/>
              <w:right w:w="20" w:type="dxa"/>
            </w:tcMar>
            <w:vAlign w:val="center"/>
          </w:tcPr>
          <w:p w14:paraId="442F722F" w14:textId="77777777" w:rsidR="00CC25B5" w:rsidRDefault="00CC25B5">
            <w:pPr>
              <w:jc w:val="right"/>
              <w:rPr>
                <w:rFonts w:ascii="宋体"/>
              </w:rPr>
            </w:pPr>
          </w:p>
        </w:tc>
        <w:tc>
          <w:tcPr>
            <w:tcW w:w="0" w:type="auto"/>
            <w:shd w:val="clear" w:color="auto" w:fill="auto"/>
            <w:vAlign w:val="bottom"/>
          </w:tcPr>
          <w:p w14:paraId="442F7230" w14:textId="77777777" w:rsidR="00CC25B5" w:rsidRDefault="00CC25B5">
            <w:pPr>
              <w:rPr>
                <w:rFonts w:ascii="宋体"/>
                <w:vanish/>
              </w:rPr>
            </w:pPr>
          </w:p>
        </w:tc>
        <w:tc>
          <w:tcPr>
            <w:tcW w:w="0" w:type="auto"/>
            <w:shd w:val="clear" w:color="auto" w:fill="auto"/>
            <w:vAlign w:val="bottom"/>
          </w:tcPr>
          <w:p w14:paraId="442F7231" w14:textId="77777777" w:rsidR="00CC25B5" w:rsidRDefault="00CC25B5">
            <w:pPr>
              <w:rPr>
                <w:rFonts w:ascii="宋体"/>
                <w:vanish/>
              </w:rPr>
            </w:pPr>
          </w:p>
        </w:tc>
      </w:tr>
      <w:tr w:rsidR="00CC25B5" w14:paraId="442F723C" w14:textId="77777777">
        <w:tc>
          <w:tcPr>
            <w:tcW w:w="0" w:type="auto"/>
            <w:gridSpan w:val="3"/>
            <w:shd w:val="clear" w:color="auto" w:fill="CCEEFF"/>
            <w:tcMar>
              <w:top w:w="40" w:type="dxa"/>
              <w:left w:w="740" w:type="dxa"/>
              <w:bottom w:w="40" w:type="dxa"/>
              <w:right w:w="20" w:type="dxa"/>
            </w:tcMar>
            <w:vAlign w:val="center"/>
          </w:tcPr>
          <w:p w14:paraId="442F7233" w14:textId="77777777" w:rsidR="00CC25B5" w:rsidRDefault="00900968">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vAlign w:val="bottom"/>
          </w:tcPr>
          <w:p w14:paraId="442F723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35" w14:textId="77777777" w:rsidR="00CC25B5" w:rsidRDefault="00900968">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442F723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3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38" w14:textId="77777777" w:rsidR="00CC25B5" w:rsidRDefault="00900968">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442F7239" w14:textId="77777777" w:rsidR="00CC25B5" w:rsidRDefault="00CC25B5">
            <w:pPr>
              <w:jc w:val="right"/>
              <w:rPr>
                <w:rFonts w:ascii="宋体"/>
              </w:rPr>
            </w:pPr>
          </w:p>
        </w:tc>
        <w:tc>
          <w:tcPr>
            <w:tcW w:w="0" w:type="auto"/>
            <w:shd w:val="clear" w:color="auto" w:fill="auto"/>
            <w:vAlign w:val="bottom"/>
          </w:tcPr>
          <w:p w14:paraId="442F723A" w14:textId="77777777" w:rsidR="00CC25B5" w:rsidRDefault="00CC25B5">
            <w:pPr>
              <w:rPr>
                <w:rFonts w:ascii="宋体"/>
                <w:vanish/>
              </w:rPr>
            </w:pPr>
          </w:p>
        </w:tc>
        <w:tc>
          <w:tcPr>
            <w:tcW w:w="0" w:type="auto"/>
            <w:shd w:val="clear" w:color="auto" w:fill="auto"/>
            <w:vAlign w:val="bottom"/>
          </w:tcPr>
          <w:p w14:paraId="442F723B" w14:textId="77777777" w:rsidR="00CC25B5" w:rsidRDefault="00CC25B5">
            <w:pPr>
              <w:rPr>
                <w:rFonts w:ascii="宋体"/>
                <w:vanish/>
              </w:rPr>
            </w:pPr>
          </w:p>
        </w:tc>
      </w:tr>
      <w:tr w:rsidR="00CC25B5" w14:paraId="442F7246" w14:textId="77777777">
        <w:tc>
          <w:tcPr>
            <w:tcW w:w="0" w:type="auto"/>
            <w:gridSpan w:val="3"/>
            <w:shd w:val="clear" w:color="auto" w:fill="FFFFFF"/>
            <w:tcMar>
              <w:top w:w="40" w:type="dxa"/>
              <w:left w:w="740" w:type="dxa"/>
              <w:bottom w:w="40" w:type="dxa"/>
              <w:right w:w="20" w:type="dxa"/>
            </w:tcMar>
            <w:vAlign w:val="center"/>
          </w:tcPr>
          <w:p w14:paraId="442F723D" w14:textId="77777777" w:rsidR="00CC25B5" w:rsidRDefault="00900968">
            <w:pPr>
              <w:textAlignment w:val="center"/>
            </w:pPr>
            <w:r>
              <w:rPr>
                <w:rFonts w:ascii="Times New Roman" w:eastAsia="宋体" w:hAnsi="Times New Roman"/>
                <w:color w:val="000000"/>
                <w:sz w:val="16"/>
                <w:szCs w:val="16"/>
              </w:rPr>
              <w:t>Deferred income taxes</w:t>
            </w:r>
          </w:p>
        </w:tc>
        <w:tc>
          <w:tcPr>
            <w:tcW w:w="0" w:type="auto"/>
            <w:gridSpan w:val="3"/>
            <w:shd w:val="clear" w:color="auto" w:fill="FFFFFF"/>
            <w:tcMar>
              <w:top w:w="0" w:type="dxa"/>
              <w:left w:w="20" w:type="dxa"/>
              <w:bottom w:w="0" w:type="dxa"/>
              <w:right w:w="20" w:type="dxa"/>
            </w:tcMar>
            <w:vAlign w:val="bottom"/>
          </w:tcPr>
          <w:p w14:paraId="442F723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3F" w14:textId="77777777" w:rsidR="00CC25B5" w:rsidRDefault="00900968">
            <w:pPr>
              <w:jc w:val="right"/>
              <w:textAlignment w:val="center"/>
            </w:pPr>
            <w:r>
              <w:rPr>
                <w:rFonts w:ascii="Times New Roman" w:eastAsia="宋体" w:hAnsi="Times New Roman"/>
                <w:color w:val="000000"/>
                <w:sz w:val="16"/>
                <w:szCs w:val="16"/>
              </w:rPr>
              <w:t>(385)</w:t>
            </w:r>
          </w:p>
        </w:tc>
        <w:tc>
          <w:tcPr>
            <w:tcW w:w="0" w:type="auto"/>
            <w:shd w:val="clear" w:color="auto" w:fill="FFFFFF"/>
            <w:tcMar>
              <w:top w:w="40" w:type="dxa"/>
              <w:left w:w="0" w:type="dxa"/>
              <w:bottom w:w="40" w:type="dxa"/>
              <w:right w:w="20" w:type="dxa"/>
            </w:tcMar>
            <w:vAlign w:val="center"/>
          </w:tcPr>
          <w:p w14:paraId="442F724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4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42" w14:textId="77777777" w:rsidR="00CC25B5" w:rsidRDefault="00900968">
            <w:pPr>
              <w:jc w:val="right"/>
              <w:textAlignment w:val="center"/>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center"/>
          </w:tcPr>
          <w:p w14:paraId="442F7243" w14:textId="77777777" w:rsidR="00CC25B5" w:rsidRDefault="00CC25B5">
            <w:pPr>
              <w:jc w:val="right"/>
              <w:rPr>
                <w:rFonts w:ascii="宋体"/>
              </w:rPr>
            </w:pPr>
          </w:p>
        </w:tc>
        <w:tc>
          <w:tcPr>
            <w:tcW w:w="0" w:type="auto"/>
            <w:shd w:val="clear" w:color="auto" w:fill="auto"/>
            <w:vAlign w:val="bottom"/>
          </w:tcPr>
          <w:p w14:paraId="442F7244" w14:textId="77777777" w:rsidR="00CC25B5" w:rsidRDefault="00CC25B5">
            <w:pPr>
              <w:rPr>
                <w:rFonts w:ascii="宋体"/>
                <w:vanish/>
              </w:rPr>
            </w:pPr>
          </w:p>
        </w:tc>
        <w:tc>
          <w:tcPr>
            <w:tcW w:w="0" w:type="auto"/>
            <w:shd w:val="clear" w:color="auto" w:fill="auto"/>
            <w:vAlign w:val="bottom"/>
          </w:tcPr>
          <w:p w14:paraId="442F7245" w14:textId="77777777" w:rsidR="00CC25B5" w:rsidRDefault="00CC25B5">
            <w:pPr>
              <w:rPr>
                <w:rFonts w:ascii="宋体"/>
                <w:vanish/>
              </w:rPr>
            </w:pPr>
          </w:p>
        </w:tc>
      </w:tr>
      <w:tr w:rsidR="00CC25B5" w14:paraId="442F724E" w14:textId="77777777">
        <w:trPr>
          <w:hidden/>
        </w:trPr>
        <w:tc>
          <w:tcPr>
            <w:tcW w:w="0" w:type="auto"/>
            <w:gridSpan w:val="3"/>
            <w:shd w:val="clear" w:color="auto" w:fill="auto"/>
            <w:vAlign w:val="bottom"/>
          </w:tcPr>
          <w:p w14:paraId="442F7247" w14:textId="77777777" w:rsidR="00CC25B5" w:rsidRDefault="00CC25B5">
            <w:pPr>
              <w:rPr>
                <w:rFonts w:ascii="宋体"/>
                <w:vanish/>
              </w:rPr>
            </w:pPr>
          </w:p>
        </w:tc>
        <w:tc>
          <w:tcPr>
            <w:tcW w:w="0" w:type="auto"/>
            <w:gridSpan w:val="3"/>
            <w:shd w:val="clear" w:color="auto" w:fill="auto"/>
            <w:vAlign w:val="bottom"/>
          </w:tcPr>
          <w:p w14:paraId="442F7248" w14:textId="77777777" w:rsidR="00CC25B5" w:rsidRDefault="00CC25B5">
            <w:pPr>
              <w:rPr>
                <w:rFonts w:ascii="宋体"/>
                <w:vanish/>
              </w:rPr>
            </w:pPr>
          </w:p>
        </w:tc>
        <w:tc>
          <w:tcPr>
            <w:tcW w:w="0" w:type="auto"/>
            <w:gridSpan w:val="3"/>
            <w:shd w:val="clear" w:color="auto" w:fill="auto"/>
            <w:vAlign w:val="bottom"/>
          </w:tcPr>
          <w:p w14:paraId="442F7249" w14:textId="77777777" w:rsidR="00CC25B5" w:rsidRDefault="00CC25B5">
            <w:pPr>
              <w:rPr>
                <w:rFonts w:ascii="宋体"/>
                <w:vanish/>
              </w:rPr>
            </w:pPr>
          </w:p>
        </w:tc>
        <w:tc>
          <w:tcPr>
            <w:tcW w:w="0" w:type="auto"/>
            <w:gridSpan w:val="3"/>
            <w:shd w:val="clear" w:color="auto" w:fill="auto"/>
            <w:vAlign w:val="bottom"/>
          </w:tcPr>
          <w:p w14:paraId="442F724A" w14:textId="77777777" w:rsidR="00CC25B5" w:rsidRDefault="00CC25B5">
            <w:pPr>
              <w:rPr>
                <w:rFonts w:ascii="宋体"/>
                <w:vanish/>
              </w:rPr>
            </w:pPr>
          </w:p>
        </w:tc>
        <w:tc>
          <w:tcPr>
            <w:tcW w:w="0" w:type="auto"/>
            <w:gridSpan w:val="3"/>
            <w:shd w:val="clear" w:color="auto" w:fill="auto"/>
            <w:vAlign w:val="bottom"/>
          </w:tcPr>
          <w:p w14:paraId="442F724B" w14:textId="77777777" w:rsidR="00CC25B5" w:rsidRDefault="00CC25B5">
            <w:pPr>
              <w:rPr>
                <w:rFonts w:ascii="宋体"/>
                <w:vanish/>
              </w:rPr>
            </w:pPr>
          </w:p>
        </w:tc>
        <w:tc>
          <w:tcPr>
            <w:tcW w:w="0" w:type="auto"/>
            <w:shd w:val="clear" w:color="auto" w:fill="auto"/>
            <w:vAlign w:val="bottom"/>
          </w:tcPr>
          <w:p w14:paraId="442F724C" w14:textId="77777777" w:rsidR="00CC25B5" w:rsidRDefault="00CC25B5">
            <w:pPr>
              <w:rPr>
                <w:rFonts w:ascii="宋体"/>
                <w:vanish/>
              </w:rPr>
            </w:pPr>
          </w:p>
        </w:tc>
        <w:tc>
          <w:tcPr>
            <w:tcW w:w="0" w:type="auto"/>
            <w:shd w:val="clear" w:color="auto" w:fill="auto"/>
            <w:vAlign w:val="bottom"/>
          </w:tcPr>
          <w:p w14:paraId="442F724D" w14:textId="77777777" w:rsidR="00CC25B5" w:rsidRDefault="00CC25B5">
            <w:pPr>
              <w:rPr>
                <w:rFonts w:ascii="宋体"/>
                <w:vanish/>
              </w:rPr>
            </w:pPr>
          </w:p>
        </w:tc>
      </w:tr>
      <w:tr w:rsidR="00CC25B5" w14:paraId="442F7258" w14:textId="77777777">
        <w:tc>
          <w:tcPr>
            <w:tcW w:w="0" w:type="auto"/>
            <w:gridSpan w:val="3"/>
            <w:shd w:val="clear" w:color="auto" w:fill="CCEEFF"/>
            <w:tcMar>
              <w:top w:w="40" w:type="dxa"/>
              <w:left w:w="740" w:type="dxa"/>
              <w:bottom w:w="40" w:type="dxa"/>
              <w:right w:w="20" w:type="dxa"/>
            </w:tcMar>
            <w:vAlign w:val="center"/>
          </w:tcPr>
          <w:p w14:paraId="442F724F" w14:textId="77777777" w:rsidR="00CC25B5" w:rsidRDefault="00900968">
            <w:pPr>
              <w:textAlignment w:val="center"/>
            </w:pPr>
            <w:r>
              <w:rPr>
                <w:rFonts w:ascii="Times New Roman" w:eastAsia="宋体" w:hAnsi="Times New Roman"/>
                <w:color w:val="000000"/>
                <w:sz w:val="16"/>
                <w:szCs w:val="16"/>
              </w:rPr>
              <w:t>Other operating activities</w:t>
            </w:r>
          </w:p>
        </w:tc>
        <w:tc>
          <w:tcPr>
            <w:tcW w:w="0" w:type="auto"/>
            <w:gridSpan w:val="3"/>
            <w:shd w:val="clear" w:color="auto" w:fill="CCEEFF"/>
            <w:tcMar>
              <w:top w:w="0" w:type="dxa"/>
              <w:left w:w="20" w:type="dxa"/>
              <w:bottom w:w="0" w:type="dxa"/>
              <w:right w:w="20" w:type="dxa"/>
            </w:tcMar>
            <w:vAlign w:val="bottom"/>
          </w:tcPr>
          <w:p w14:paraId="442F725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51" w14:textId="77777777" w:rsidR="00CC25B5" w:rsidRDefault="00900968">
            <w:pPr>
              <w:jc w:val="right"/>
              <w:textAlignment w:val="center"/>
            </w:pPr>
            <w:r>
              <w:rPr>
                <w:rFonts w:ascii="Times New Roman" w:eastAsia="宋体" w:hAnsi="Times New Roman"/>
                <w:color w:val="000000"/>
                <w:sz w:val="16"/>
                <w:szCs w:val="16"/>
              </w:rPr>
              <w:t>606 </w:t>
            </w:r>
          </w:p>
        </w:tc>
        <w:tc>
          <w:tcPr>
            <w:tcW w:w="0" w:type="auto"/>
            <w:shd w:val="clear" w:color="auto" w:fill="CCEEFF"/>
            <w:tcMar>
              <w:top w:w="40" w:type="dxa"/>
              <w:left w:w="0" w:type="dxa"/>
              <w:bottom w:w="40" w:type="dxa"/>
              <w:right w:w="20" w:type="dxa"/>
            </w:tcMar>
            <w:vAlign w:val="center"/>
          </w:tcPr>
          <w:p w14:paraId="442F725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5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54" w14:textId="77777777" w:rsidR="00CC25B5" w:rsidRDefault="00900968">
            <w:pPr>
              <w:jc w:val="right"/>
              <w:textAlignment w:val="center"/>
            </w:pPr>
            <w:r>
              <w:rPr>
                <w:rFonts w:ascii="Times New Roman" w:eastAsia="宋体" w:hAnsi="Times New Roman"/>
                <w:color w:val="000000"/>
                <w:sz w:val="16"/>
                <w:szCs w:val="16"/>
              </w:rPr>
              <w:t>305 </w:t>
            </w:r>
          </w:p>
        </w:tc>
        <w:tc>
          <w:tcPr>
            <w:tcW w:w="0" w:type="auto"/>
            <w:shd w:val="clear" w:color="auto" w:fill="CCEEFF"/>
            <w:tcMar>
              <w:top w:w="40" w:type="dxa"/>
              <w:left w:w="0" w:type="dxa"/>
              <w:bottom w:w="40" w:type="dxa"/>
              <w:right w:w="20" w:type="dxa"/>
            </w:tcMar>
            <w:vAlign w:val="center"/>
          </w:tcPr>
          <w:p w14:paraId="442F7255" w14:textId="77777777" w:rsidR="00CC25B5" w:rsidRDefault="00CC25B5">
            <w:pPr>
              <w:jc w:val="right"/>
              <w:rPr>
                <w:rFonts w:ascii="宋体"/>
              </w:rPr>
            </w:pPr>
          </w:p>
        </w:tc>
        <w:tc>
          <w:tcPr>
            <w:tcW w:w="0" w:type="auto"/>
            <w:shd w:val="clear" w:color="auto" w:fill="auto"/>
            <w:vAlign w:val="bottom"/>
          </w:tcPr>
          <w:p w14:paraId="442F7256" w14:textId="77777777" w:rsidR="00CC25B5" w:rsidRDefault="00CC25B5">
            <w:pPr>
              <w:rPr>
                <w:rFonts w:ascii="宋体"/>
                <w:vanish/>
              </w:rPr>
            </w:pPr>
          </w:p>
        </w:tc>
        <w:tc>
          <w:tcPr>
            <w:tcW w:w="0" w:type="auto"/>
            <w:shd w:val="clear" w:color="auto" w:fill="auto"/>
            <w:vAlign w:val="bottom"/>
          </w:tcPr>
          <w:p w14:paraId="442F7257" w14:textId="77777777" w:rsidR="00CC25B5" w:rsidRDefault="00CC25B5">
            <w:pPr>
              <w:rPr>
                <w:rFonts w:ascii="宋体"/>
                <w:vanish/>
              </w:rPr>
            </w:pPr>
          </w:p>
        </w:tc>
      </w:tr>
      <w:tr w:rsidR="00CC25B5" w14:paraId="442F7260" w14:textId="77777777">
        <w:tc>
          <w:tcPr>
            <w:tcW w:w="0" w:type="auto"/>
            <w:gridSpan w:val="3"/>
            <w:shd w:val="clear" w:color="auto" w:fill="FFFFFF"/>
            <w:tcMar>
              <w:top w:w="40" w:type="dxa"/>
              <w:left w:w="740" w:type="dxa"/>
              <w:bottom w:w="40" w:type="dxa"/>
              <w:right w:w="20" w:type="dxa"/>
            </w:tcMar>
            <w:vAlign w:val="center"/>
          </w:tcPr>
          <w:p w14:paraId="442F7259" w14:textId="77777777" w:rsidR="00CC25B5" w:rsidRDefault="00900968">
            <w:pPr>
              <w:textAlignment w:val="center"/>
            </w:pPr>
            <w:r>
              <w:rPr>
                <w:rFonts w:ascii="Times New Roman" w:eastAsia="宋体" w:hAnsi="Times New Roman"/>
                <w:color w:val="000000"/>
                <w:sz w:val="16"/>
                <w:szCs w:val="16"/>
              </w:rPr>
              <w:t>Changes in certain assets and liabilities, net of effects of acquisitions and dispositions:</w:t>
            </w:r>
          </w:p>
        </w:tc>
        <w:tc>
          <w:tcPr>
            <w:tcW w:w="0" w:type="auto"/>
            <w:gridSpan w:val="3"/>
            <w:shd w:val="clear" w:color="auto" w:fill="FFFFFF"/>
            <w:tcMar>
              <w:top w:w="0" w:type="dxa"/>
              <w:left w:w="20" w:type="dxa"/>
              <w:bottom w:w="0" w:type="dxa"/>
              <w:right w:w="20" w:type="dxa"/>
            </w:tcMar>
            <w:vAlign w:val="bottom"/>
          </w:tcPr>
          <w:p w14:paraId="442F725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5B"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5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5D" w14:textId="77777777" w:rsidR="00CC25B5" w:rsidRDefault="00CC25B5">
            <w:pPr>
              <w:rPr>
                <w:rFonts w:ascii="宋体"/>
              </w:rPr>
            </w:pPr>
          </w:p>
        </w:tc>
        <w:tc>
          <w:tcPr>
            <w:tcW w:w="0" w:type="auto"/>
            <w:shd w:val="clear" w:color="auto" w:fill="auto"/>
            <w:vAlign w:val="bottom"/>
          </w:tcPr>
          <w:p w14:paraId="442F725E" w14:textId="77777777" w:rsidR="00CC25B5" w:rsidRDefault="00CC25B5">
            <w:pPr>
              <w:rPr>
                <w:rFonts w:ascii="宋体"/>
                <w:vanish/>
              </w:rPr>
            </w:pPr>
          </w:p>
        </w:tc>
        <w:tc>
          <w:tcPr>
            <w:tcW w:w="0" w:type="auto"/>
            <w:shd w:val="clear" w:color="auto" w:fill="auto"/>
            <w:vAlign w:val="bottom"/>
          </w:tcPr>
          <w:p w14:paraId="442F725F" w14:textId="77777777" w:rsidR="00CC25B5" w:rsidRDefault="00CC25B5">
            <w:pPr>
              <w:rPr>
                <w:rFonts w:ascii="宋体"/>
                <w:vanish/>
              </w:rPr>
            </w:pPr>
          </w:p>
        </w:tc>
      </w:tr>
      <w:tr w:rsidR="00CC25B5" w14:paraId="442F726A" w14:textId="77777777">
        <w:tc>
          <w:tcPr>
            <w:tcW w:w="0" w:type="auto"/>
            <w:gridSpan w:val="3"/>
            <w:shd w:val="clear" w:color="auto" w:fill="CCEEFF"/>
            <w:tcMar>
              <w:top w:w="40" w:type="dxa"/>
              <w:left w:w="1235" w:type="dxa"/>
              <w:bottom w:w="40" w:type="dxa"/>
              <w:right w:w="20" w:type="dxa"/>
            </w:tcMar>
            <w:vAlign w:val="center"/>
          </w:tcPr>
          <w:p w14:paraId="442F7261" w14:textId="77777777" w:rsidR="00CC25B5" w:rsidRDefault="00900968">
            <w:pPr>
              <w:textAlignment w:val="center"/>
            </w:pPr>
            <w:r>
              <w:rPr>
                <w:rFonts w:ascii="Times New Roman" w:eastAsia="宋体" w:hAnsi="Times New Roman"/>
                <w:color w:val="000000"/>
                <w:sz w:val="16"/>
                <w:szCs w:val="16"/>
              </w:rPr>
              <w:t>Receivables, net</w:t>
            </w:r>
          </w:p>
        </w:tc>
        <w:tc>
          <w:tcPr>
            <w:tcW w:w="0" w:type="auto"/>
            <w:gridSpan w:val="3"/>
            <w:shd w:val="clear" w:color="auto" w:fill="CCEEFF"/>
            <w:tcMar>
              <w:top w:w="0" w:type="dxa"/>
              <w:left w:w="20" w:type="dxa"/>
              <w:bottom w:w="0" w:type="dxa"/>
              <w:right w:w="20" w:type="dxa"/>
            </w:tcMar>
            <w:vAlign w:val="bottom"/>
          </w:tcPr>
          <w:p w14:paraId="442F726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63" w14:textId="77777777" w:rsidR="00CC25B5" w:rsidRDefault="00900968">
            <w:pPr>
              <w:jc w:val="right"/>
              <w:textAlignment w:val="center"/>
            </w:pPr>
            <w:r>
              <w:rPr>
                <w:rFonts w:ascii="Times New Roman" w:eastAsia="宋体" w:hAnsi="Times New Roman"/>
                <w:color w:val="000000"/>
                <w:sz w:val="16"/>
                <w:szCs w:val="16"/>
              </w:rPr>
              <w:t>452 </w:t>
            </w:r>
          </w:p>
        </w:tc>
        <w:tc>
          <w:tcPr>
            <w:tcW w:w="0" w:type="auto"/>
            <w:shd w:val="clear" w:color="auto" w:fill="CCEEFF"/>
            <w:tcMar>
              <w:top w:w="40" w:type="dxa"/>
              <w:left w:w="0" w:type="dxa"/>
              <w:bottom w:w="40" w:type="dxa"/>
              <w:right w:w="20" w:type="dxa"/>
            </w:tcMar>
            <w:vAlign w:val="center"/>
          </w:tcPr>
          <w:p w14:paraId="442F726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6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66" w14:textId="77777777" w:rsidR="00CC25B5" w:rsidRDefault="00900968">
            <w:pPr>
              <w:jc w:val="right"/>
              <w:textAlignment w:val="center"/>
            </w:pPr>
            <w:r>
              <w:rPr>
                <w:rFonts w:ascii="Times New Roman" w:eastAsia="宋体" w:hAnsi="Times New Roman"/>
                <w:color w:val="000000"/>
                <w:sz w:val="16"/>
                <w:szCs w:val="16"/>
              </w:rPr>
              <w:t>823 </w:t>
            </w:r>
          </w:p>
        </w:tc>
        <w:tc>
          <w:tcPr>
            <w:tcW w:w="0" w:type="auto"/>
            <w:shd w:val="clear" w:color="auto" w:fill="CCEEFF"/>
            <w:tcMar>
              <w:top w:w="40" w:type="dxa"/>
              <w:left w:w="0" w:type="dxa"/>
              <w:bottom w:w="40" w:type="dxa"/>
              <w:right w:w="20" w:type="dxa"/>
            </w:tcMar>
            <w:vAlign w:val="center"/>
          </w:tcPr>
          <w:p w14:paraId="442F7267" w14:textId="77777777" w:rsidR="00CC25B5" w:rsidRDefault="00CC25B5">
            <w:pPr>
              <w:jc w:val="right"/>
              <w:rPr>
                <w:rFonts w:ascii="宋体"/>
              </w:rPr>
            </w:pPr>
          </w:p>
        </w:tc>
        <w:tc>
          <w:tcPr>
            <w:tcW w:w="0" w:type="auto"/>
            <w:shd w:val="clear" w:color="auto" w:fill="auto"/>
            <w:vAlign w:val="bottom"/>
          </w:tcPr>
          <w:p w14:paraId="442F7268" w14:textId="77777777" w:rsidR="00CC25B5" w:rsidRDefault="00CC25B5">
            <w:pPr>
              <w:rPr>
                <w:rFonts w:ascii="宋体"/>
                <w:vanish/>
              </w:rPr>
            </w:pPr>
          </w:p>
        </w:tc>
        <w:tc>
          <w:tcPr>
            <w:tcW w:w="0" w:type="auto"/>
            <w:shd w:val="clear" w:color="auto" w:fill="auto"/>
            <w:vAlign w:val="bottom"/>
          </w:tcPr>
          <w:p w14:paraId="442F7269" w14:textId="77777777" w:rsidR="00CC25B5" w:rsidRDefault="00CC25B5">
            <w:pPr>
              <w:rPr>
                <w:rFonts w:ascii="宋体"/>
                <w:vanish/>
              </w:rPr>
            </w:pPr>
          </w:p>
        </w:tc>
      </w:tr>
      <w:tr w:rsidR="00CC25B5" w14:paraId="442F7274" w14:textId="77777777">
        <w:tc>
          <w:tcPr>
            <w:tcW w:w="0" w:type="auto"/>
            <w:gridSpan w:val="3"/>
            <w:shd w:val="clear" w:color="auto" w:fill="FFFFFF"/>
            <w:tcMar>
              <w:top w:w="40" w:type="dxa"/>
              <w:left w:w="1235" w:type="dxa"/>
              <w:bottom w:w="40" w:type="dxa"/>
              <w:right w:w="20" w:type="dxa"/>
            </w:tcMar>
            <w:vAlign w:val="center"/>
          </w:tcPr>
          <w:p w14:paraId="442F726B" w14:textId="77777777" w:rsidR="00CC25B5" w:rsidRDefault="00900968">
            <w:pPr>
              <w:textAlignment w:val="center"/>
            </w:pPr>
            <w:r>
              <w:rPr>
                <w:rFonts w:ascii="Times New Roman" w:eastAsia="宋体" w:hAnsi="Times New Roman"/>
                <w:color w:val="000000"/>
                <w:sz w:val="16"/>
                <w:szCs w:val="16"/>
              </w:rPr>
              <w:t>Inventories</w:t>
            </w:r>
          </w:p>
        </w:tc>
        <w:tc>
          <w:tcPr>
            <w:tcW w:w="0" w:type="auto"/>
            <w:gridSpan w:val="3"/>
            <w:shd w:val="clear" w:color="auto" w:fill="FFFFFF"/>
            <w:tcMar>
              <w:top w:w="0" w:type="dxa"/>
              <w:left w:w="20" w:type="dxa"/>
              <w:bottom w:w="0" w:type="dxa"/>
              <w:right w:w="20" w:type="dxa"/>
            </w:tcMar>
            <w:vAlign w:val="bottom"/>
          </w:tcPr>
          <w:p w14:paraId="442F726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6D" w14:textId="77777777" w:rsidR="00CC25B5" w:rsidRDefault="00900968">
            <w:pPr>
              <w:jc w:val="right"/>
              <w:textAlignment w:val="center"/>
            </w:pPr>
            <w:r>
              <w:rPr>
                <w:rFonts w:ascii="Times New Roman" w:eastAsia="宋体" w:hAnsi="Times New Roman"/>
                <w:color w:val="000000"/>
                <w:sz w:val="16"/>
                <w:szCs w:val="16"/>
              </w:rPr>
              <w:t>(2,725)</w:t>
            </w:r>
          </w:p>
        </w:tc>
        <w:tc>
          <w:tcPr>
            <w:tcW w:w="0" w:type="auto"/>
            <w:shd w:val="clear" w:color="auto" w:fill="FFFFFF"/>
            <w:tcMar>
              <w:top w:w="40" w:type="dxa"/>
              <w:left w:w="0" w:type="dxa"/>
              <w:bottom w:w="40" w:type="dxa"/>
              <w:right w:w="20" w:type="dxa"/>
            </w:tcMar>
            <w:vAlign w:val="center"/>
          </w:tcPr>
          <w:p w14:paraId="442F726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6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70" w14:textId="77777777" w:rsidR="00CC25B5" w:rsidRDefault="00900968">
            <w:pPr>
              <w:jc w:val="right"/>
              <w:textAlignment w:val="center"/>
            </w:pPr>
            <w:r>
              <w:rPr>
                <w:rFonts w:ascii="Times New Roman" w:eastAsia="宋体" w:hAnsi="Times New Roman"/>
                <w:color w:val="000000"/>
                <w:sz w:val="16"/>
                <w:szCs w:val="16"/>
              </w:rPr>
              <w:t>2,466 </w:t>
            </w:r>
          </w:p>
        </w:tc>
        <w:tc>
          <w:tcPr>
            <w:tcW w:w="0" w:type="auto"/>
            <w:shd w:val="clear" w:color="auto" w:fill="FFFFFF"/>
            <w:tcMar>
              <w:top w:w="40" w:type="dxa"/>
              <w:left w:w="0" w:type="dxa"/>
              <w:bottom w:w="40" w:type="dxa"/>
              <w:right w:w="20" w:type="dxa"/>
            </w:tcMar>
            <w:vAlign w:val="center"/>
          </w:tcPr>
          <w:p w14:paraId="442F7271" w14:textId="77777777" w:rsidR="00CC25B5" w:rsidRDefault="00CC25B5">
            <w:pPr>
              <w:jc w:val="right"/>
              <w:rPr>
                <w:rFonts w:ascii="宋体"/>
              </w:rPr>
            </w:pPr>
          </w:p>
        </w:tc>
        <w:tc>
          <w:tcPr>
            <w:tcW w:w="0" w:type="auto"/>
            <w:shd w:val="clear" w:color="auto" w:fill="auto"/>
            <w:vAlign w:val="bottom"/>
          </w:tcPr>
          <w:p w14:paraId="442F7272" w14:textId="77777777" w:rsidR="00CC25B5" w:rsidRDefault="00CC25B5">
            <w:pPr>
              <w:rPr>
                <w:rFonts w:ascii="宋体"/>
                <w:vanish/>
              </w:rPr>
            </w:pPr>
          </w:p>
        </w:tc>
        <w:tc>
          <w:tcPr>
            <w:tcW w:w="0" w:type="auto"/>
            <w:shd w:val="clear" w:color="auto" w:fill="auto"/>
            <w:vAlign w:val="bottom"/>
          </w:tcPr>
          <w:p w14:paraId="442F7273" w14:textId="77777777" w:rsidR="00CC25B5" w:rsidRDefault="00CC25B5">
            <w:pPr>
              <w:rPr>
                <w:rFonts w:ascii="宋体"/>
                <w:vanish/>
              </w:rPr>
            </w:pPr>
          </w:p>
        </w:tc>
      </w:tr>
      <w:tr w:rsidR="00CC25B5" w14:paraId="442F727E" w14:textId="77777777">
        <w:tc>
          <w:tcPr>
            <w:tcW w:w="0" w:type="auto"/>
            <w:gridSpan w:val="3"/>
            <w:shd w:val="clear" w:color="auto" w:fill="CCEEFF"/>
            <w:tcMar>
              <w:top w:w="40" w:type="dxa"/>
              <w:left w:w="1235" w:type="dxa"/>
              <w:bottom w:w="40" w:type="dxa"/>
              <w:right w:w="20" w:type="dxa"/>
            </w:tcMar>
            <w:vAlign w:val="center"/>
          </w:tcPr>
          <w:p w14:paraId="442F7275" w14:textId="77777777" w:rsidR="00CC25B5" w:rsidRDefault="00900968">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442F727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77" w14:textId="77777777" w:rsidR="00CC25B5" w:rsidRDefault="00900968">
            <w:pPr>
              <w:jc w:val="right"/>
              <w:textAlignment w:val="center"/>
            </w:pPr>
            <w:r>
              <w:rPr>
                <w:rFonts w:ascii="Times New Roman" w:eastAsia="宋体" w:hAnsi="Times New Roman"/>
                <w:color w:val="000000"/>
                <w:sz w:val="16"/>
                <w:szCs w:val="16"/>
              </w:rPr>
              <w:t>119 </w:t>
            </w:r>
          </w:p>
        </w:tc>
        <w:tc>
          <w:tcPr>
            <w:tcW w:w="0" w:type="auto"/>
            <w:shd w:val="clear" w:color="auto" w:fill="CCEEFF"/>
            <w:tcMar>
              <w:top w:w="40" w:type="dxa"/>
              <w:left w:w="0" w:type="dxa"/>
              <w:bottom w:w="40" w:type="dxa"/>
              <w:right w:w="20" w:type="dxa"/>
            </w:tcMar>
            <w:vAlign w:val="center"/>
          </w:tcPr>
          <w:p w14:paraId="442F727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7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7A" w14:textId="77777777" w:rsidR="00CC25B5" w:rsidRDefault="00900968">
            <w:pPr>
              <w:jc w:val="right"/>
              <w:textAlignment w:val="center"/>
            </w:pPr>
            <w:r>
              <w:rPr>
                <w:rFonts w:ascii="Times New Roman" w:eastAsia="宋体" w:hAnsi="Times New Roman"/>
                <w:color w:val="000000"/>
                <w:sz w:val="16"/>
                <w:szCs w:val="16"/>
              </w:rPr>
              <w:t>1,052 </w:t>
            </w:r>
          </w:p>
        </w:tc>
        <w:tc>
          <w:tcPr>
            <w:tcW w:w="0" w:type="auto"/>
            <w:shd w:val="clear" w:color="auto" w:fill="CCEEFF"/>
            <w:tcMar>
              <w:top w:w="40" w:type="dxa"/>
              <w:left w:w="0" w:type="dxa"/>
              <w:bottom w:w="40" w:type="dxa"/>
              <w:right w:w="20" w:type="dxa"/>
            </w:tcMar>
            <w:vAlign w:val="center"/>
          </w:tcPr>
          <w:p w14:paraId="442F727B" w14:textId="77777777" w:rsidR="00CC25B5" w:rsidRDefault="00CC25B5">
            <w:pPr>
              <w:jc w:val="right"/>
              <w:rPr>
                <w:rFonts w:ascii="宋体"/>
              </w:rPr>
            </w:pPr>
          </w:p>
        </w:tc>
        <w:tc>
          <w:tcPr>
            <w:tcW w:w="0" w:type="auto"/>
            <w:shd w:val="clear" w:color="auto" w:fill="auto"/>
            <w:vAlign w:val="bottom"/>
          </w:tcPr>
          <w:p w14:paraId="442F727C" w14:textId="77777777" w:rsidR="00CC25B5" w:rsidRDefault="00CC25B5">
            <w:pPr>
              <w:rPr>
                <w:rFonts w:ascii="宋体"/>
                <w:vanish/>
              </w:rPr>
            </w:pPr>
          </w:p>
        </w:tc>
        <w:tc>
          <w:tcPr>
            <w:tcW w:w="0" w:type="auto"/>
            <w:shd w:val="clear" w:color="auto" w:fill="auto"/>
            <w:vAlign w:val="bottom"/>
          </w:tcPr>
          <w:p w14:paraId="442F727D" w14:textId="77777777" w:rsidR="00CC25B5" w:rsidRDefault="00CC25B5">
            <w:pPr>
              <w:rPr>
                <w:rFonts w:ascii="宋体"/>
                <w:vanish/>
              </w:rPr>
            </w:pPr>
          </w:p>
        </w:tc>
      </w:tr>
      <w:tr w:rsidR="00CC25B5" w14:paraId="442F7288" w14:textId="77777777">
        <w:tc>
          <w:tcPr>
            <w:tcW w:w="0" w:type="auto"/>
            <w:gridSpan w:val="3"/>
            <w:shd w:val="clear" w:color="auto" w:fill="FFFFFF"/>
            <w:tcMar>
              <w:top w:w="40" w:type="dxa"/>
              <w:left w:w="1235" w:type="dxa"/>
              <w:bottom w:w="40" w:type="dxa"/>
              <w:right w:w="20" w:type="dxa"/>
            </w:tcMar>
            <w:vAlign w:val="center"/>
          </w:tcPr>
          <w:p w14:paraId="442F727F" w14:textId="77777777" w:rsidR="00CC25B5" w:rsidRDefault="00900968">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442F728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81" w14:textId="77777777" w:rsidR="00CC25B5" w:rsidRDefault="00900968">
            <w:pPr>
              <w:jc w:val="right"/>
              <w:textAlignment w:val="center"/>
            </w:pPr>
            <w:r>
              <w:rPr>
                <w:rFonts w:ascii="Times New Roman" w:eastAsia="宋体" w:hAnsi="Times New Roman"/>
                <w:color w:val="000000"/>
                <w:sz w:val="16"/>
                <w:szCs w:val="16"/>
              </w:rPr>
              <w:t>(1,412)</w:t>
            </w:r>
          </w:p>
        </w:tc>
        <w:tc>
          <w:tcPr>
            <w:tcW w:w="0" w:type="auto"/>
            <w:shd w:val="clear" w:color="auto" w:fill="FFFFFF"/>
            <w:tcMar>
              <w:top w:w="40" w:type="dxa"/>
              <w:left w:w="0" w:type="dxa"/>
              <w:bottom w:w="40" w:type="dxa"/>
              <w:right w:w="20" w:type="dxa"/>
            </w:tcMar>
            <w:vAlign w:val="center"/>
          </w:tcPr>
          <w:p w14:paraId="442F728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8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84" w14:textId="77777777" w:rsidR="00CC25B5" w:rsidRDefault="00900968">
            <w:pPr>
              <w:jc w:val="right"/>
              <w:textAlignment w:val="center"/>
            </w:pPr>
            <w:r>
              <w:rPr>
                <w:rFonts w:ascii="Times New Roman" w:eastAsia="宋体" w:hAnsi="Times New Roman"/>
                <w:color w:val="000000"/>
                <w:sz w:val="16"/>
                <w:szCs w:val="16"/>
              </w:rPr>
              <w:t>1,428 </w:t>
            </w:r>
          </w:p>
        </w:tc>
        <w:tc>
          <w:tcPr>
            <w:tcW w:w="0" w:type="auto"/>
            <w:shd w:val="clear" w:color="auto" w:fill="FFFFFF"/>
            <w:tcMar>
              <w:top w:w="40" w:type="dxa"/>
              <w:left w:w="0" w:type="dxa"/>
              <w:bottom w:w="40" w:type="dxa"/>
              <w:right w:w="20" w:type="dxa"/>
            </w:tcMar>
            <w:vAlign w:val="center"/>
          </w:tcPr>
          <w:p w14:paraId="442F7285" w14:textId="77777777" w:rsidR="00CC25B5" w:rsidRDefault="00CC25B5">
            <w:pPr>
              <w:jc w:val="right"/>
              <w:rPr>
                <w:rFonts w:ascii="宋体"/>
              </w:rPr>
            </w:pPr>
          </w:p>
        </w:tc>
        <w:tc>
          <w:tcPr>
            <w:tcW w:w="0" w:type="auto"/>
            <w:shd w:val="clear" w:color="auto" w:fill="auto"/>
            <w:vAlign w:val="bottom"/>
          </w:tcPr>
          <w:p w14:paraId="442F7286" w14:textId="77777777" w:rsidR="00CC25B5" w:rsidRDefault="00CC25B5">
            <w:pPr>
              <w:rPr>
                <w:rFonts w:ascii="宋体"/>
                <w:vanish/>
              </w:rPr>
            </w:pPr>
          </w:p>
        </w:tc>
        <w:tc>
          <w:tcPr>
            <w:tcW w:w="0" w:type="auto"/>
            <w:shd w:val="clear" w:color="auto" w:fill="auto"/>
            <w:vAlign w:val="bottom"/>
          </w:tcPr>
          <w:p w14:paraId="442F7287" w14:textId="77777777" w:rsidR="00CC25B5" w:rsidRDefault="00CC25B5">
            <w:pPr>
              <w:rPr>
                <w:rFonts w:ascii="宋体"/>
                <w:vanish/>
              </w:rPr>
            </w:pPr>
          </w:p>
        </w:tc>
      </w:tr>
      <w:tr w:rsidR="00CC25B5" w14:paraId="442F7292" w14:textId="77777777">
        <w:tc>
          <w:tcPr>
            <w:tcW w:w="0" w:type="auto"/>
            <w:gridSpan w:val="3"/>
            <w:shd w:val="clear" w:color="auto" w:fill="CCEEFF"/>
            <w:tcMar>
              <w:top w:w="40" w:type="dxa"/>
              <w:left w:w="1235" w:type="dxa"/>
              <w:bottom w:w="40" w:type="dxa"/>
              <w:right w:w="20" w:type="dxa"/>
            </w:tcMar>
            <w:vAlign w:val="center"/>
          </w:tcPr>
          <w:p w14:paraId="442F7289" w14:textId="77777777" w:rsidR="00CC25B5" w:rsidRDefault="00900968">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vAlign w:val="bottom"/>
          </w:tcPr>
          <w:p w14:paraId="442F728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8B" w14:textId="77777777" w:rsidR="00CC25B5" w:rsidRDefault="00900968">
            <w:pPr>
              <w:jc w:val="right"/>
              <w:textAlignment w:val="center"/>
            </w:pPr>
            <w:r>
              <w:rPr>
                <w:rFonts w:ascii="Times New Roman" w:eastAsia="宋体" w:hAnsi="Times New Roman"/>
                <w:color w:val="000000"/>
                <w:sz w:val="16"/>
                <w:szCs w:val="16"/>
              </w:rPr>
              <w:t>(161)</w:t>
            </w:r>
          </w:p>
        </w:tc>
        <w:tc>
          <w:tcPr>
            <w:tcW w:w="0" w:type="auto"/>
            <w:shd w:val="clear" w:color="auto" w:fill="CCEEFF"/>
            <w:tcMar>
              <w:top w:w="40" w:type="dxa"/>
              <w:left w:w="0" w:type="dxa"/>
              <w:bottom w:w="40" w:type="dxa"/>
              <w:right w:w="20" w:type="dxa"/>
            </w:tcMar>
            <w:vAlign w:val="center"/>
          </w:tcPr>
          <w:p w14:paraId="442F728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8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8E" w14:textId="77777777" w:rsidR="00CC25B5" w:rsidRDefault="00900968">
            <w:pPr>
              <w:jc w:val="right"/>
              <w:textAlignment w:val="center"/>
            </w:pPr>
            <w:r>
              <w:rPr>
                <w:rFonts w:ascii="Times New Roman" w:eastAsia="宋体" w:hAnsi="Times New Roman"/>
                <w:color w:val="000000"/>
                <w:sz w:val="16"/>
                <w:szCs w:val="16"/>
              </w:rPr>
              <w:t>304 </w:t>
            </w:r>
          </w:p>
        </w:tc>
        <w:tc>
          <w:tcPr>
            <w:tcW w:w="0" w:type="auto"/>
            <w:shd w:val="clear" w:color="auto" w:fill="CCEEFF"/>
            <w:tcMar>
              <w:top w:w="40" w:type="dxa"/>
              <w:left w:w="0" w:type="dxa"/>
              <w:bottom w:w="40" w:type="dxa"/>
              <w:right w:w="20" w:type="dxa"/>
            </w:tcMar>
            <w:vAlign w:val="center"/>
          </w:tcPr>
          <w:p w14:paraId="442F728F" w14:textId="77777777" w:rsidR="00CC25B5" w:rsidRDefault="00CC25B5">
            <w:pPr>
              <w:jc w:val="right"/>
              <w:rPr>
                <w:rFonts w:ascii="宋体"/>
              </w:rPr>
            </w:pPr>
          </w:p>
        </w:tc>
        <w:tc>
          <w:tcPr>
            <w:tcW w:w="0" w:type="auto"/>
            <w:shd w:val="clear" w:color="auto" w:fill="auto"/>
            <w:vAlign w:val="bottom"/>
          </w:tcPr>
          <w:p w14:paraId="442F7290" w14:textId="77777777" w:rsidR="00CC25B5" w:rsidRDefault="00CC25B5">
            <w:pPr>
              <w:rPr>
                <w:rFonts w:ascii="宋体"/>
                <w:vanish/>
              </w:rPr>
            </w:pPr>
          </w:p>
        </w:tc>
        <w:tc>
          <w:tcPr>
            <w:tcW w:w="0" w:type="auto"/>
            <w:shd w:val="clear" w:color="auto" w:fill="auto"/>
            <w:vAlign w:val="bottom"/>
          </w:tcPr>
          <w:p w14:paraId="442F7291" w14:textId="77777777" w:rsidR="00CC25B5" w:rsidRDefault="00CC25B5">
            <w:pPr>
              <w:rPr>
                <w:rFonts w:ascii="宋体"/>
                <w:vanish/>
              </w:rPr>
            </w:pPr>
          </w:p>
        </w:tc>
      </w:tr>
      <w:tr w:rsidR="00CC25B5" w14:paraId="442F729C" w14:textId="77777777">
        <w:tc>
          <w:tcPr>
            <w:tcW w:w="0" w:type="auto"/>
            <w:gridSpan w:val="3"/>
            <w:shd w:val="clear" w:color="auto" w:fill="FFFFFF"/>
            <w:tcMar>
              <w:top w:w="40" w:type="dxa"/>
              <w:left w:w="20" w:type="dxa"/>
              <w:bottom w:w="40" w:type="dxa"/>
              <w:right w:w="20" w:type="dxa"/>
            </w:tcMar>
            <w:vAlign w:val="center"/>
          </w:tcPr>
          <w:p w14:paraId="442F7293" w14:textId="77777777" w:rsidR="00CC25B5" w:rsidRDefault="00900968">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FFFFFF"/>
            <w:tcMar>
              <w:top w:w="0" w:type="dxa"/>
              <w:left w:w="20" w:type="dxa"/>
              <w:bottom w:w="0" w:type="dxa"/>
              <w:right w:w="20" w:type="dxa"/>
            </w:tcMar>
            <w:vAlign w:val="bottom"/>
          </w:tcPr>
          <w:p w14:paraId="442F7294"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295" w14:textId="77777777" w:rsidR="00CC25B5" w:rsidRDefault="00900968">
            <w:pPr>
              <w:jc w:val="right"/>
              <w:textAlignment w:val="center"/>
            </w:pPr>
            <w:r>
              <w:rPr>
                <w:rFonts w:ascii="Times New Roman" w:eastAsia="宋体" w:hAnsi="Times New Roman"/>
                <w:color w:val="000000"/>
                <w:sz w:val="16"/>
                <w:szCs w:val="16"/>
              </w:rPr>
              <w:t>12,423 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29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97"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298" w14:textId="77777777" w:rsidR="00CC25B5" w:rsidRDefault="00900968">
            <w:pPr>
              <w:jc w:val="right"/>
              <w:textAlignment w:val="center"/>
            </w:pPr>
            <w:r>
              <w:rPr>
                <w:rFonts w:ascii="Times New Roman" w:eastAsia="宋体" w:hAnsi="Times New Roman"/>
                <w:color w:val="000000"/>
                <w:sz w:val="16"/>
                <w:szCs w:val="16"/>
              </w:rPr>
              <w:t>18,956 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299" w14:textId="77777777" w:rsidR="00CC25B5" w:rsidRDefault="00CC25B5">
            <w:pPr>
              <w:jc w:val="right"/>
              <w:rPr>
                <w:rFonts w:ascii="宋体"/>
              </w:rPr>
            </w:pPr>
          </w:p>
        </w:tc>
        <w:tc>
          <w:tcPr>
            <w:tcW w:w="0" w:type="auto"/>
            <w:shd w:val="clear" w:color="auto" w:fill="auto"/>
            <w:vAlign w:val="bottom"/>
          </w:tcPr>
          <w:p w14:paraId="442F729A" w14:textId="77777777" w:rsidR="00CC25B5" w:rsidRDefault="00CC25B5">
            <w:pPr>
              <w:rPr>
                <w:rFonts w:ascii="宋体"/>
                <w:vanish/>
              </w:rPr>
            </w:pPr>
          </w:p>
        </w:tc>
        <w:tc>
          <w:tcPr>
            <w:tcW w:w="0" w:type="auto"/>
            <w:shd w:val="clear" w:color="auto" w:fill="auto"/>
            <w:vAlign w:val="bottom"/>
          </w:tcPr>
          <w:p w14:paraId="442F729B" w14:textId="77777777" w:rsidR="00CC25B5" w:rsidRDefault="00CC25B5">
            <w:pPr>
              <w:rPr>
                <w:rFonts w:ascii="宋体"/>
                <w:vanish/>
              </w:rPr>
            </w:pPr>
          </w:p>
        </w:tc>
      </w:tr>
      <w:tr w:rsidR="00CC25B5" w14:paraId="442F72A4" w14:textId="77777777">
        <w:trPr>
          <w:trHeight w:val="220"/>
        </w:trPr>
        <w:tc>
          <w:tcPr>
            <w:tcW w:w="0" w:type="auto"/>
            <w:gridSpan w:val="3"/>
            <w:shd w:val="clear" w:color="auto" w:fill="CCEEFF"/>
            <w:tcMar>
              <w:top w:w="0" w:type="dxa"/>
              <w:left w:w="20" w:type="dxa"/>
              <w:bottom w:w="0" w:type="dxa"/>
              <w:right w:w="20" w:type="dxa"/>
            </w:tcMar>
            <w:vAlign w:val="bottom"/>
          </w:tcPr>
          <w:p w14:paraId="442F729D"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9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9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A0"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A1" w14:textId="77777777" w:rsidR="00CC25B5" w:rsidRDefault="00CC25B5">
            <w:pPr>
              <w:rPr>
                <w:rFonts w:ascii="宋体"/>
              </w:rPr>
            </w:pPr>
          </w:p>
        </w:tc>
        <w:tc>
          <w:tcPr>
            <w:tcW w:w="0" w:type="auto"/>
            <w:shd w:val="clear" w:color="auto" w:fill="auto"/>
            <w:vAlign w:val="bottom"/>
          </w:tcPr>
          <w:p w14:paraId="442F72A2" w14:textId="77777777" w:rsidR="00CC25B5" w:rsidRDefault="00CC25B5">
            <w:pPr>
              <w:rPr>
                <w:rFonts w:ascii="宋体"/>
                <w:vanish/>
              </w:rPr>
            </w:pPr>
          </w:p>
        </w:tc>
        <w:tc>
          <w:tcPr>
            <w:tcW w:w="0" w:type="auto"/>
            <w:shd w:val="clear" w:color="auto" w:fill="auto"/>
            <w:vAlign w:val="bottom"/>
          </w:tcPr>
          <w:p w14:paraId="442F72A3" w14:textId="77777777" w:rsidR="00CC25B5" w:rsidRDefault="00CC25B5">
            <w:pPr>
              <w:rPr>
                <w:rFonts w:ascii="宋体"/>
                <w:vanish/>
              </w:rPr>
            </w:pPr>
          </w:p>
        </w:tc>
      </w:tr>
      <w:tr w:rsidR="00CC25B5" w14:paraId="442F72AC" w14:textId="77777777">
        <w:tc>
          <w:tcPr>
            <w:tcW w:w="0" w:type="auto"/>
            <w:gridSpan w:val="3"/>
            <w:shd w:val="clear" w:color="auto" w:fill="FFFFFF"/>
            <w:tcMar>
              <w:top w:w="40" w:type="dxa"/>
              <w:left w:w="20" w:type="dxa"/>
              <w:bottom w:w="40" w:type="dxa"/>
              <w:right w:w="20" w:type="dxa"/>
            </w:tcMar>
            <w:vAlign w:val="center"/>
          </w:tcPr>
          <w:p w14:paraId="442F72A5" w14:textId="77777777" w:rsidR="00CC25B5" w:rsidRDefault="00900968">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bottom"/>
          </w:tcPr>
          <w:p w14:paraId="442F72A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A7"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A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A9" w14:textId="77777777" w:rsidR="00CC25B5" w:rsidRDefault="00CC25B5">
            <w:pPr>
              <w:rPr>
                <w:rFonts w:ascii="宋体"/>
              </w:rPr>
            </w:pPr>
          </w:p>
        </w:tc>
        <w:tc>
          <w:tcPr>
            <w:tcW w:w="0" w:type="auto"/>
            <w:shd w:val="clear" w:color="auto" w:fill="auto"/>
            <w:vAlign w:val="bottom"/>
          </w:tcPr>
          <w:p w14:paraId="442F72AA" w14:textId="77777777" w:rsidR="00CC25B5" w:rsidRDefault="00CC25B5">
            <w:pPr>
              <w:rPr>
                <w:rFonts w:ascii="宋体"/>
                <w:vanish/>
              </w:rPr>
            </w:pPr>
          </w:p>
        </w:tc>
        <w:tc>
          <w:tcPr>
            <w:tcW w:w="0" w:type="auto"/>
            <w:shd w:val="clear" w:color="auto" w:fill="auto"/>
            <w:vAlign w:val="bottom"/>
          </w:tcPr>
          <w:p w14:paraId="442F72AB" w14:textId="77777777" w:rsidR="00CC25B5" w:rsidRDefault="00CC25B5">
            <w:pPr>
              <w:rPr>
                <w:rFonts w:ascii="宋体"/>
                <w:vanish/>
              </w:rPr>
            </w:pPr>
          </w:p>
        </w:tc>
      </w:tr>
      <w:tr w:rsidR="00CC25B5" w14:paraId="442F72B6" w14:textId="77777777">
        <w:tc>
          <w:tcPr>
            <w:tcW w:w="0" w:type="auto"/>
            <w:gridSpan w:val="3"/>
            <w:shd w:val="clear" w:color="auto" w:fill="CCEEFF"/>
            <w:tcMar>
              <w:top w:w="40" w:type="dxa"/>
              <w:left w:w="380" w:type="dxa"/>
              <w:bottom w:w="40" w:type="dxa"/>
              <w:right w:w="20" w:type="dxa"/>
            </w:tcMar>
            <w:vAlign w:val="center"/>
          </w:tcPr>
          <w:p w14:paraId="442F72AD" w14:textId="77777777" w:rsidR="00CC25B5" w:rsidRDefault="00900968">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CCEEFF"/>
            <w:tcMar>
              <w:top w:w="0" w:type="dxa"/>
              <w:left w:w="20" w:type="dxa"/>
              <w:bottom w:w="0" w:type="dxa"/>
              <w:right w:w="20" w:type="dxa"/>
            </w:tcMar>
            <w:vAlign w:val="bottom"/>
          </w:tcPr>
          <w:p w14:paraId="442F72A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AF" w14:textId="77777777" w:rsidR="00CC25B5" w:rsidRDefault="00900968">
            <w:pPr>
              <w:jc w:val="right"/>
              <w:textAlignment w:val="center"/>
            </w:pPr>
            <w:r>
              <w:rPr>
                <w:rFonts w:ascii="Times New Roman" w:eastAsia="宋体" w:hAnsi="Times New Roman"/>
                <w:color w:val="000000"/>
                <w:sz w:val="16"/>
                <w:szCs w:val="16"/>
              </w:rPr>
              <w:t>(5,019)</w:t>
            </w:r>
          </w:p>
        </w:tc>
        <w:tc>
          <w:tcPr>
            <w:tcW w:w="0" w:type="auto"/>
            <w:shd w:val="clear" w:color="auto" w:fill="CCEEFF"/>
            <w:tcMar>
              <w:top w:w="40" w:type="dxa"/>
              <w:left w:w="0" w:type="dxa"/>
              <w:bottom w:w="40" w:type="dxa"/>
              <w:right w:w="20" w:type="dxa"/>
            </w:tcMar>
            <w:vAlign w:val="center"/>
          </w:tcPr>
          <w:p w14:paraId="442F72B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B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B2" w14:textId="77777777" w:rsidR="00CC25B5" w:rsidRDefault="00900968">
            <w:pPr>
              <w:jc w:val="right"/>
              <w:textAlignment w:val="center"/>
            </w:pPr>
            <w:r>
              <w:rPr>
                <w:rFonts w:ascii="Times New Roman" w:eastAsia="宋体" w:hAnsi="Times New Roman"/>
                <w:color w:val="000000"/>
                <w:sz w:val="16"/>
                <w:szCs w:val="16"/>
              </w:rPr>
              <w:t>(3,569)</w:t>
            </w:r>
          </w:p>
        </w:tc>
        <w:tc>
          <w:tcPr>
            <w:tcW w:w="0" w:type="auto"/>
            <w:shd w:val="clear" w:color="auto" w:fill="CCEEFF"/>
            <w:tcMar>
              <w:top w:w="40" w:type="dxa"/>
              <w:left w:w="0" w:type="dxa"/>
              <w:bottom w:w="40" w:type="dxa"/>
              <w:right w:w="20" w:type="dxa"/>
            </w:tcMar>
            <w:vAlign w:val="center"/>
          </w:tcPr>
          <w:p w14:paraId="442F72B3" w14:textId="77777777" w:rsidR="00CC25B5" w:rsidRDefault="00CC25B5">
            <w:pPr>
              <w:jc w:val="right"/>
              <w:rPr>
                <w:rFonts w:ascii="宋体"/>
              </w:rPr>
            </w:pPr>
          </w:p>
        </w:tc>
        <w:tc>
          <w:tcPr>
            <w:tcW w:w="0" w:type="auto"/>
            <w:shd w:val="clear" w:color="auto" w:fill="auto"/>
            <w:vAlign w:val="bottom"/>
          </w:tcPr>
          <w:p w14:paraId="442F72B4" w14:textId="77777777" w:rsidR="00CC25B5" w:rsidRDefault="00CC25B5">
            <w:pPr>
              <w:rPr>
                <w:rFonts w:ascii="宋体"/>
                <w:vanish/>
              </w:rPr>
            </w:pPr>
          </w:p>
        </w:tc>
        <w:tc>
          <w:tcPr>
            <w:tcW w:w="0" w:type="auto"/>
            <w:shd w:val="clear" w:color="auto" w:fill="auto"/>
            <w:vAlign w:val="bottom"/>
          </w:tcPr>
          <w:p w14:paraId="442F72B5" w14:textId="77777777" w:rsidR="00CC25B5" w:rsidRDefault="00CC25B5">
            <w:pPr>
              <w:rPr>
                <w:rFonts w:ascii="宋体"/>
                <w:vanish/>
              </w:rPr>
            </w:pPr>
          </w:p>
        </w:tc>
      </w:tr>
      <w:tr w:rsidR="00CC25B5" w14:paraId="442F72C0" w14:textId="77777777">
        <w:tc>
          <w:tcPr>
            <w:tcW w:w="0" w:type="auto"/>
            <w:gridSpan w:val="3"/>
            <w:shd w:val="clear" w:color="auto" w:fill="FFFFFF"/>
            <w:tcMar>
              <w:top w:w="40" w:type="dxa"/>
              <w:left w:w="380" w:type="dxa"/>
              <w:bottom w:w="40" w:type="dxa"/>
              <w:right w:w="20" w:type="dxa"/>
            </w:tcMar>
            <w:vAlign w:val="center"/>
          </w:tcPr>
          <w:p w14:paraId="442F72B7" w14:textId="77777777" w:rsidR="00CC25B5" w:rsidRDefault="00900968">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FFFFFF"/>
            <w:tcMar>
              <w:top w:w="0" w:type="dxa"/>
              <w:left w:w="20" w:type="dxa"/>
              <w:bottom w:w="0" w:type="dxa"/>
              <w:right w:w="20" w:type="dxa"/>
            </w:tcMar>
            <w:vAlign w:val="bottom"/>
          </w:tcPr>
          <w:p w14:paraId="442F72B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B9" w14:textId="77777777" w:rsidR="00CC25B5" w:rsidRDefault="00900968">
            <w:pPr>
              <w:jc w:val="right"/>
              <w:textAlignment w:val="center"/>
            </w:pPr>
            <w:r>
              <w:rPr>
                <w:rFonts w:ascii="Times New Roman" w:eastAsia="宋体" w:hAnsi="Times New Roman"/>
                <w:color w:val="000000"/>
                <w:sz w:val="16"/>
                <w:szCs w:val="16"/>
              </w:rPr>
              <w:t>176 </w:t>
            </w:r>
          </w:p>
        </w:tc>
        <w:tc>
          <w:tcPr>
            <w:tcW w:w="0" w:type="auto"/>
            <w:shd w:val="clear" w:color="auto" w:fill="FFFFFF"/>
            <w:tcMar>
              <w:top w:w="40" w:type="dxa"/>
              <w:left w:w="0" w:type="dxa"/>
              <w:bottom w:w="40" w:type="dxa"/>
              <w:right w:w="20" w:type="dxa"/>
            </w:tcMar>
            <w:vAlign w:val="center"/>
          </w:tcPr>
          <w:p w14:paraId="442F72B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B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2BC" w14:textId="77777777" w:rsidR="00CC25B5" w:rsidRDefault="00900968">
            <w:pPr>
              <w:jc w:val="right"/>
              <w:textAlignment w:val="center"/>
            </w:pPr>
            <w:r>
              <w:rPr>
                <w:rFonts w:ascii="Times New Roman" w:eastAsia="宋体" w:hAnsi="Times New Roman"/>
                <w:color w:val="000000"/>
                <w:sz w:val="16"/>
                <w:szCs w:val="16"/>
              </w:rPr>
              <w:t>83 </w:t>
            </w:r>
          </w:p>
        </w:tc>
        <w:tc>
          <w:tcPr>
            <w:tcW w:w="0" w:type="auto"/>
            <w:shd w:val="clear" w:color="auto" w:fill="FFFFFF"/>
            <w:tcMar>
              <w:top w:w="40" w:type="dxa"/>
              <w:left w:w="0" w:type="dxa"/>
              <w:bottom w:w="40" w:type="dxa"/>
              <w:right w:w="20" w:type="dxa"/>
            </w:tcMar>
            <w:vAlign w:val="center"/>
          </w:tcPr>
          <w:p w14:paraId="442F72BD" w14:textId="77777777" w:rsidR="00CC25B5" w:rsidRDefault="00CC25B5">
            <w:pPr>
              <w:jc w:val="right"/>
              <w:rPr>
                <w:rFonts w:ascii="宋体"/>
              </w:rPr>
            </w:pPr>
          </w:p>
        </w:tc>
        <w:tc>
          <w:tcPr>
            <w:tcW w:w="0" w:type="auto"/>
            <w:shd w:val="clear" w:color="auto" w:fill="auto"/>
            <w:vAlign w:val="bottom"/>
          </w:tcPr>
          <w:p w14:paraId="442F72BE" w14:textId="77777777" w:rsidR="00CC25B5" w:rsidRDefault="00CC25B5">
            <w:pPr>
              <w:rPr>
                <w:rFonts w:ascii="宋体"/>
                <w:vanish/>
              </w:rPr>
            </w:pPr>
          </w:p>
        </w:tc>
        <w:tc>
          <w:tcPr>
            <w:tcW w:w="0" w:type="auto"/>
            <w:shd w:val="clear" w:color="auto" w:fill="auto"/>
            <w:vAlign w:val="bottom"/>
          </w:tcPr>
          <w:p w14:paraId="442F72BF" w14:textId="77777777" w:rsidR="00CC25B5" w:rsidRDefault="00CC25B5">
            <w:pPr>
              <w:rPr>
                <w:rFonts w:ascii="宋体"/>
                <w:vanish/>
              </w:rPr>
            </w:pPr>
          </w:p>
        </w:tc>
      </w:tr>
      <w:tr w:rsidR="00CC25B5" w14:paraId="442F72CA" w14:textId="77777777">
        <w:tc>
          <w:tcPr>
            <w:tcW w:w="0" w:type="auto"/>
            <w:gridSpan w:val="3"/>
            <w:shd w:val="clear" w:color="auto" w:fill="CCEEFF"/>
            <w:tcMar>
              <w:top w:w="40" w:type="dxa"/>
              <w:left w:w="380" w:type="dxa"/>
              <w:bottom w:w="40" w:type="dxa"/>
              <w:right w:w="20" w:type="dxa"/>
            </w:tcMar>
            <w:vAlign w:val="center"/>
          </w:tcPr>
          <w:p w14:paraId="442F72C1" w14:textId="77777777" w:rsidR="00CC25B5" w:rsidRDefault="00900968">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CCEEFF"/>
            <w:tcMar>
              <w:top w:w="0" w:type="dxa"/>
              <w:left w:w="20" w:type="dxa"/>
              <w:bottom w:w="0" w:type="dxa"/>
              <w:right w:w="20" w:type="dxa"/>
            </w:tcMar>
            <w:vAlign w:val="bottom"/>
          </w:tcPr>
          <w:p w14:paraId="442F72C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C3" w14:textId="77777777" w:rsidR="00CC25B5" w:rsidRDefault="00900968">
            <w:pPr>
              <w:jc w:val="right"/>
              <w:textAlignment w:val="center"/>
            </w:pPr>
            <w:r>
              <w:rPr>
                <w:rFonts w:ascii="Times New Roman" w:eastAsia="宋体" w:hAnsi="Times New Roman"/>
                <w:color w:val="000000"/>
                <w:sz w:val="16"/>
                <w:szCs w:val="16"/>
              </w:rPr>
              <w:t>7,935 </w:t>
            </w:r>
          </w:p>
        </w:tc>
        <w:tc>
          <w:tcPr>
            <w:tcW w:w="0" w:type="auto"/>
            <w:shd w:val="clear" w:color="auto" w:fill="CCEEFF"/>
            <w:tcMar>
              <w:top w:w="40" w:type="dxa"/>
              <w:left w:w="0" w:type="dxa"/>
              <w:bottom w:w="40" w:type="dxa"/>
              <w:right w:w="20" w:type="dxa"/>
            </w:tcMar>
            <w:vAlign w:val="center"/>
          </w:tcPr>
          <w:p w14:paraId="442F72C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C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C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72C7" w14:textId="77777777" w:rsidR="00CC25B5" w:rsidRDefault="00CC25B5">
            <w:pPr>
              <w:jc w:val="right"/>
              <w:rPr>
                <w:rFonts w:ascii="宋体"/>
              </w:rPr>
            </w:pPr>
          </w:p>
        </w:tc>
        <w:tc>
          <w:tcPr>
            <w:tcW w:w="0" w:type="auto"/>
            <w:shd w:val="clear" w:color="auto" w:fill="auto"/>
            <w:vAlign w:val="bottom"/>
          </w:tcPr>
          <w:p w14:paraId="442F72C8" w14:textId="77777777" w:rsidR="00CC25B5" w:rsidRDefault="00CC25B5">
            <w:pPr>
              <w:rPr>
                <w:rFonts w:ascii="宋体"/>
                <w:vanish/>
              </w:rPr>
            </w:pPr>
          </w:p>
        </w:tc>
        <w:tc>
          <w:tcPr>
            <w:tcW w:w="0" w:type="auto"/>
            <w:shd w:val="clear" w:color="auto" w:fill="auto"/>
            <w:vAlign w:val="bottom"/>
          </w:tcPr>
          <w:p w14:paraId="442F72C9" w14:textId="77777777" w:rsidR="00CC25B5" w:rsidRDefault="00CC25B5">
            <w:pPr>
              <w:rPr>
                <w:rFonts w:ascii="宋体"/>
                <w:vanish/>
              </w:rPr>
            </w:pPr>
          </w:p>
        </w:tc>
      </w:tr>
      <w:tr w:rsidR="00CC25B5" w14:paraId="442F72D2" w14:textId="77777777">
        <w:trPr>
          <w:hidden/>
        </w:trPr>
        <w:tc>
          <w:tcPr>
            <w:tcW w:w="0" w:type="auto"/>
            <w:gridSpan w:val="3"/>
            <w:shd w:val="clear" w:color="auto" w:fill="auto"/>
            <w:vAlign w:val="bottom"/>
          </w:tcPr>
          <w:p w14:paraId="442F72CB" w14:textId="77777777" w:rsidR="00CC25B5" w:rsidRDefault="00CC25B5">
            <w:pPr>
              <w:rPr>
                <w:rFonts w:ascii="宋体"/>
                <w:vanish/>
              </w:rPr>
            </w:pPr>
          </w:p>
        </w:tc>
        <w:tc>
          <w:tcPr>
            <w:tcW w:w="0" w:type="auto"/>
            <w:gridSpan w:val="3"/>
            <w:shd w:val="clear" w:color="auto" w:fill="auto"/>
            <w:vAlign w:val="bottom"/>
          </w:tcPr>
          <w:p w14:paraId="442F72CC" w14:textId="77777777" w:rsidR="00CC25B5" w:rsidRDefault="00CC25B5">
            <w:pPr>
              <w:rPr>
                <w:rFonts w:ascii="宋体"/>
                <w:vanish/>
              </w:rPr>
            </w:pPr>
          </w:p>
        </w:tc>
        <w:tc>
          <w:tcPr>
            <w:tcW w:w="0" w:type="auto"/>
            <w:gridSpan w:val="3"/>
            <w:shd w:val="clear" w:color="auto" w:fill="auto"/>
            <w:vAlign w:val="bottom"/>
          </w:tcPr>
          <w:p w14:paraId="442F72CD" w14:textId="77777777" w:rsidR="00CC25B5" w:rsidRDefault="00CC25B5">
            <w:pPr>
              <w:rPr>
                <w:rFonts w:ascii="宋体"/>
                <w:vanish/>
              </w:rPr>
            </w:pPr>
          </w:p>
        </w:tc>
        <w:tc>
          <w:tcPr>
            <w:tcW w:w="0" w:type="auto"/>
            <w:gridSpan w:val="3"/>
            <w:shd w:val="clear" w:color="auto" w:fill="auto"/>
            <w:vAlign w:val="bottom"/>
          </w:tcPr>
          <w:p w14:paraId="442F72CE" w14:textId="77777777" w:rsidR="00CC25B5" w:rsidRDefault="00CC25B5">
            <w:pPr>
              <w:rPr>
                <w:rFonts w:ascii="宋体"/>
                <w:vanish/>
              </w:rPr>
            </w:pPr>
          </w:p>
        </w:tc>
        <w:tc>
          <w:tcPr>
            <w:tcW w:w="0" w:type="auto"/>
            <w:gridSpan w:val="3"/>
            <w:shd w:val="clear" w:color="auto" w:fill="auto"/>
            <w:vAlign w:val="bottom"/>
          </w:tcPr>
          <w:p w14:paraId="442F72CF" w14:textId="77777777" w:rsidR="00CC25B5" w:rsidRDefault="00CC25B5">
            <w:pPr>
              <w:rPr>
                <w:rFonts w:ascii="宋体"/>
                <w:vanish/>
              </w:rPr>
            </w:pPr>
          </w:p>
        </w:tc>
        <w:tc>
          <w:tcPr>
            <w:tcW w:w="0" w:type="auto"/>
            <w:shd w:val="clear" w:color="auto" w:fill="auto"/>
            <w:vAlign w:val="bottom"/>
          </w:tcPr>
          <w:p w14:paraId="442F72D0" w14:textId="77777777" w:rsidR="00CC25B5" w:rsidRDefault="00CC25B5">
            <w:pPr>
              <w:rPr>
                <w:rFonts w:ascii="宋体"/>
                <w:vanish/>
              </w:rPr>
            </w:pPr>
          </w:p>
        </w:tc>
        <w:tc>
          <w:tcPr>
            <w:tcW w:w="0" w:type="auto"/>
            <w:shd w:val="clear" w:color="auto" w:fill="auto"/>
            <w:vAlign w:val="bottom"/>
          </w:tcPr>
          <w:p w14:paraId="442F72D1" w14:textId="77777777" w:rsidR="00CC25B5" w:rsidRDefault="00CC25B5">
            <w:pPr>
              <w:rPr>
                <w:rFonts w:ascii="宋体"/>
                <w:vanish/>
              </w:rPr>
            </w:pPr>
          </w:p>
        </w:tc>
      </w:tr>
      <w:tr w:rsidR="00CC25B5" w14:paraId="442F72DC" w14:textId="77777777">
        <w:tc>
          <w:tcPr>
            <w:tcW w:w="0" w:type="auto"/>
            <w:gridSpan w:val="3"/>
            <w:shd w:val="clear" w:color="auto" w:fill="FFFFFF"/>
            <w:tcMar>
              <w:top w:w="40" w:type="dxa"/>
              <w:left w:w="380" w:type="dxa"/>
              <w:bottom w:w="40" w:type="dxa"/>
              <w:right w:w="20" w:type="dxa"/>
            </w:tcMar>
            <w:vAlign w:val="center"/>
          </w:tcPr>
          <w:p w14:paraId="442F72D3" w14:textId="77777777" w:rsidR="00CC25B5" w:rsidRDefault="00900968">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FFFFFF"/>
            <w:tcMar>
              <w:top w:w="0" w:type="dxa"/>
              <w:left w:w="20" w:type="dxa"/>
              <w:bottom w:w="0" w:type="dxa"/>
              <w:right w:w="20" w:type="dxa"/>
            </w:tcMar>
            <w:vAlign w:val="bottom"/>
          </w:tcPr>
          <w:p w14:paraId="442F72D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2D5" w14:textId="77777777" w:rsidR="00CC25B5" w:rsidRDefault="00900968">
            <w:pPr>
              <w:jc w:val="right"/>
              <w:textAlignment w:val="bottom"/>
            </w:pPr>
            <w:r>
              <w:rPr>
                <w:rFonts w:ascii="Times New Roman" w:eastAsia="宋体" w:hAnsi="Times New Roman"/>
                <w:color w:val="000000"/>
                <w:sz w:val="16"/>
                <w:szCs w:val="16"/>
              </w:rPr>
              <w:t>(248)</w:t>
            </w:r>
          </w:p>
        </w:tc>
        <w:tc>
          <w:tcPr>
            <w:tcW w:w="0" w:type="auto"/>
            <w:shd w:val="clear" w:color="auto" w:fill="FFFFFF"/>
            <w:tcMar>
              <w:top w:w="40" w:type="dxa"/>
              <w:left w:w="0" w:type="dxa"/>
              <w:bottom w:w="40" w:type="dxa"/>
              <w:right w:w="20" w:type="dxa"/>
            </w:tcMar>
            <w:vAlign w:val="bottom"/>
          </w:tcPr>
          <w:p w14:paraId="442F72D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D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2D8" w14:textId="77777777" w:rsidR="00CC25B5" w:rsidRDefault="00900968">
            <w:pPr>
              <w:jc w:val="right"/>
              <w:textAlignment w:val="bottom"/>
            </w:pPr>
            <w:r>
              <w:rPr>
                <w:rFonts w:ascii="Times New Roman" w:eastAsia="宋体" w:hAnsi="Times New Roman"/>
                <w:color w:val="000000"/>
                <w:sz w:val="16"/>
                <w:szCs w:val="16"/>
              </w:rPr>
              <w:t>(175)</w:t>
            </w:r>
          </w:p>
        </w:tc>
        <w:tc>
          <w:tcPr>
            <w:tcW w:w="0" w:type="auto"/>
            <w:shd w:val="clear" w:color="auto" w:fill="FFFFFF"/>
            <w:tcMar>
              <w:top w:w="40" w:type="dxa"/>
              <w:left w:w="0" w:type="dxa"/>
              <w:bottom w:w="40" w:type="dxa"/>
              <w:right w:w="20" w:type="dxa"/>
            </w:tcMar>
            <w:vAlign w:val="bottom"/>
          </w:tcPr>
          <w:p w14:paraId="442F72D9" w14:textId="77777777" w:rsidR="00CC25B5" w:rsidRDefault="00CC25B5">
            <w:pPr>
              <w:jc w:val="right"/>
              <w:rPr>
                <w:rFonts w:ascii="宋体"/>
              </w:rPr>
            </w:pPr>
          </w:p>
        </w:tc>
        <w:tc>
          <w:tcPr>
            <w:tcW w:w="0" w:type="auto"/>
            <w:shd w:val="clear" w:color="auto" w:fill="auto"/>
            <w:vAlign w:val="bottom"/>
          </w:tcPr>
          <w:p w14:paraId="442F72DA" w14:textId="77777777" w:rsidR="00CC25B5" w:rsidRDefault="00CC25B5">
            <w:pPr>
              <w:rPr>
                <w:rFonts w:ascii="宋体"/>
                <w:vanish/>
              </w:rPr>
            </w:pPr>
          </w:p>
        </w:tc>
        <w:tc>
          <w:tcPr>
            <w:tcW w:w="0" w:type="auto"/>
            <w:shd w:val="clear" w:color="auto" w:fill="auto"/>
            <w:vAlign w:val="bottom"/>
          </w:tcPr>
          <w:p w14:paraId="442F72DB" w14:textId="77777777" w:rsidR="00CC25B5" w:rsidRDefault="00CC25B5">
            <w:pPr>
              <w:rPr>
                <w:rFonts w:ascii="宋体"/>
                <w:vanish/>
              </w:rPr>
            </w:pPr>
          </w:p>
        </w:tc>
      </w:tr>
      <w:tr w:rsidR="00CC25B5" w14:paraId="442F72E6" w14:textId="77777777">
        <w:tc>
          <w:tcPr>
            <w:tcW w:w="0" w:type="auto"/>
            <w:gridSpan w:val="3"/>
            <w:shd w:val="clear" w:color="auto" w:fill="CCEEFF"/>
            <w:tcMar>
              <w:top w:w="40" w:type="dxa"/>
              <w:left w:w="380" w:type="dxa"/>
              <w:bottom w:w="40" w:type="dxa"/>
              <w:right w:w="20" w:type="dxa"/>
            </w:tcMar>
            <w:vAlign w:val="center"/>
          </w:tcPr>
          <w:p w14:paraId="442F72DD" w14:textId="77777777" w:rsidR="00CC25B5" w:rsidRDefault="00900968">
            <w:pPr>
              <w:textAlignment w:val="center"/>
            </w:pPr>
            <w:r>
              <w:rPr>
                <w:rFonts w:ascii="Times New Roman" w:eastAsia="宋体" w:hAnsi="Times New Roman"/>
                <w:color w:val="000000"/>
                <w:sz w:val="16"/>
                <w:szCs w:val="16"/>
              </w:rPr>
              <w:t>Other investing activities</w:t>
            </w:r>
          </w:p>
        </w:tc>
        <w:tc>
          <w:tcPr>
            <w:tcW w:w="0" w:type="auto"/>
            <w:gridSpan w:val="3"/>
            <w:shd w:val="clear" w:color="auto" w:fill="CCEEFF"/>
            <w:tcMar>
              <w:top w:w="0" w:type="dxa"/>
              <w:left w:w="20" w:type="dxa"/>
              <w:bottom w:w="0" w:type="dxa"/>
              <w:right w:w="20" w:type="dxa"/>
            </w:tcMar>
            <w:vAlign w:val="bottom"/>
          </w:tcPr>
          <w:p w14:paraId="442F72D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DF" w14:textId="77777777" w:rsidR="00CC25B5" w:rsidRDefault="00900968">
            <w:pPr>
              <w:jc w:val="right"/>
              <w:textAlignment w:val="center"/>
            </w:pPr>
            <w:r>
              <w:rPr>
                <w:rFonts w:ascii="Times New Roman" w:eastAsia="宋体" w:hAnsi="Times New Roman"/>
                <w:color w:val="000000"/>
                <w:sz w:val="16"/>
                <w:szCs w:val="16"/>
              </w:rPr>
              <w:t>(442)</w:t>
            </w:r>
          </w:p>
        </w:tc>
        <w:tc>
          <w:tcPr>
            <w:tcW w:w="0" w:type="auto"/>
            <w:shd w:val="clear" w:color="auto" w:fill="CCEEFF"/>
            <w:tcMar>
              <w:top w:w="40" w:type="dxa"/>
              <w:left w:w="0" w:type="dxa"/>
              <w:bottom w:w="40" w:type="dxa"/>
              <w:right w:w="20" w:type="dxa"/>
            </w:tcMar>
            <w:vAlign w:val="center"/>
          </w:tcPr>
          <w:p w14:paraId="442F72E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2E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2E2" w14:textId="77777777" w:rsidR="00CC25B5" w:rsidRDefault="00900968">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442F72E3" w14:textId="77777777" w:rsidR="00CC25B5" w:rsidRDefault="00CC25B5">
            <w:pPr>
              <w:jc w:val="right"/>
              <w:rPr>
                <w:rFonts w:ascii="宋体"/>
              </w:rPr>
            </w:pPr>
          </w:p>
        </w:tc>
        <w:tc>
          <w:tcPr>
            <w:tcW w:w="0" w:type="auto"/>
            <w:shd w:val="clear" w:color="auto" w:fill="auto"/>
            <w:vAlign w:val="bottom"/>
          </w:tcPr>
          <w:p w14:paraId="442F72E4" w14:textId="77777777" w:rsidR="00CC25B5" w:rsidRDefault="00CC25B5">
            <w:pPr>
              <w:rPr>
                <w:rFonts w:ascii="宋体"/>
                <w:vanish/>
              </w:rPr>
            </w:pPr>
          </w:p>
        </w:tc>
        <w:tc>
          <w:tcPr>
            <w:tcW w:w="0" w:type="auto"/>
            <w:shd w:val="clear" w:color="auto" w:fill="auto"/>
            <w:vAlign w:val="bottom"/>
          </w:tcPr>
          <w:p w14:paraId="442F72E5" w14:textId="77777777" w:rsidR="00CC25B5" w:rsidRDefault="00CC25B5">
            <w:pPr>
              <w:rPr>
                <w:rFonts w:ascii="宋体"/>
                <w:vanish/>
              </w:rPr>
            </w:pPr>
          </w:p>
        </w:tc>
      </w:tr>
      <w:tr w:rsidR="00CC25B5" w14:paraId="442F72F0" w14:textId="77777777">
        <w:tc>
          <w:tcPr>
            <w:tcW w:w="0" w:type="auto"/>
            <w:gridSpan w:val="3"/>
            <w:shd w:val="clear" w:color="auto" w:fill="FFFFFF"/>
            <w:tcMar>
              <w:top w:w="40" w:type="dxa"/>
              <w:left w:w="20" w:type="dxa"/>
              <w:bottom w:w="40" w:type="dxa"/>
              <w:right w:w="20" w:type="dxa"/>
            </w:tcMar>
            <w:vAlign w:val="center"/>
          </w:tcPr>
          <w:p w14:paraId="442F72E7" w14:textId="77777777" w:rsidR="00CC25B5" w:rsidRDefault="00900968">
            <w:pPr>
              <w:textAlignment w:val="center"/>
            </w:pPr>
            <w:r>
              <w:rPr>
                <w:rFonts w:ascii="Times New Roman" w:eastAsia="宋体" w:hAnsi="Times New Roman"/>
                <w:color w:val="000000"/>
                <w:sz w:val="16"/>
                <w:szCs w:val="16"/>
              </w:rPr>
              <w:t>Net cash provided by (used in) investing activities</w:t>
            </w:r>
          </w:p>
        </w:tc>
        <w:tc>
          <w:tcPr>
            <w:tcW w:w="0" w:type="auto"/>
            <w:gridSpan w:val="3"/>
            <w:shd w:val="clear" w:color="auto" w:fill="FFFFFF"/>
            <w:tcMar>
              <w:top w:w="0" w:type="dxa"/>
              <w:left w:w="20" w:type="dxa"/>
              <w:bottom w:w="0" w:type="dxa"/>
              <w:right w:w="20" w:type="dxa"/>
            </w:tcMar>
            <w:vAlign w:val="bottom"/>
          </w:tcPr>
          <w:p w14:paraId="442F72E8"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2E9" w14:textId="77777777" w:rsidR="00CC25B5" w:rsidRDefault="00900968">
            <w:pPr>
              <w:jc w:val="right"/>
              <w:textAlignment w:val="center"/>
            </w:pPr>
            <w:r>
              <w:rPr>
                <w:rFonts w:ascii="Times New Roman" w:eastAsia="宋体" w:hAnsi="Times New Roman"/>
                <w:color w:val="000000"/>
                <w:sz w:val="16"/>
                <w:szCs w:val="16"/>
              </w:rPr>
              <w:t>2,402 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2E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2EB"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2EC" w14:textId="77777777" w:rsidR="00CC25B5" w:rsidRDefault="00900968">
            <w:pPr>
              <w:jc w:val="right"/>
              <w:textAlignment w:val="center"/>
            </w:pPr>
            <w:r>
              <w:rPr>
                <w:rFonts w:ascii="Times New Roman" w:eastAsia="宋体" w:hAnsi="Times New Roman"/>
                <w:color w:val="000000"/>
                <w:sz w:val="16"/>
                <w:szCs w:val="16"/>
              </w:rPr>
              <w:t>(3,634)</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2ED" w14:textId="77777777" w:rsidR="00CC25B5" w:rsidRDefault="00CC25B5">
            <w:pPr>
              <w:jc w:val="right"/>
              <w:rPr>
                <w:rFonts w:ascii="宋体"/>
              </w:rPr>
            </w:pPr>
          </w:p>
        </w:tc>
        <w:tc>
          <w:tcPr>
            <w:tcW w:w="0" w:type="auto"/>
            <w:shd w:val="clear" w:color="auto" w:fill="auto"/>
            <w:vAlign w:val="bottom"/>
          </w:tcPr>
          <w:p w14:paraId="442F72EE" w14:textId="77777777" w:rsidR="00CC25B5" w:rsidRDefault="00CC25B5">
            <w:pPr>
              <w:rPr>
                <w:rFonts w:ascii="宋体"/>
                <w:vanish/>
              </w:rPr>
            </w:pPr>
          </w:p>
        </w:tc>
        <w:tc>
          <w:tcPr>
            <w:tcW w:w="0" w:type="auto"/>
            <w:shd w:val="clear" w:color="auto" w:fill="auto"/>
            <w:vAlign w:val="bottom"/>
          </w:tcPr>
          <w:p w14:paraId="442F72EF" w14:textId="77777777" w:rsidR="00CC25B5" w:rsidRDefault="00CC25B5">
            <w:pPr>
              <w:rPr>
                <w:rFonts w:ascii="宋体"/>
                <w:vanish/>
              </w:rPr>
            </w:pPr>
          </w:p>
        </w:tc>
      </w:tr>
      <w:tr w:rsidR="00CC25B5" w14:paraId="442F72F8" w14:textId="77777777">
        <w:trPr>
          <w:trHeight w:val="220"/>
        </w:trPr>
        <w:tc>
          <w:tcPr>
            <w:tcW w:w="0" w:type="auto"/>
            <w:gridSpan w:val="3"/>
            <w:shd w:val="clear" w:color="auto" w:fill="CCEEFF"/>
            <w:tcMar>
              <w:top w:w="0" w:type="dxa"/>
              <w:left w:w="20" w:type="dxa"/>
              <w:bottom w:w="0" w:type="dxa"/>
              <w:right w:w="20" w:type="dxa"/>
            </w:tcMar>
            <w:vAlign w:val="bottom"/>
          </w:tcPr>
          <w:p w14:paraId="442F72F1"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F2"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F3"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F4"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2F5" w14:textId="77777777" w:rsidR="00CC25B5" w:rsidRDefault="00CC25B5">
            <w:pPr>
              <w:rPr>
                <w:rFonts w:ascii="宋体"/>
              </w:rPr>
            </w:pPr>
          </w:p>
        </w:tc>
        <w:tc>
          <w:tcPr>
            <w:tcW w:w="0" w:type="auto"/>
            <w:shd w:val="clear" w:color="auto" w:fill="auto"/>
            <w:vAlign w:val="bottom"/>
          </w:tcPr>
          <w:p w14:paraId="442F72F6" w14:textId="77777777" w:rsidR="00CC25B5" w:rsidRDefault="00CC25B5">
            <w:pPr>
              <w:rPr>
                <w:rFonts w:ascii="宋体"/>
                <w:vanish/>
              </w:rPr>
            </w:pPr>
          </w:p>
        </w:tc>
        <w:tc>
          <w:tcPr>
            <w:tcW w:w="0" w:type="auto"/>
            <w:shd w:val="clear" w:color="auto" w:fill="auto"/>
            <w:vAlign w:val="bottom"/>
          </w:tcPr>
          <w:p w14:paraId="442F72F7" w14:textId="77777777" w:rsidR="00CC25B5" w:rsidRDefault="00CC25B5">
            <w:pPr>
              <w:rPr>
                <w:rFonts w:ascii="宋体"/>
                <w:vanish/>
              </w:rPr>
            </w:pPr>
          </w:p>
        </w:tc>
      </w:tr>
      <w:tr w:rsidR="00CC25B5" w14:paraId="442F7300" w14:textId="77777777">
        <w:tc>
          <w:tcPr>
            <w:tcW w:w="0" w:type="auto"/>
            <w:gridSpan w:val="3"/>
            <w:shd w:val="clear" w:color="auto" w:fill="FFFFFF"/>
            <w:tcMar>
              <w:top w:w="40" w:type="dxa"/>
              <w:left w:w="20" w:type="dxa"/>
              <w:bottom w:w="40" w:type="dxa"/>
              <w:right w:w="20" w:type="dxa"/>
            </w:tcMar>
            <w:vAlign w:val="center"/>
          </w:tcPr>
          <w:p w14:paraId="442F72F9" w14:textId="77777777" w:rsidR="00CC25B5" w:rsidRDefault="00900968">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bottom"/>
          </w:tcPr>
          <w:p w14:paraId="442F72F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FB"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F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2FD" w14:textId="77777777" w:rsidR="00CC25B5" w:rsidRDefault="00CC25B5">
            <w:pPr>
              <w:rPr>
                <w:rFonts w:ascii="宋体"/>
              </w:rPr>
            </w:pPr>
          </w:p>
        </w:tc>
        <w:tc>
          <w:tcPr>
            <w:tcW w:w="0" w:type="auto"/>
            <w:shd w:val="clear" w:color="auto" w:fill="auto"/>
            <w:vAlign w:val="bottom"/>
          </w:tcPr>
          <w:p w14:paraId="442F72FE" w14:textId="77777777" w:rsidR="00CC25B5" w:rsidRDefault="00CC25B5">
            <w:pPr>
              <w:rPr>
                <w:rFonts w:ascii="宋体"/>
                <w:vanish/>
              </w:rPr>
            </w:pPr>
          </w:p>
        </w:tc>
        <w:tc>
          <w:tcPr>
            <w:tcW w:w="0" w:type="auto"/>
            <w:shd w:val="clear" w:color="auto" w:fill="auto"/>
            <w:vAlign w:val="bottom"/>
          </w:tcPr>
          <w:p w14:paraId="442F72FF" w14:textId="77777777" w:rsidR="00CC25B5" w:rsidRDefault="00CC25B5">
            <w:pPr>
              <w:rPr>
                <w:rFonts w:ascii="宋体"/>
                <w:vanish/>
              </w:rPr>
            </w:pPr>
          </w:p>
        </w:tc>
      </w:tr>
      <w:tr w:rsidR="00CC25B5" w14:paraId="442F730A" w14:textId="77777777">
        <w:tc>
          <w:tcPr>
            <w:tcW w:w="0" w:type="auto"/>
            <w:gridSpan w:val="3"/>
            <w:shd w:val="clear" w:color="auto" w:fill="CCEEFF"/>
            <w:tcMar>
              <w:top w:w="40" w:type="dxa"/>
              <w:left w:w="380" w:type="dxa"/>
              <w:bottom w:w="40" w:type="dxa"/>
              <w:right w:w="20" w:type="dxa"/>
            </w:tcMar>
            <w:vAlign w:val="center"/>
          </w:tcPr>
          <w:p w14:paraId="442F7301" w14:textId="77777777" w:rsidR="00CC25B5" w:rsidRDefault="00900968">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CCEEFF"/>
            <w:tcMar>
              <w:top w:w="0" w:type="dxa"/>
              <w:left w:w="20" w:type="dxa"/>
              <w:bottom w:w="0" w:type="dxa"/>
              <w:right w:w="20" w:type="dxa"/>
            </w:tcMar>
            <w:vAlign w:val="bottom"/>
          </w:tcPr>
          <w:p w14:paraId="442F730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03" w14:textId="77777777" w:rsidR="00CC25B5" w:rsidRDefault="00900968">
            <w:pPr>
              <w:jc w:val="right"/>
              <w:textAlignment w:val="center"/>
            </w:pPr>
            <w:r>
              <w:rPr>
                <w:rFonts w:ascii="Times New Roman" w:eastAsia="宋体" w:hAnsi="Times New Roman"/>
                <w:color w:val="000000"/>
                <w:sz w:val="16"/>
                <w:szCs w:val="16"/>
              </w:rPr>
              <w:t>441 </w:t>
            </w:r>
          </w:p>
        </w:tc>
        <w:tc>
          <w:tcPr>
            <w:tcW w:w="0" w:type="auto"/>
            <w:shd w:val="clear" w:color="auto" w:fill="CCEEFF"/>
            <w:tcMar>
              <w:top w:w="40" w:type="dxa"/>
              <w:left w:w="0" w:type="dxa"/>
              <w:bottom w:w="40" w:type="dxa"/>
              <w:right w:w="20" w:type="dxa"/>
            </w:tcMar>
            <w:vAlign w:val="center"/>
          </w:tcPr>
          <w:p w14:paraId="442F730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0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06" w14:textId="77777777" w:rsidR="00CC25B5" w:rsidRDefault="00900968">
            <w:pPr>
              <w:jc w:val="right"/>
              <w:textAlignment w:val="center"/>
            </w:pPr>
            <w:r>
              <w:rPr>
                <w:rFonts w:ascii="Times New Roman" w:eastAsia="宋体" w:hAnsi="Times New Roman"/>
                <w:color w:val="000000"/>
                <w:sz w:val="16"/>
                <w:szCs w:val="16"/>
              </w:rPr>
              <w:t>(178)</w:t>
            </w:r>
          </w:p>
        </w:tc>
        <w:tc>
          <w:tcPr>
            <w:tcW w:w="0" w:type="auto"/>
            <w:shd w:val="clear" w:color="auto" w:fill="CCEEFF"/>
            <w:tcMar>
              <w:top w:w="40" w:type="dxa"/>
              <w:left w:w="0" w:type="dxa"/>
              <w:bottom w:w="40" w:type="dxa"/>
              <w:right w:w="20" w:type="dxa"/>
            </w:tcMar>
            <w:vAlign w:val="center"/>
          </w:tcPr>
          <w:p w14:paraId="442F7307" w14:textId="77777777" w:rsidR="00CC25B5" w:rsidRDefault="00CC25B5">
            <w:pPr>
              <w:jc w:val="right"/>
              <w:rPr>
                <w:rFonts w:ascii="宋体"/>
              </w:rPr>
            </w:pPr>
          </w:p>
        </w:tc>
        <w:tc>
          <w:tcPr>
            <w:tcW w:w="0" w:type="auto"/>
            <w:shd w:val="clear" w:color="auto" w:fill="auto"/>
            <w:vAlign w:val="bottom"/>
          </w:tcPr>
          <w:p w14:paraId="442F7308" w14:textId="77777777" w:rsidR="00CC25B5" w:rsidRDefault="00CC25B5">
            <w:pPr>
              <w:rPr>
                <w:rFonts w:ascii="宋体"/>
                <w:vanish/>
              </w:rPr>
            </w:pPr>
          </w:p>
        </w:tc>
        <w:tc>
          <w:tcPr>
            <w:tcW w:w="0" w:type="auto"/>
            <w:shd w:val="clear" w:color="auto" w:fill="auto"/>
            <w:vAlign w:val="bottom"/>
          </w:tcPr>
          <w:p w14:paraId="442F7309" w14:textId="77777777" w:rsidR="00CC25B5" w:rsidRDefault="00CC25B5">
            <w:pPr>
              <w:rPr>
                <w:rFonts w:ascii="宋体"/>
                <w:vanish/>
              </w:rPr>
            </w:pPr>
          </w:p>
        </w:tc>
      </w:tr>
      <w:tr w:rsidR="00CC25B5" w14:paraId="442F7312" w14:textId="77777777">
        <w:trPr>
          <w:hidden/>
        </w:trPr>
        <w:tc>
          <w:tcPr>
            <w:tcW w:w="0" w:type="auto"/>
            <w:gridSpan w:val="3"/>
            <w:shd w:val="clear" w:color="auto" w:fill="auto"/>
            <w:vAlign w:val="bottom"/>
          </w:tcPr>
          <w:p w14:paraId="442F730B" w14:textId="77777777" w:rsidR="00CC25B5" w:rsidRDefault="00CC25B5">
            <w:pPr>
              <w:rPr>
                <w:rFonts w:ascii="宋体"/>
                <w:vanish/>
              </w:rPr>
            </w:pPr>
          </w:p>
        </w:tc>
        <w:tc>
          <w:tcPr>
            <w:tcW w:w="0" w:type="auto"/>
            <w:gridSpan w:val="3"/>
            <w:shd w:val="clear" w:color="auto" w:fill="auto"/>
            <w:vAlign w:val="bottom"/>
          </w:tcPr>
          <w:p w14:paraId="442F730C" w14:textId="77777777" w:rsidR="00CC25B5" w:rsidRDefault="00CC25B5">
            <w:pPr>
              <w:rPr>
                <w:rFonts w:ascii="宋体"/>
                <w:vanish/>
              </w:rPr>
            </w:pPr>
          </w:p>
        </w:tc>
        <w:tc>
          <w:tcPr>
            <w:tcW w:w="0" w:type="auto"/>
            <w:gridSpan w:val="3"/>
            <w:shd w:val="clear" w:color="auto" w:fill="auto"/>
            <w:vAlign w:val="bottom"/>
          </w:tcPr>
          <w:p w14:paraId="442F730D" w14:textId="77777777" w:rsidR="00CC25B5" w:rsidRDefault="00CC25B5">
            <w:pPr>
              <w:rPr>
                <w:rFonts w:ascii="宋体"/>
                <w:vanish/>
              </w:rPr>
            </w:pPr>
          </w:p>
        </w:tc>
        <w:tc>
          <w:tcPr>
            <w:tcW w:w="0" w:type="auto"/>
            <w:gridSpan w:val="3"/>
            <w:shd w:val="clear" w:color="auto" w:fill="auto"/>
            <w:vAlign w:val="bottom"/>
          </w:tcPr>
          <w:p w14:paraId="442F730E" w14:textId="77777777" w:rsidR="00CC25B5" w:rsidRDefault="00CC25B5">
            <w:pPr>
              <w:rPr>
                <w:rFonts w:ascii="宋体"/>
                <w:vanish/>
              </w:rPr>
            </w:pPr>
          </w:p>
        </w:tc>
        <w:tc>
          <w:tcPr>
            <w:tcW w:w="0" w:type="auto"/>
            <w:gridSpan w:val="3"/>
            <w:shd w:val="clear" w:color="auto" w:fill="auto"/>
            <w:vAlign w:val="bottom"/>
          </w:tcPr>
          <w:p w14:paraId="442F730F" w14:textId="77777777" w:rsidR="00CC25B5" w:rsidRDefault="00CC25B5">
            <w:pPr>
              <w:rPr>
                <w:rFonts w:ascii="宋体"/>
                <w:vanish/>
              </w:rPr>
            </w:pPr>
          </w:p>
        </w:tc>
        <w:tc>
          <w:tcPr>
            <w:tcW w:w="0" w:type="auto"/>
            <w:shd w:val="clear" w:color="auto" w:fill="auto"/>
            <w:vAlign w:val="bottom"/>
          </w:tcPr>
          <w:p w14:paraId="442F7310" w14:textId="77777777" w:rsidR="00CC25B5" w:rsidRDefault="00CC25B5">
            <w:pPr>
              <w:rPr>
                <w:rFonts w:ascii="宋体"/>
                <w:vanish/>
              </w:rPr>
            </w:pPr>
          </w:p>
        </w:tc>
        <w:tc>
          <w:tcPr>
            <w:tcW w:w="0" w:type="auto"/>
            <w:shd w:val="clear" w:color="auto" w:fill="auto"/>
            <w:vAlign w:val="bottom"/>
          </w:tcPr>
          <w:p w14:paraId="442F7311" w14:textId="77777777" w:rsidR="00CC25B5" w:rsidRDefault="00CC25B5">
            <w:pPr>
              <w:rPr>
                <w:rFonts w:ascii="宋体"/>
                <w:vanish/>
              </w:rPr>
            </w:pPr>
          </w:p>
        </w:tc>
      </w:tr>
      <w:tr w:rsidR="00CC25B5" w14:paraId="442F731C" w14:textId="77777777">
        <w:tc>
          <w:tcPr>
            <w:tcW w:w="0" w:type="auto"/>
            <w:gridSpan w:val="3"/>
            <w:shd w:val="clear" w:color="auto" w:fill="FFFFFF"/>
            <w:tcMar>
              <w:top w:w="40" w:type="dxa"/>
              <w:left w:w="380" w:type="dxa"/>
              <w:bottom w:w="40" w:type="dxa"/>
              <w:right w:w="20" w:type="dxa"/>
            </w:tcMar>
            <w:vAlign w:val="center"/>
          </w:tcPr>
          <w:p w14:paraId="442F7313" w14:textId="77777777" w:rsidR="00CC25B5" w:rsidRDefault="00900968">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442F731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15" w14:textId="77777777" w:rsidR="00CC25B5" w:rsidRDefault="00900968">
            <w:pPr>
              <w:jc w:val="right"/>
              <w:textAlignment w:val="center"/>
            </w:pPr>
            <w:r>
              <w:rPr>
                <w:rFonts w:ascii="Times New Roman" w:eastAsia="宋体" w:hAnsi="Times New Roman"/>
                <w:color w:val="000000"/>
                <w:sz w:val="16"/>
                <w:szCs w:val="16"/>
              </w:rPr>
              <w:t>(3,010)</w:t>
            </w:r>
          </w:p>
        </w:tc>
        <w:tc>
          <w:tcPr>
            <w:tcW w:w="0" w:type="auto"/>
            <w:shd w:val="clear" w:color="auto" w:fill="FFFFFF"/>
            <w:tcMar>
              <w:top w:w="40" w:type="dxa"/>
              <w:left w:w="0" w:type="dxa"/>
              <w:bottom w:w="40" w:type="dxa"/>
              <w:right w:w="20" w:type="dxa"/>
            </w:tcMar>
            <w:vAlign w:val="center"/>
          </w:tcPr>
          <w:p w14:paraId="442F731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31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18" w14:textId="77777777" w:rsidR="00CC25B5" w:rsidRDefault="00900968">
            <w:pPr>
              <w:jc w:val="right"/>
              <w:textAlignment w:val="center"/>
            </w:pPr>
            <w:r>
              <w:rPr>
                <w:rFonts w:ascii="Times New Roman" w:eastAsia="宋体" w:hAnsi="Times New Roman"/>
                <w:color w:val="000000"/>
                <w:sz w:val="16"/>
                <w:szCs w:val="16"/>
              </w:rPr>
              <w:t>(2,937)</w:t>
            </w:r>
          </w:p>
        </w:tc>
        <w:tc>
          <w:tcPr>
            <w:tcW w:w="0" w:type="auto"/>
            <w:shd w:val="clear" w:color="auto" w:fill="FFFFFF"/>
            <w:tcMar>
              <w:top w:w="40" w:type="dxa"/>
              <w:left w:w="0" w:type="dxa"/>
              <w:bottom w:w="40" w:type="dxa"/>
              <w:right w:w="20" w:type="dxa"/>
            </w:tcMar>
            <w:vAlign w:val="center"/>
          </w:tcPr>
          <w:p w14:paraId="442F7319" w14:textId="77777777" w:rsidR="00CC25B5" w:rsidRDefault="00CC25B5">
            <w:pPr>
              <w:jc w:val="right"/>
              <w:rPr>
                <w:rFonts w:ascii="宋体"/>
              </w:rPr>
            </w:pPr>
          </w:p>
        </w:tc>
        <w:tc>
          <w:tcPr>
            <w:tcW w:w="0" w:type="auto"/>
            <w:shd w:val="clear" w:color="auto" w:fill="auto"/>
            <w:vAlign w:val="bottom"/>
          </w:tcPr>
          <w:p w14:paraId="442F731A" w14:textId="77777777" w:rsidR="00CC25B5" w:rsidRDefault="00CC25B5">
            <w:pPr>
              <w:rPr>
                <w:rFonts w:ascii="宋体"/>
                <w:vanish/>
              </w:rPr>
            </w:pPr>
          </w:p>
        </w:tc>
        <w:tc>
          <w:tcPr>
            <w:tcW w:w="0" w:type="auto"/>
            <w:shd w:val="clear" w:color="auto" w:fill="auto"/>
            <w:vAlign w:val="bottom"/>
          </w:tcPr>
          <w:p w14:paraId="442F731B" w14:textId="77777777" w:rsidR="00CC25B5" w:rsidRDefault="00CC25B5">
            <w:pPr>
              <w:rPr>
                <w:rFonts w:ascii="宋体"/>
                <w:vanish/>
              </w:rPr>
            </w:pPr>
          </w:p>
        </w:tc>
      </w:tr>
      <w:tr w:rsidR="00CC25B5" w14:paraId="442F7324" w14:textId="77777777">
        <w:trPr>
          <w:hidden/>
        </w:trPr>
        <w:tc>
          <w:tcPr>
            <w:tcW w:w="0" w:type="auto"/>
            <w:gridSpan w:val="3"/>
            <w:shd w:val="clear" w:color="auto" w:fill="auto"/>
            <w:vAlign w:val="bottom"/>
          </w:tcPr>
          <w:p w14:paraId="442F731D" w14:textId="77777777" w:rsidR="00CC25B5" w:rsidRDefault="00CC25B5">
            <w:pPr>
              <w:rPr>
                <w:rFonts w:ascii="宋体"/>
                <w:vanish/>
              </w:rPr>
            </w:pPr>
          </w:p>
        </w:tc>
        <w:tc>
          <w:tcPr>
            <w:tcW w:w="0" w:type="auto"/>
            <w:gridSpan w:val="3"/>
            <w:shd w:val="clear" w:color="auto" w:fill="auto"/>
            <w:vAlign w:val="bottom"/>
          </w:tcPr>
          <w:p w14:paraId="442F731E" w14:textId="77777777" w:rsidR="00CC25B5" w:rsidRDefault="00CC25B5">
            <w:pPr>
              <w:rPr>
                <w:rFonts w:ascii="宋体"/>
                <w:vanish/>
              </w:rPr>
            </w:pPr>
          </w:p>
        </w:tc>
        <w:tc>
          <w:tcPr>
            <w:tcW w:w="0" w:type="auto"/>
            <w:gridSpan w:val="3"/>
            <w:shd w:val="clear" w:color="auto" w:fill="auto"/>
            <w:vAlign w:val="bottom"/>
          </w:tcPr>
          <w:p w14:paraId="442F731F" w14:textId="77777777" w:rsidR="00CC25B5" w:rsidRDefault="00CC25B5">
            <w:pPr>
              <w:rPr>
                <w:rFonts w:ascii="宋体"/>
                <w:vanish/>
              </w:rPr>
            </w:pPr>
          </w:p>
        </w:tc>
        <w:tc>
          <w:tcPr>
            <w:tcW w:w="0" w:type="auto"/>
            <w:gridSpan w:val="3"/>
            <w:shd w:val="clear" w:color="auto" w:fill="auto"/>
            <w:vAlign w:val="bottom"/>
          </w:tcPr>
          <w:p w14:paraId="442F7320" w14:textId="77777777" w:rsidR="00CC25B5" w:rsidRDefault="00CC25B5">
            <w:pPr>
              <w:rPr>
                <w:rFonts w:ascii="宋体"/>
                <w:vanish/>
              </w:rPr>
            </w:pPr>
          </w:p>
        </w:tc>
        <w:tc>
          <w:tcPr>
            <w:tcW w:w="0" w:type="auto"/>
            <w:gridSpan w:val="3"/>
            <w:shd w:val="clear" w:color="auto" w:fill="auto"/>
            <w:vAlign w:val="bottom"/>
          </w:tcPr>
          <w:p w14:paraId="442F7321" w14:textId="77777777" w:rsidR="00CC25B5" w:rsidRDefault="00CC25B5">
            <w:pPr>
              <w:rPr>
                <w:rFonts w:ascii="宋体"/>
                <w:vanish/>
              </w:rPr>
            </w:pPr>
          </w:p>
        </w:tc>
        <w:tc>
          <w:tcPr>
            <w:tcW w:w="0" w:type="auto"/>
            <w:shd w:val="clear" w:color="auto" w:fill="auto"/>
            <w:vAlign w:val="bottom"/>
          </w:tcPr>
          <w:p w14:paraId="442F7322" w14:textId="77777777" w:rsidR="00CC25B5" w:rsidRDefault="00CC25B5">
            <w:pPr>
              <w:rPr>
                <w:rFonts w:ascii="宋体"/>
                <w:vanish/>
              </w:rPr>
            </w:pPr>
          </w:p>
        </w:tc>
        <w:tc>
          <w:tcPr>
            <w:tcW w:w="0" w:type="auto"/>
            <w:shd w:val="clear" w:color="auto" w:fill="auto"/>
            <w:vAlign w:val="bottom"/>
          </w:tcPr>
          <w:p w14:paraId="442F7323" w14:textId="77777777" w:rsidR="00CC25B5" w:rsidRDefault="00CC25B5">
            <w:pPr>
              <w:rPr>
                <w:rFonts w:ascii="宋体"/>
                <w:vanish/>
              </w:rPr>
            </w:pPr>
          </w:p>
        </w:tc>
      </w:tr>
      <w:tr w:rsidR="00CC25B5" w14:paraId="442F732E" w14:textId="77777777">
        <w:tc>
          <w:tcPr>
            <w:tcW w:w="0" w:type="auto"/>
            <w:gridSpan w:val="3"/>
            <w:shd w:val="clear" w:color="auto" w:fill="CCEEFF"/>
            <w:tcMar>
              <w:top w:w="40" w:type="dxa"/>
              <w:left w:w="380" w:type="dxa"/>
              <w:bottom w:w="40" w:type="dxa"/>
              <w:right w:w="20" w:type="dxa"/>
            </w:tcMar>
            <w:vAlign w:val="center"/>
          </w:tcPr>
          <w:p w14:paraId="442F7325" w14:textId="77777777" w:rsidR="00CC25B5" w:rsidRDefault="00900968">
            <w:pPr>
              <w:textAlignment w:val="center"/>
            </w:pPr>
            <w:r>
              <w:rPr>
                <w:rFonts w:ascii="Times New Roman" w:eastAsia="宋体" w:hAnsi="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bottom"/>
          </w:tcPr>
          <w:p w14:paraId="442F732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27" w14:textId="77777777" w:rsidR="00CC25B5" w:rsidRDefault="00900968">
            <w:pPr>
              <w:jc w:val="right"/>
              <w:textAlignment w:val="center"/>
            </w:pPr>
            <w:r>
              <w:rPr>
                <w:rFonts w:ascii="Times New Roman" w:eastAsia="宋体" w:hAnsi="Times New Roman"/>
                <w:color w:val="000000"/>
                <w:sz w:val="16"/>
                <w:szCs w:val="16"/>
              </w:rPr>
              <w:t>(3,091)</w:t>
            </w:r>
          </w:p>
        </w:tc>
        <w:tc>
          <w:tcPr>
            <w:tcW w:w="0" w:type="auto"/>
            <w:shd w:val="clear" w:color="auto" w:fill="CCEEFF"/>
            <w:tcMar>
              <w:top w:w="40" w:type="dxa"/>
              <w:left w:w="0" w:type="dxa"/>
              <w:bottom w:w="40" w:type="dxa"/>
              <w:right w:w="20" w:type="dxa"/>
            </w:tcMar>
            <w:vAlign w:val="center"/>
          </w:tcPr>
          <w:p w14:paraId="442F732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2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2A" w14:textId="77777777" w:rsidR="00CC25B5" w:rsidRDefault="00900968">
            <w:pPr>
              <w:jc w:val="right"/>
              <w:textAlignment w:val="center"/>
            </w:pPr>
            <w:r>
              <w:rPr>
                <w:rFonts w:ascii="Times New Roman" w:eastAsia="宋体" w:hAnsi="Times New Roman"/>
                <w:color w:val="000000"/>
                <w:sz w:val="16"/>
                <w:szCs w:val="16"/>
              </w:rPr>
              <w:t>(3,058)</w:t>
            </w:r>
          </w:p>
        </w:tc>
        <w:tc>
          <w:tcPr>
            <w:tcW w:w="0" w:type="auto"/>
            <w:shd w:val="clear" w:color="auto" w:fill="CCEEFF"/>
            <w:tcMar>
              <w:top w:w="40" w:type="dxa"/>
              <w:left w:w="0" w:type="dxa"/>
              <w:bottom w:w="40" w:type="dxa"/>
              <w:right w:w="20" w:type="dxa"/>
            </w:tcMar>
            <w:vAlign w:val="center"/>
          </w:tcPr>
          <w:p w14:paraId="442F732B" w14:textId="77777777" w:rsidR="00CC25B5" w:rsidRDefault="00CC25B5">
            <w:pPr>
              <w:jc w:val="right"/>
              <w:rPr>
                <w:rFonts w:ascii="宋体"/>
              </w:rPr>
            </w:pPr>
          </w:p>
        </w:tc>
        <w:tc>
          <w:tcPr>
            <w:tcW w:w="0" w:type="auto"/>
            <w:shd w:val="clear" w:color="auto" w:fill="auto"/>
            <w:vAlign w:val="bottom"/>
          </w:tcPr>
          <w:p w14:paraId="442F732C" w14:textId="77777777" w:rsidR="00CC25B5" w:rsidRDefault="00CC25B5">
            <w:pPr>
              <w:rPr>
                <w:rFonts w:ascii="宋体"/>
                <w:vanish/>
              </w:rPr>
            </w:pPr>
          </w:p>
        </w:tc>
        <w:tc>
          <w:tcPr>
            <w:tcW w:w="0" w:type="auto"/>
            <w:shd w:val="clear" w:color="auto" w:fill="auto"/>
            <w:vAlign w:val="bottom"/>
          </w:tcPr>
          <w:p w14:paraId="442F732D" w14:textId="77777777" w:rsidR="00CC25B5" w:rsidRDefault="00CC25B5">
            <w:pPr>
              <w:rPr>
                <w:rFonts w:ascii="宋体"/>
                <w:vanish/>
              </w:rPr>
            </w:pPr>
          </w:p>
        </w:tc>
      </w:tr>
      <w:tr w:rsidR="00CC25B5" w14:paraId="442F7338" w14:textId="77777777">
        <w:tc>
          <w:tcPr>
            <w:tcW w:w="0" w:type="auto"/>
            <w:gridSpan w:val="3"/>
            <w:shd w:val="clear" w:color="auto" w:fill="FFFFFF"/>
            <w:tcMar>
              <w:top w:w="40" w:type="dxa"/>
              <w:left w:w="380" w:type="dxa"/>
              <w:bottom w:w="40" w:type="dxa"/>
              <w:right w:w="20" w:type="dxa"/>
            </w:tcMar>
            <w:vAlign w:val="center"/>
          </w:tcPr>
          <w:p w14:paraId="442F732F" w14:textId="77777777" w:rsidR="00CC25B5" w:rsidRDefault="00900968">
            <w:pPr>
              <w:textAlignment w:val="center"/>
            </w:pPr>
            <w:r>
              <w:rPr>
                <w:rFonts w:ascii="Times New Roman" w:eastAsia="宋体" w:hAnsi="Times New Roman"/>
                <w:color w:val="000000"/>
                <w:sz w:val="16"/>
                <w:szCs w:val="16"/>
              </w:rPr>
              <w:t>Purchase of Company stock</w:t>
            </w:r>
          </w:p>
        </w:tc>
        <w:tc>
          <w:tcPr>
            <w:tcW w:w="0" w:type="auto"/>
            <w:gridSpan w:val="3"/>
            <w:shd w:val="clear" w:color="auto" w:fill="FFFFFF"/>
            <w:tcMar>
              <w:top w:w="0" w:type="dxa"/>
              <w:left w:w="20" w:type="dxa"/>
              <w:bottom w:w="0" w:type="dxa"/>
              <w:right w:w="20" w:type="dxa"/>
            </w:tcMar>
            <w:vAlign w:val="bottom"/>
          </w:tcPr>
          <w:p w14:paraId="442F733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31" w14:textId="77777777" w:rsidR="00CC25B5" w:rsidRDefault="00900968">
            <w:pPr>
              <w:jc w:val="right"/>
              <w:textAlignment w:val="center"/>
            </w:pPr>
            <w:r>
              <w:rPr>
                <w:rFonts w:ascii="Times New Roman" w:eastAsia="宋体" w:hAnsi="Times New Roman"/>
                <w:color w:val="000000"/>
                <w:sz w:val="16"/>
                <w:szCs w:val="16"/>
              </w:rPr>
              <w:t>(5,200)</w:t>
            </w:r>
          </w:p>
        </w:tc>
        <w:tc>
          <w:tcPr>
            <w:tcW w:w="0" w:type="auto"/>
            <w:shd w:val="clear" w:color="auto" w:fill="FFFFFF"/>
            <w:tcMar>
              <w:top w:w="40" w:type="dxa"/>
              <w:left w:w="0" w:type="dxa"/>
              <w:bottom w:w="40" w:type="dxa"/>
              <w:right w:w="20" w:type="dxa"/>
            </w:tcMar>
            <w:vAlign w:val="center"/>
          </w:tcPr>
          <w:p w14:paraId="442F733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33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34" w14:textId="77777777" w:rsidR="00CC25B5" w:rsidRDefault="00900968">
            <w:pPr>
              <w:jc w:val="right"/>
              <w:textAlignment w:val="center"/>
            </w:pPr>
            <w:r>
              <w:rPr>
                <w:rFonts w:ascii="Times New Roman" w:eastAsia="宋体" w:hAnsi="Times New Roman"/>
                <w:color w:val="000000"/>
                <w:sz w:val="16"/>
                <w:szCs w:val="16"/>
              </w:rPr>
              <w:t>(723)</w:t>
            </w:r>
          </w:p>
        </w:tc>
        <w:tc>
          <w:tcPr>
            <w:tcW w:w="0" w:type="auto"/>
            <w:shd w:val="clear" w:color="auto" w:fill="FFFFFF"/>
            <w:tcMar>
              <w:top w:w="40" w:type="dxa"/>
              <w:left w:w="0" w:type="dxa"/>
              <w:bottom w:w="40" w:type="dxa"/>
              <w:right w:w="20" w:type="dxa"/>
            </w:tcMar>
            <w:vAlign w:val="center"/>
          </w:tcPr>
          <w:p w14:paraId="442F7335" w14:textId="77777777" w:rsidR="00CC25B5" w:rsidRDefault="00CC25B5">
            <w:pPr>
              <w:jc w:val="right"/>
              <w:rPr>
                <w:rFonts w:ascii="宋体"/>
              </w:rPr>
            </w:pPr>
          </w:p>
        </w:tc>
        <w:tc>
          <w:tcPr>
            <w:tcW w:w="0" w:type="auto"/>
            <w:shd w:val="clear" w:color="auto" w:fill="auto"/>
            <w:vAlign w:val="bottom"/>
          </w:tcPr>
          <w:p w14:paraId="442F7336" w14:textId="77777777" w:rsidR="00CC25B5" w:rsidRDefault="00CC25B5">
            <w:pPr>
              <w:rPr>
                <w:rFonts w:ascii="宋体"/>
                <w:vanish/>
              </w:rPr>
            </w:pPr>
          </w:p>
        </w:tc>
        <w:tc>
          <w:tcPr>
            <w:tcW w:w="0" w:type="auto"/>
            <w:shd w:val="clear" w:color="auto" w:fill="auto"/>
            <w:vAlign w:val="bottom"/>
          </w:tcPr>
          <w:p w14:paraId="442F7337" w14:textId="77777777" w:rsidR="00CC25B5" w:rsidRDefault="00CC25B5">
            <w:pPr>
              <w:rPr>
                <w:rFonts w:ascii="宋体"/>
                <w:vanish/>
              </w:rPr>
            </w:pPr>
          </w:p>
        </w:tc>
      </w:tr>
      <w:tr w:rsidR="00CC25B5" w14:paraId="442F7342" w14:textId="77777777">
        <w:tc>
          <w:tcPr>
            <w:tcW w:w="0" w:type="auto"/>
            <w:gridSpan w:val="3"/>
            <w:shd w:val="clear" w:color="auto" w:fill="CCEEFF"/>
            <w:tcMar>
              <w:top w:w="40" w:type="dxa"/>
              <w:left w:w="380" w:type="dxa"/>
              <w:bottom w:w="40" w:type="dxa"/>
              <w:right w:w="20" w:type="dxa"/>
            </w:tcMar>
            <w:vAlign w:val="center"/>
          </w:tcPr>
          <w:p w14:paraId="442F7339" w14:textId="77777777" w:rsidR="00CC25B5" w:rsidRDefault="00900968">
            <w:pPr>
              <w:textAlignment w:val="center"/>
            </w:pPr>
            <w:r>
              <w:rPr>
                <w:rFonts w:ascii="Times New Roman" w:eastAsia="宋体" w:hAnsi="Times New Roman"/>
                <w:color w:val="000000"/>
                <w:sz w:val="16"/>
                <w:szCs w:val="16"/>
              </w:rPr>
              <w:t>Dividends paid to noncontrolling interest</w:t>
            </w:r>
          </w:p>
        </w:tc>
        <w:tc>
          <w:tcPr>
            <w:tcW w:w="0" w:type="auto"/>
            <w:gridSpan w:val="3"/>
            <w:shd w:val="clear" w:color="auto" w:fill="CCEEFF"/>
            <w:tcMar>
              <w:top w:w="0" w:type="dxa"/>
              <w:left w:w="20" w:type="dxa"/>
              <w:bottom w:w="0" w:type="dxa"/>
              <w:right w:w="20" w:type="dxa"/>
            </w:tcMar>
            <w:vAlign w:val="bottom"/>
          </w:tcPr>
          <w:p w14:paraId="442F733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3B" w14:textId="77777777" w:rsidR="00CC25B5" w:rsidRDefault="00900968">
            <w:pPr>
              <w:jc w:val="right"/>
              <w:textAlignment w:val="center"/>
            </w:pPr>
            <w:r>
              <w:rPr>
                <w:rFonts w:ascii="Times New Roman" w:eastAsia="宋体" w:hAnsi="Times New Roman"/>
                <w:color w:val="000000"/>
                <w:sz w:val="16"/>
                <w:szCs w:val="16"/>
              </w:rPr>
              <w:t>(14)</w:t>
            </w:r>
          </w:p>
        </w:tc>
        <w:tc>
          <w:tcPr>
            <w:tcW w:w="0" w:type="auto"/>
            <w:shd w:val="clear" w:color="auto" w:fill="CCEEFF"/>
            <w:tcMar>
              <w:top w:w="40" w:type="dxa"/>
              <w:left w:w="0" w:type="dxa"/>
              <w:bottom w:w="40" w:type="dxa"/>
              <w:right w:w="20" w:type="dxa"/>
            </w:tcMar>
            <w:vAlign w:val="center"/>
          </w:tcPr>
          <w:p w14:paraId="442F733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3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3E" w14:textId="77777777" w:rsidR="00CC25B5" w:rsidRDefault="00900968">
            <w:pPr>
              <w:jc w:val="right"/>
              <w:textAlignment w:val="center"/>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center"/>
          </w:tcPr>
          <w:p w14:paraId="442F733F" w14:textId="77777777" w:rsidR="00CC25B5" w:rsidRDefault="00CC25B5">
            <w:pPr>
              <w:jc w:val="right"/>
              <w:rPr>
                <w:rFonts w:ascii="宋体"/>
              </w:rPr>
            </w:pPr>
          </w:p>
        </w:tc>
        <w:tc>
          <w:tcPr>
            <w:tcW w:w="0" w:type="auto"/>
            <w:shd w:val="clear" w:color="auto" w:fill="auto"/>
            <w:vAlign w:val="bottom"/>
          </w:tcPr>
          <w:p w14:paraId="442F7340" w14:textId="77777777" w:rsidR="00CC25B5" w:rsidRDefault="00CC25B5">
            <w:pPr>
              <w:rPr>
                <w:rFonts w:ascii="宋体"/>
                <w:vanish/>
              </w:rPr>
            </w:pPr>
          </w:p>
        </w:tc>
        <w:tc>
          <w:tcPr>
            <w:tcW w:w="0" w:type="auto"/>
            <w:shd w:val="clear" w:color="auto" w:fill="auto"/>
            <w:vAlign w:val="bottom"/>
          </w:tcPr>
          <w:p w14:paraId="442F7341" w14:textId="77777777" w:rsidR="00CC25B5" w:rsidRDefault="00CC25B5">
            <w:pPr>
              <w:rPr>
                <w:rFonts w:ascii="宋体"/>
                <w:vanish/>
              </w:rPr>
            </w:pPr>
          </w:p>
        </w:tc>
      </w:tr>
      <w:tr w:rsidR="00CC25B5" w14:paraId="442F734A" w14:textId="77777777">
        <w:trPr>
          <w:hidden/>
        </w:trPr>
        <w:tc>
          <w:tcPr>
            <w:tcW w:w="0" w:type="auto"/>
            <w:gridSpan w:val="3"/>
            <w:shd w:val="clear" w:color="auto" w:fill="auto"/>
            <w:vAlign w:val="bottom"/>
          </w:tcPr>
          <w:p w14:paraId="442F7343" w14:textId="77777777" w:rsidR="00CC25B5" w:rsidRDefault="00CC25B5">
            <w:pPr>
              <w:rPr>
                <w:rFonts w:ascii="宋体"/>
                <w:vanish/>
              </w:rPr>
            </w:pPr>
          </w:p>
        </w:tc>
        <w:tc>
          <w:tcPr>
            <w:tcW w:w="0" w:type="auto"/>
            <w:gridSpan w:val="3"/>
            <w:shd w:val="clear" w:color="auto" w:fill="auto"/>
            <w:vAlign w:val="bottom"/>
          </w:tcPr>
          <w:p w14:paraId="442F7344" w14:textId="77777777" w:rsidR="00CC25B5" w:rsidRDefault="00CC25B5">
            <w:pPr>
              <w:rPr>
                <w:rFonts w:ascii="宋体"/>
                <w:vanish/>
              </w:rPr>
            </w:pPr>
          </w:p>
        </w:tc>
        <w:tc>
          <w:tcPr>
            <w:tcW w:w="0" w:type="auto"/>
            <w:gridSpan w:val="3"/>
            <w:shd w:val="clear" w:color="auto" w:fill="auto"/>
            <w:vAlign w:val="bottom"/>
          </w:tcPr>
          <w:p w14:paraId="442F7345" w14:textId="77777777" w:rsidR="00CC25B5" w:rsidRDefault="00CC25B5">
            <w:pPr>
              <w:rPr>
                <w:rFonts w:ascii="宋体"/>
                <w:vanish/>
              </w:rPr>
            </w:pPr>
          </w:p>
        </w:tc>
        <w:tc>
          <w:tcPr>
            <w:tcW w:w="0" w:type="auto"/>
            <w:gridSpan w:val="3"/>
            <w:shd w:val="clear" w:color="auto" w:fill="auto"/>
            <w:vAlign w:val="bottom"/>
          </w:tcPr>
          <w:p w14:paraId="442F7346" w14:textId="77777777" w:rsidR="00CC25B5" w:rsidRDefault="00CC25B5">
            <w:pPr>
              <w:rPr>
                <w:rFonts w:ascii="宋体"/>
                <w:vanish/>
              </w:rPr>
            </w:pPr>
          </w:p>
        </w:tc>
        <w:tc>
          <w:tcPr>
            <w:tcW w:w="0" w:type="auto"/>
            <w:gridSpan w:val="3"/>
            <w:shd w:val="clear" w:color="auto" w:fill="auto"/>
            <w:vAlign w:val="bottom"/>
          </w:tcPr>
          <w:p w14:paraId="442F7347" w14:textId="77777777" w:rsidR="00CC25B5" w:rsidRDefault="00CC25B5">
            <w:pPr>
              <w:rPr>
                <w:rFonts w:ascii="宋体"/>
                <w:vanish/>
              </w:rPr>
            </w:pPr>
          </w:p>
        </w:tc>
        <w:tc>
          <w:tcPr>
            <w:tcW w:w="0" w:type="auto"/>
            <w:shd w:val="clear" w:color="auto" w:fill="auto"/>
            <w:vAlign w:val="bottom"/>
          </w:tcPr>
          <w:p w14:paraId="442F7348" w14:textId="77777777" w:rsidR="00CC25B5" w:rsidRDefault="00CC25B5">
            <w:pPr>
              <w:rPr>
                <w:rFonts w:ascii="宋体"/>
                <w:vanish/>
              </w:rPr>
            </w:pPr>
          </w:p>
        </w:tc>
        <w:tc>
          <w:tcPr>
            <w:tcW w:w="0" w:type="auto"/>
            <w:shd w:val="clear" w:color="auto" w:fill="auto"/>
            <w:vAlign w:val="bottom"/>
          </w:tcPr>
          <w:p w14:paraId="442F7349" w14:textId="77777777" w:rsidR="00CC25B5" w:rsidRDefault="00CC25B5">
            <w:pPr>
              <w:rPr>
                <w:rFonts w:ascii="宋体"/>
                <w:vanish/>
              </w:rPr>
            </w:pPr>
          </w:p>
        </w:tc>
      </w:tr>
      <w:tr w:rsidR="00CC25B5" w14:paraId="442F7354" w14:textId="77777777">
        <w:tc>
          <w:tcPr>
            <w:tcW w:w="0" w:type="auto"/>
            <w:gridSpan w:val="3"/>
            <w:shd w:val="clear" w:color="auto" w:fill="FFFFFF"/>
            <w:tcMar>
              <w:top w:w="40" w:type="dxa"/>
              <w:left w:w="380" w:type="dxa"/>
              <w:bottom w:w="40" w:type="dxa"/>
              <w:right w:w="20" w:type="dxa"/>
            </w:tcMar>
            <w:vAlign w:val="center"/>
          </w:tcPr>
          <w:p w14:paraId="442F734B" w14:textId="77777777" w:rsidR="00CC25B5" w:rsidRDefault="00900968">
            <w:pPr>
              <w:textAlignment w:val="center"/>
            </w:pPr>
            <w:r>
              <w:rPr>
                <w:rFonts w:ascii="Times New Roman" w:eastAsia="宋体" w:hAnsi="Times New Roman"/>
                <w:color w:val="000000"/>
                <w:sz w:val="16"/>
                <w:szCs w:val="16"/>
              </w:rPr>
              <w:t>Other financing activities</w:t>
            </w:r>
          </w:p>
        </w:tc>
        <w:tc>
          <w:tcPr>
            <w:tcW w:w="0" w:type="auto"/>
            <w:gridSpan w:val="3"/>
            <w:shd w:val="clear" w:color="auto" w:fill="FFFFFF"/>
            <w:tcMar>
              <w:top w:w="0" w:type="dxa"/>
              <w:left w:w="20" w:type="dxa"/>
              <w:bottom w:w="0" w:type="dxa"/>
              <w:right w:w="20" w:type="dxa"/>
            </w:tcMar>
            <w:vAlign w:val="bottom"/>
          </w:tcPr>
          <w:p w14:paraId="442F734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4D" w14:textId="77777777" w:rsidR="00CC25B5" w:rsidRDefault="00900968">
            <w:pPr>
              <w:jc w:val="right"/>
              <w:textAlignment w:val="center"/>
            </w:pPr>
            <w:r>
              <w:rPr>
                <w:rFonts w:ascii="Times New Roman" w:eastAsia="宋体" w:hAnsi="Times New Roman"/>
                <w:color w:val="000000"/>
                <w:sz w:val="16"/>
                <w:szCs w:val="16"/>
              </w:rPr>
              <w:t>(685)</w:t>
            </w:r>
          </w:p>
        </w:tc>
        <w:tc>
          <w:tcPr>
            <w:tcW w:w="0" w:type="auto"/>
            <w:shd w:val="clear" w:color="auto" w:fill="FFFFFF"/>
            <w:tcMar>
              <w:top w:w="40" w:type="dxa"/>
              <w:left w:w="0" w:type="dxa"/>
              <w:bottom w:w="40" w:type="dxa"/>
              <w:right w:w="20" w:type="dxa"/>
            </w:tcMar>
            <w:vAlign w:val="center"/>
          </w:tcPr>
          <w:p w14:paraId="442F734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34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50" w14:textId="77777777" w:rsidR="00CC25B5" w:rsidRDefault="00900968">
            <w:pPr>
              <w:jc w:val="right"/>
              <w:textAlignment w:val="center"/>
            </w:pPr>
            <w:r>
              <w:rPr>
                <w:rFonts w:ascii="Times New Roman" w:eastAsia="宋体" w:hAnsi="Times New Roman"/>
                <w:color w:val="000000"/>
                <w:sz w:val="16"/>
                <w:szCs w:val="16"/>
              </w:rPr>
              <w:t>(852)</w:t>
            </w:r>
          </w:p>
        </w:tc>
        <w:tc>
          <w:tcPr>
            <w:tcW w:w="0" w:type="auto"/>
            <w:shd w:val="clear" w:color="auto" w:fill="FFFFFF"/>
            <w:tcMar>
              <w:top w:w="40" w:type="dxa"/>
              <w:left w:w="0" w:type="dxa"/>
              <w:bottom w:w="40" w:type="dxa"/>
              <w:right w:w="20" w:type="dxa"/>
            </w:tcMar>
            <w:vAlign w:val="center"/>
          </w:tcPr>
          <w:p w14:paraId="442F7351" w14:textId="77777777" w:rsidR="00CC25B5" w:rsidRDefault="00CC25B5">
            <w:pPr>
              <w:jc w:val="right"/>
              <w:rPr>
                <w:rFonts w:ascii="宋体"/>
              </w:rPr>
            </w:pPr>
          </w:p>
        </w:tc>
        <w:tc>
          <w:tcPr>
            <w:tcW w:w="0" w:type="auto"/>
            <w:shd w:val="clear" w:color="auto" w:fill="auto"/>
            <w:vAlign w:val="bottom"/>
          </w:tcPr>
          <w:p w14:paraId="442F7352" w14:textId="77777777" w:rsidR="00CC25B5" w:rsidRDefault="00CC25B5">
            <w:pPr>
              <w:rPr>
                <w:rFonts w:ascii="宋体"/>
                <w:vanish/>
              </w:rPr>
            </w:pPr>
          </w:p>
        </w:tc>
        <w:tc>
          <w:tcPr>
            <w:tcW w:w="0" w:type="auto"/>
            <w:shd w:val="clear" w:color="auto" w:fill="auto"/>
            <w:vAlign w:val="bottom"/>
          </w:tcPr>
          <w:p w14:paraId="442F7353" w14:textId="77777777" w:rsidR="00CC25B5" w:rsidRDefault="00CC25B5">
            <w:pPr>
              <w:rPr>
                <w:rFonts w:ascii="宋体"/>
                <w:vanish/>
              </w:rPr>
            </w:pPr>
          </w:p>
        </w:tc>
      </w:tr>
      <w:tr w:rsidR="00CC25B5" w14:paraId="442F735E" w14:textId="77777777">
        <w:tc>
          <w:tcPr>
            <w:tcW w:w="0" w:type="auto"/>
            <w:gridSpan w:val="3"/>
            <w:shd w:val="clear" w:color="auto" w:fill="CCEEFF"/>
            <w:tcMar>
              <w:top w:w="40" w:type="dxa"/>
              <w:left w:w="20" w:type="dxa"/>
              <w:bottom w:w="40" w:type="dxa"/>
              <w:right w:w="20" w:type="dxa"/>
            </w:tcMar>
            <w:vAlign w:val="center"/>
          </w:tcPr>
          <w:p w14:paraId="442F7355" w14:textId="77777777" w:rsidR="00CC25B5" w:rsidRDefault="00900968">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442F7356"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357" w14:textId="77777777" w:rsidR="00CC25B5" w:rsidRDefault="00900968">
            <w:pPr>
              <w:jc w:val="right"/>
              <w:textAlignment w:val="center"/>
            </w:pPr>
            <w:r>
              <w:rPr>
                <w:rFonts w:ascii="Times New Roman" w:eastAsia="宋体" w:hAnsi="Times New Roman"/>
                <w:color w:val="000000"/>
                <w:sz w:val="16"/>
                <w:szCs w:val="16"/>
              </w:rPr>
              <w:t>(11,559)</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35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59"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35A" w14:textId="77777777" w:rsidR="00CC25B5" w:rsidRDefault="00900968">
            <w:pPr>
              <w:jc w:val="right"/>
              <w:textAlignment w:val="center"/>
            </w:pPr>
            <w:r>
              <w:rPr>
                <w:rFonts w:ascii="Times New Roman" w:eastAsia="宋体" w:hAnsi="Times New Roman"/>
                <w:color w:val="000000"/>
                <w:sz w:val="16"/>
                <w:szCs w:val="16"/>
              </w:rPr>
              <w:t>(7,814)</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35B" w14:textId="77777777" w:rsidR="00CC25B5" w:rsidRDefault="00CC25B5">
            <w:pPr>
              <w:jc w:val="right"/>
              <w:rPr>
                <w:rFonts w:ascii="宋体"/>
              </w:rPr>
            </w:pPr>
          </w:p>
        </w:tc>
        <w:tc>
          <w:tcPr>
            <w:tcW w:w="0" w:type="auto"/>
            <w:shd w:val="clear" w:color="auto" w:fill="auto"/>
            <w:vAlign w:val="bottom"/>
          </w:tcPr>
          <w:p w14:paraId="442F735C" w14:textId="77777777" w:rsidR="00CC25B5" w:rsidRDefault="00CC25B5">
            <w:pPr>
              <w:rPr>
                <w:rFonts w:ascii="宋体"/>
                <w:vanish/>
              </w:rPr>
            </w:pPr>
          </w:p>
        </w:tc>
        <w:tc>
          <w:tcPr>
            <w:tcW w:w="0" w:type="auto"/>
            <w:shd w:val="clear" w:color="auto" w:fill="auto"/>
            <w:vAlign w:val="bottom"/>
          </w:tcPr>
          <w:p w14:paraId="442F735D" w14:textId="77777777" w:rsidR="00CC25B5" w:rsidRDefault="00CC25B5">
            <w:pPr>
              <w:rPr>
                <w:rFonts w:ascii="宋体"/>
                <w:vanish/>
              </w:rPr>
            </w:pPr>
          </w:p>
        </w:tc>
      </w:tr>
      <w:tr w:rsidR="00CC25B5" w14:paraId="442F7366" w14:textId="77777777">
        <w:trPr>
          <w:trHeight w:val="220"/>
        </w:trPr>
        <w:tc>
          <w:tcPr>
            <w:tcW w:w="0" w:type="auto"/>
            <w:gridSpan w:val="3"/>
            <w:shd w:val="clear" w:color="auto" w:fill="FFFFFF"/>
            <w:tcMar>
              <w:top w:w="0" w:type="dxa"/>
              <w:left w:w="20" w:type="dxa"/>
              <w:bottom w:w="0" w:type="dxa"/>
              <w:right w:w="20" w:type="dxa"/>
            </w:tcMar>
            <w:vAlign w:val="bottom"/>
          </w:tcPr>
          <w:p w14:paraId="442F735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36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36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36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363" w14:textId="77777777" w:rsidR="00CC25B5" w:rsidRDefault="00CC25B5">
            <w:pPr>
              <w:rPr>
                <w:rFonts w:ascii="宋体"/>
              </w:rPr>
            </w:pPr>
          </w:p>
        </w:tc>
        <w:tc>
          <w:tcPr>
            <w:tcW w:w="0" w:type="auto"/>
            <w:shd w:val="clear" w:color="auto" w:fill="auto"/>
            <w:vAlign w:val="bottom"/>
          </w:tcPr>
          <w:p w14:paraId="442F7364" w14:textId="77777777" w:rsidR="00CC25B5" w:rsidRDefault="00CC25B5">
            <w:pPr>
              <w:rPr>
                <w:rFonts w:ascii="宋体"/>
                <w:vanish/>
              </w:rPr>
            </w:pPr>
          </w:p>
        </w:tc>
        <w:tc>
          <w:tcPr>
            <w:tcW w:w="0" w:type="auto"/>
            <w:shd w:val="clear" w:color="auto" w:fill="auto"/>
            <w:vAlign w:val="bottom"/>
          </w:tcPr>
          <w:p w14:paraId="442F7365" w14:textId="77777777" w:rsidR="00CC25B5" w:rsidRDefault="00CC25B5">
            <w:pPr>
              <w:rPr>
                <w:rFonts w:ascii="宋体"/>
                <w:vanish/>
              </w:rPr>
            </w:pPr>
          </w:p>
        </w:tc>
      </w:tr>
      <w:tr w:rsidR="00CC25B5" w14:paraId="442F7370" w14:textId="77777777">
        <w:tc>
          <w:tcPr>
            <w:tcW w:w="0" w:type="auto"/>
            <w:gridSpan w:val="3"/>
            <w:shd w:val="clear" w:color="auto" w:fill="CCEEFF"/>
            <w:tcMar>
              <w:top w:w="40" w:type="dxa"/>
              <w:left w:w="20" w:type="dxa"/>
              <w:bottom w:w="40" w:type="dxa"/>
              <w:right w:w="20" w:type="dxa"/>
            </w:tcMar>
            <w:vAlign w:val="center"/>
          </w:tcPr>
          <w:p w14:paraId="442F7367" w14:textId="77777777" w:rsidR="00CC25B5" w:rsidRDefault="00900968">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CCEEFF"/>
            <w:tcMar>
              <w:top w:w="0" w:type="dxa"/>
              <w:left w:w="20" w:type="dxa"/>
              <w:bottom w:w="0" w:type="dxa"/>
              <w:right w:w="20" w:type="dxa"/>
            </w:tcMar>
            <w:vAlign w:val="bottom"/>
          </w:tcPr>
          <w:p w14:paraId="442F736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69" w14:textId="77777777" w:rsidR="00CC25B5" w:rsidRDefault="00900968">
            <w:pPr>
              <w:jc w:val="right"/>
              <w:textAlignment w:val="center"/>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center"/>
          </w:tcPr>
          <w:p w14:paraId="442F736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6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6C" w14:textId="77777777" w:rsidR="00CC25B5" w:rsidRDefault="00900968">
            <w:pPr>
              <w:jc w:val="right"/>
              <w:textAlignment w:val="center"/>
            </w:pPr>
            <w:r>
              <w:rPr>
                <w:rFonts w:ascii="Times New Roman" w:eastAsia="宋体" w:hAnsi="Times New Roman"/>
                <w:color w:val="000000"/>
                <w:sz w:val="16"/>
                <w:szCs w:val="16"/>
              </w:rPr>
              <w:t>(69)</w:t>
            </w:r>
          </w:p>
        </w:tc>
        <w:tc>
          <w:tcPr>
            <w:tcW w:w="0" w:type="auto"/>
            <w:shd w:val="clear" w:color="auto" w:fill="CCEEFF"/>
            <w:tcMar>
              <w:top w:w="40" w:type="dxa"/>
              <w:left w:w="0" w:type="dxa"/>
              <w:bottom w:w="40" w:type="dxa"/>
              <w:right w:w="20" w:type="dxa"/>
            </w:tcMar>
            <w:vAlign w:val="center"/>
          </w:tcPr>
          <w:p w14:paraId="442F736D" w14:textId="77777777" w:rsidR="00CC25B5" w:rsidRDefault="00CC25B5">
            <w:pPr>
              <w:jc w:val="right"/>
              <w:rPr>
                <w:rFonts w:ascii="宋体"/>
              </w:rPr>
            </w:pPr>
          </w:p>
        </w:tc>
        <w:tc>
          <w:tcPr>
            <w:tcW w:w="0" w:type="auto"/>
            <w:shd w:val="clear" w:color="auto" w:fill="auto"/>
            <w:vAlign w:val="bottom"/>
          </w:tcPr>
          <w:p w14:paraId="442F736E" w14:textId="77777777" w:rsidR="00CC25B5" w:rsidRDefault="00CC25B5">
            <w:pPr>
              <w:rPr>
                <w:rFonts w:ascii="宋体"/>
                <w:vanish/>
              </w:rPr>
            </w:pPr>
          </w:p>
        </w:tc>
        <w:tc>
          <w:tcPr>
            <w:tcW w:w="0" w:type="auto"/>
            <w:shd w:val="clear" w:color="auto" w:fill="auto"/>
            <w:vAlign w:val="bottom"/>
          </w:tcPr>
          <w:p w14:paraId="442F736F" w14:textId="77777777" w:rsidR="00CC25B5" w:rsidRDefault="00CC25B5">
            <w:pPr>
              <w:rPr>
                <w:rFonts w:ascii="宋体"/>
                <w:vanish/>
              </w:rPr>
            </w:pPr>
          </w:p>
        </w:tc>
      </w:tr>
      <w:tr w:rsidR="00CC25B5" w14:paraId="442F7378" w14:textId="77777777">
        <w:trPr>
          <w:trHeight w:val="220"/>
        </w:trPr>
        <w:tc>
          <w:tcPr>
            <w:tcW w:w="0" w:type="auto"/>
            <w:gridSpan w:val="3"/>
            <w:shd w:val="clear" w:color="auto" w:fill="FFFFFF"/>
            <w:tcMar>
              <w:top w:w="0" w:type="dxa"/>
              <w:left w:w="20" w:type="dxa"/>
              <w:bottom w:w="0" w:type="dxa"/>
              <w:right w:w="20" w:type="dxa"/>
            </w:tcMar>
            <w:vAlign w:val="bottom"/>
          </w:tcPr>
          <w:p w14:paraId="442F737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372"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37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374"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375" w14:textId="77777777" w:rsidR="00CC25B5" w:rsidRDefault="00CC25B5">
            <w:pPr>
              <w:rPr>
                <w:rFonts w:ascii="宋体"/>
              </w:rPr>
            </w:pPr>
          </w:p>
        </w:tc>
        <w:tc>
          <w:tcPr>
            <w:tcW w:w="0" w:type="auto"/>
            <w:shd w:val="clear" w:color="auto" w:fill="auto"/>
            <w:vAlign w:val="bottom"/>
          </w:tcPr>
          <w:p w14:paraId="442F7376" w14:textId="77777777" w:rsidR="00CC25B5" w:rsidRDefault="00CC25B5">
            <w:pPr>
              <w:rPr>
                <w:rFonts w:ascii="宋体"/>
                <w:vanish/>
              </w:rPr>
            </w:pPr>
          </w:p>
        </w:tc>
        <w:tc>
          <w:tcPr>
            <w:tcW w:w="0" w:type="auto"/>
            <w:shd w:val="clear" w:color="auto" w:fill="auto"/>
            <w:vAlign w:val="bottom"/>
          </w:tcPr>
          <w:p w14:paraId="442F7377" w14:textId="77777777" w:rsidR="00CC25B5" w:rsidRDefault="00CC25B5">
            <w:pPr>
              <w:rPr>
                <w:rFonts w:ascii="宋体"/>
                <w:vanish/>
              </w:rPr>
            </w:pPr>
          </w:p>
        </w:tc>
      </w:tr>
      <w:tr w:rsidR="00CC25B5" w14:paraId="442F7382" w14:textId="77777777">
        <w:tc>
          <w:tcPr>
            <w:tcW w:w="0" w:type="auto"/>
            <w:gridSpan w:val="3"/>
            <w:shd w:val="clear" w:color="auto" w:fill="CCEEFF"/>
            <w:tcMar>
              <w:top w:w="40" w:type="dxa"/>
              <w:left w:w="20" w:type="dxa"/>
              <w:bottom w:w="40" w:type="dxa"/>
              <w:right w:w="20" w:type="dxa"/>
            </w:tcMar>
            <w:vAlign w:val="center"/>
          </w:tcPr>
          <w:p w14:paraId="442F7379" w14:textId="77777777" w:rsidR="00CC25B5" w:rsidRDefault="00900968">
            <w:pPr>
              <w:textAlignment w:val="center"/>
            </w:pPr>
            <w:r>
              <w:rPr>
                <w:rFonts w:ascii="Times New Roman" w:eastAsia="宋体" w:hAnsi="Times New Roman"/>
                <w:color w:val="000000"/>
                <w:sz w:val="16"/>
                <w:szCs w:val="16"/>
              </w:rPr>
              <w:t>Net increase in cash, cash equivalents and restricted cash</w:t>
            </w:r>
          </w:p>
        </w:tc>
        <w:tc>
          <w:tcPr>
            <w:tcW w:w="0" w:type="auto"/>
            <w:gridSpan w:val="3"/>
            <w:shd w:val="clear" w:color="auto" w:fill="CCEEFF"/>
            <w:tcMar>
              <w:top w:w="0" w:type="dxa"/>
              <w:left w:w="20" w:type="dxa"/>
              <w:bottom w:w="0" w:type="dxa"/>
              <w:right w:w="20" w:type="dxa"/>
            </w:tcMar>
            <w:vAlign w:val="bottom"/>
          </w:tcPr>
          <w:p w14:paraId="442F737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7B" w14:textId="77777777" w:rsidR="00CC25B5" w:rsidRDefault="00900968">
            <w:pPr>
              <w:jc w:val="right"/>
              <w:textAlignment w:val="center"/>
            </w:pPr>
            <w:r>
              <w:rPr>
                <w:rFonts w:ascii="Times New Roman" w:eastAsia="宋体" w:hAnsi="Times New Roman"/>
                <w:color w:val="000000"/>
                <w:sz w:val="16"/>
                <w:szCs w:val="16"/>
              </w:rPr>
              <w:t>3,245 </w:t>
            </w:r>
          </w:p>
        </w:tc>
        <w:tc>
          <w:tcPr>
            <w:tcW w:w="0" w:type="auto"/>
            <w:shd w:val="clear" w:color="auto" w:fill="CCEEFF"/>
            <w:tcMar>
              <w:top w:w="40" w:type="dxa"/>
              <w:left w:w="0" w:type="dxa"/>
              <w:bottom w:w="40" w:type="dxa"/>
              <w:right w:w="20" w:type="dxa"/>
            </w:tcMar>
            <w:vAlign w:val="center"/>
          </w:tcPr>
          <w:p w14:paraId="442F737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7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7E" w14:textId="77777777" w:rsidR="00CC25B5" w:rsidRDefault="00900968">
            <w:pPr>
              <w:jc w:val="right"/>
              <w:textAlignment w:val="center"/>
            </w:pPr>
            <w:r>
              <w:rPr>
                <w:rFonts w:ascii="Times New Roman" w:eastAsia="宋体" w:hAnsi="Times New Roman"/>
                <w:color w:val="000000"/>
                <w:sz w:val="16"/>
                <w:szCs w:val="16"/>
              </w:rPr>
              <w:t>7,439 </w:t>
            </w:r>
          </w:p>
        </w:tc>
        <w:tc>
          <w:tcPr>
            <w:tcW w:w="0" w:type="auto"/>
            <w:shd w:val="clear" w:color="auto" w:fill="CCEEFF"/>
            <w:tcMar>
              <w:top w:w="40" w:type="dxa"/>
              <w:left w:w="0" w:type="dxa"/>
              <w:bottom w:w="40" w:type="dxa"/>
              <w:right w:w="20" w:type="dxa"/>
            </w:tcMar>
            <w:vAlign w:val="center"/>
          </w:tcPr>
          <w:p w14:paraId="442F737F" w14:textId="77777777" w:rsidR="00CC25B5" w:rsidRDefault="00CC25B5">
            <w:pPr>
              <w:jc w:val="right"/>
              <w:rPr>
                <w:rFonts w:ascii="宋体"/>
              </w:rPr>
            </w:pPr>
          </w:p>
        </w:tc>
        <w:tc>
          <w:tcPr>
            <w:tcW w:w="0" w:type="auto"/>
            <w:shd w:val="clear" w:color="auto" w:fill="auto"/>
            <w:vAlign w:val="bottom"/>
          </w:tcPr>
          <w:p w14:paraId="442F7380" w14:textId="77777777" w:rsidR="00CC25B5" w:rsidRDefault="00CC25B5">
            <w:pPr>
              <w:rPr>
                <w:rFonts w:ascii="宋体"/>
                <w:vanish/>
              </w:rPr>
            </w:pPr>
          </w:p>
        </w:tc>
        <w:tc>
          <w:tcPr>
            <w:tcW w:w="0" w:type="auto"/>
            <w:shd w:val="clear" w:color="auto" w:fill="auto"/>
            <w:vAlign w:val="bottom"/>
          </w:tcPr>
          <w:p w14:paraId="442F7381" w14:textId="77777777" w:rsidR="00CC25B5" w:rsidRDefault="00CC25B5">
            <w:pPr>
              <w:rPr>
                <w:rFonts w:ascii="宋体"/>
                <w:vanish/>
              </w:rPr>
            </w:pPr>
          </w:p>
        </w:tc>
      </w:tr>
      <w:tr w:rsidR="00CC25B5" w14:paraId="442F738C" w14:textId="77777777">
        <w:tc>
          <w:tcPr>
            <w:tcW w:w="0" w:type="auto"/>
            <w:gridSpan w:val="3"/>
            <w:shd w:val="clear" w:color="auto" w:fill="FFFFFF"/>
            <w:tcMar>
              <w:top w:w="40" w:type="dxa"/>
              <w:left w:w="20" w:type="dxa"/>
              <w:bottom w:w="40" w:type="dxa"/>
              <w:right w:w="20" w:type="dxa"/>
            </w:tcMar>
            <w:vAlign w:val="center"/>
          </w:tcPr>
          <w:p w14:paraId="442F7383" w14:textId="77777777" w:rsidR="00CC25B5" w:rsidRDefault="00900968">
            <w:pPr>
              <w:textAlignment w:val="center"/>
            </w:pPr>
            <w:r>
              <w:rPr>
                <w:rFonts w:ascii="Times New Roman" w:eastAsia="宋体" w:hAnsi="Times New Roman"/>
                <w:color w:val="000000"/>
                <w:sz w:val="16"/>
                <w:szCs w:val="16"/>
              </w:rPr>
              <w:t>Change in cash and cash equivalents classified as held for sale</w:t>
            </w:r>
          </w:p>
        </w:tc>
        <w:tc>
          <w:tcPr>
            <w:tcW w:w="0" w:type="auto"/>
            <w:gridSpan w:val="3"/>
            <w:shd w:val="clear" w:color="auto" w:fill="FFFFFF"/>
            <w:tcMar>
              <w:top w:w="0" w:type="dxa"/>
              <w:left w:w="20" w:type="dxa"/>
              <w:bottom w:w="0" w:type="dxa"/>
              <w:right w:w="20" w:type="dxa"/>
            </w:tcMar>
            <w:vAlign w:val="bottom"/>
          </w:tcPr>
          <w:p w14:paraId="442F738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85" w14:textId="77777777" w:rsidR="00CC25B5" w:rsidRDefault="00900968">
            <w:pPr>
              <w:jc w:val="right"/>
              <w:textAlignment w:val="center"/>
            </w:pPr>
            <w:r>
              <w:rPr>
                <w:rFonts w:ascii="Times New Roman" w:eastAsia="宋体" w:hAnsi="Times New Roman"/>
                <w:color w:val="000000"/>
                <w:sz w:val="16"/>
                <w:szCs w:val="16"/>
              </w:rPr>
              <w:t>1,848 </w:t>
            </w:r>
          </w:p>
        </w:tc>
        <w:tc>
          <w:tcPr>
            <w:tcW w:w="0" w:type="auto"/>
            <w:shd w:val="clear" w:color="auto" w:fill="FFFFFF"/>
            <w:tcMar>
              <w:top w:w="40" w:type="dxa"/>
              <w:left w:w="0" w:type="dxa"/>
              <w:bottom w:w="40" w:type="dxa"/>
              <w:right w:w="20" w:type="dxa"/>
            </w:tcMar>
            <w:vAlign w:val="center"/>
          </w:tcPr>
          <w:p w14:paraId="442F738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38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388"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389" w14:textId="77777777" w:rsidR="00CC25B5" w:rsidRDefault="00CC25B5">
            <w:pPr>
              <w:jc w:val="right"/>
              <w:rPr>
                <w:rFonts w:ascii="宋体"/>
              </w:rPr>
            </w:pPr>
          </w:p>
        </w:tc>
        <w:tc>
          <w:tcPr>
            <w:tcW w:w="0" w:type="auto"/>
            <w:shd w:val="clear" w:color="auto" w:fill="auto"/>
            <w:vAlign w:val="bottom"/>
          </w:tcPr>
          <w:p w14:paraId="442F738A" w14:textId="77777777" w:rsidR="00CC25B5" w:rsidRDefault="00CC25B5">
            <w:pPr>
              <w:rPr>
                <w:rFonts w:ascii="宋体"/>
                <w:vanish/>
              </w:rPr>
            </w:pPr>
          </w:p>
        </w:tc>
        <w:tc>
          <w:tcPr>
            <w:tcW w:w="0" w:type="auto"/>
            <w:shd w:val="clear" w:color="auto" w:fill="auto"/>
            <w:vAlign w:val="bottom"/>
          </w:tcPr>
          <w:p w14:paraId="442F738B" w14:textId="77777777" w:rsidR="00CC25B5" w:rsidRDefault="00CC25B5">
            <w:pPr>
              <w:rPr>
                <w:rFonts w:ascii="宋体"/>
                <w:vanish/>
              </w:rPr>
            </w:pPr>
          </w:p>
        </w:tc>
      </w:tr>
      <w:tr w:rsidR="00CC25B5" w14:paraId="442F7396" w14:textId="77777777">
        <w:tc>
          <w:tcPr>
            <w:tcW w:w="0" w:type="auto"/>
            <w:gridSpan w:val="3"/>
            <w:shd w:val="clear" w:color="auto" w:fill="CCEEFF"/>
            <w:tcMar>
              <w:top w:w="40" w:type="dxa"/>
              <w:left w:w="20" w:type="dxa"/>
              <w:bottom w:w="40" w:type="dxa"/>
              <w:right w:w="20" w:type="dxa"/>
            </w:tcMar>
            <w:vAlign w:val="center"/>
          </w:tcPr>
          <w:p w14:paraId="442F738D" w14:textId="77777777" w:rsidR="00CC25B5" w:rsidRDefault="00900968">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vAlign w:val="bottom"/>
          </w:tcPr>
          <w:p w14:paraId="442F738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8F" w14:textId="77777777" w:rsidR="00CC25B5" w:rsidRDefault="00900968">
            <w:pPr>
              <w:jc w:val="right"/>
              <w:textAlignment w:val="center"/>
            </w:pPr>
            <w:r>
              <w:rPr>
                <w:rFonts w:ascii="Times New Roman" w:eastAsia="宋体" w:hAnsi="Times New Roman"/>
                <w:color w:val="000000"/>
                <w:sz w:val="16"/>
                <w:szCs w:val="16"/>
              </w:rPr>
              <w:t>17,788 </w:t>
            </w:r>
          </w:p>
        </w:tc>
        <w:tc>
          <w:tcPr>
            <w:tcW w:w="0" w:type="auto"/>
            <w:shd w:val="clear" w:color="auto" w:fill="CCEEFF"/>
            <w:tcMar>
              <w:top w:w="40" w:type="dxa"/>
              <w:left w:w="0" w:type="dxa"/>
              <w:bottom w:w="40" w:type="dxa"/>
              <w:right w:w="20" w:type="dxa"/>
            </w:tcMar>
            <w:vAlign w:val="center"/>
          </w:tcPr>
          <w:p w14:paraId="442F739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39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392" w14:textId="77777777" w:rsidR="00CC25B5" w:rsidRDefault="00900968">
            <w:pPr>
              <w:jc w:val="right"/>
              <w:textAlignment w:val="center"/>
            </w:pPr>
            <w:r>
              <w:rPr>
                <w:rFonts w:ascii="Times New Roman" w:eastAsia="宋体" w:hAnsi="Times New Roman"/>
                <w:color w:val="000000"/>
                <w:sz w:val="16"/>
                <w:szCs w:val="16"/>
              </w:rPr>
              <w:t>9,515 </w:t>
            </w:r>
          </w:p>
        </w:tc>
        <w:tc>
          <w:tcPr>
            <w:tcW w:w="0" w:type="auto"/>
            <w:shd w:val="clear" w:color="auto" w:fill="CCEEFF"/>
            <w:tcMar>
              <w:top w:w="40" w:type="dxa"/>
              <w:left w:w="0" w:type="dxa"/>
              <w:bottom w:w="40" w:type="dxa"/>
              <w:right w:w="20" w:type="dxa"/>
            </w:tcMar>
            <w:vAlign w:val="center"/>
          </w:tcPr>
          <w:p w14:paraId="442F7393" w14:textId="77777777" w:rsidR="00CC25B5" w:rsidRDefault="00CC25B5">
            <w:pPr>
              <w:jc w:val="right"/>
              <w:rPr>
                <w:rFonts w:ascii="宋体"/>
              </w:rPr>
            </w:pPr>
          </w:p>
        </w:tc>
        <w:tc>
          <w:tcPr>
            <w:tcW w:w="0" w:type="auto"/>
            <w:shd w:val="clear" w:color="auto" w:fill="auto"/>
            <w:vAlign w:val="bottom"/>
          </w:tcPr>
          <w:p w14:paraId="442F7394" w14:textId="77777777" w:rsidR="00CC25B5" w:rsidRDefault="00CC25B5">
            <w:pPr>
              <w:rPr>
                <w:rFonts w:ascii="宋体"/>
                <w:vanish/>
              </w:rPr>
            </w:pPr>
          </w:p>
        </w:tc>
        <w:tc>
          <w:tcPr>
            <w:tcW w:w="0" w:type="auto"/>
            <w:shd w:val="clear" w:color="auto" w:fill="auto"/>
            <w:vAlign w:val="bottom"/>
          </w:tcPr>
          <w:p w14:paraId="442F7395" w14:textId="77777777" w:rsidR="00CC25B5" w:rsidRDefault="00CC25B5">
            <w:pPr>
              <w:rPr>
                <w:rFonts w:ascii="宋体"/>
                <w:vanish/>
              </w:rPr>
            </w:pPr>
          </w:p>
        </w:tc>
      </w:tr>
      <w:tr w:rsidR="00CC25B5" w14:paraId="442F73A2" w14:textId="77777777">
        <w:tc>
          <w:tcPr>
            <w:tcW w:w="0" w:type="auto"/>
            <w:gridSpan w:val="3"/>
            <w:shd w:val="clear" w:color="auto" w:fill="FFFFFF"/>
            <w:tcMar>
              <w:top w:w="40" w:type="dxa"/>
              <w:left w:w="20" w:type="dxa"/>
              <w:bottom w:w="40" w:type="dxa"/>
              <w:right w:w="20" w:type="dxa"/>
            </w:tcMar>
            <w:vAlign w:val="center"/>
          </w:tcPr>
          <w:p w14:paraId="442F7397" w14:textId="77777777" w:rsidR="00CC25B5" w:rsidRDefault="00900968">
            <w:pPr>
              <w:textAlignment w:val="center"/>
            </w:pPr>
            <w:r>
              <w:rPr>
                <w:rFonts w:ascii="Times New Roman" w:eastAsia="宋体" w:hAnsi="Times New Roman"/>
                <w:color w:val="000000"/>
                <w:sz w:val="16"/>
                <w:szCs w:val="16"/>
              </w:rPr>
              <w:t>Cash, cash equivalents and restricted cash at end of period</w:t>
            </w:r>
          </w:p>
        </w:tc>
        <w:tc>
          <w:tcPr>
            <w:tcW w:w="0" w:type="auto"/>
            <w:gridSpan w:val="3"/>
            <w:shd w:val="clear" w:color="auto" w:fill="FFFFFF"/>
            <w:tcMar>
              <w:top w:w="0" w:type="dxa"/>
              <w:left w:w="20" w:type="dxa"/>
              <w:bottom w:w="0" w:type="dxa"/>
              <w:right w:w="20" w:type="dxa"/>
            </w:tcMar>
            <w:vAlign w:val="bottom"/>
          </w:tcPr>
          <w:p w14:paraId="442F7398"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39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39A" w14:textId="77777777" w:rsidR="00CC25B5" w:rsidRDefault="00900968">
            <w:pPr>
              <w:jc w:val="right"/>
              <w:textAlignment w:val="center"/>
            </w:pPr>
            <w:r>
              <w:rPr>
                <w:rFonts w:ascii="Times New Roman" w:eastAsia="宋体" w:hAnsi="Times New Roman"/>
                <w:color w:val="000000"/>
                <w:sz w:val="16"/>
                <w:szCs w:val="16"/>
              </w:rPr>
              <w:t>22,881 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39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39C"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39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39E" w14:textId="77777777" w:rsidR="00CC25B5" w:rsidRDefault="00900968">
            <w:pPr>
              <w:jc w:val="right"/>
              <w:textAlignment w:val="center"/>
            </w:pPr>
            <w:r>
              <w:rPr>
                <w:rFonts w:ascii="Times New Roman" w:eastAsia="宋体" w:hAnsi="Times New Roman"/>
                <w:color w:val="000000"/>
                <w:sz w:val="16"/>
                <w:szCs w:val="16"/>
              </w:rPr>
              <w:t>16,954 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39F" w14:textId="77777777" w:rsidR="00CC25B5" w:rsidRDefault="00CC25B5">
            <w:pPr>
              <w:jc w:val="right"/>
              <w:rPr>
                <w:rFonts w:ascii="宋体"/>
              </w:rPr>
            </w:pPr>
          </w:p>
        </w:tc>
        <w:tc>
          <w:tcPr>
            <w:tcW w:w="0" w:type="auto"/>
            <w:shd w:val="clear" w:color="auto" w:fill="auto"/>
            <w:vAlign w:val="bottom"/>
          </w:tcPr>
          <w:p w14:paraId="442F73A0" w14:textId="77777777" w:rsidR="00CC25B5" w:rsidRDefault="00CC25B5">
            <w:pPr>
              <w:rPr>
                <w:rFonts w:ascii="宋体"/>
                <w:vanish/>
              </w:rPr>
            </w:pPr>
          </w:p>
        </w:tc>
        <w:tc>
          <w:tcPr>
            <w:tcW w:w="0" w:type="auto"/>
            <w:shd w:val="clear" w:color="auto" w:fill="auto"/>
            <w:vAlign w:val="bottom"/>
          </w:tcPr>
          <w:p w14:paraId="442F73A1" w14:textId="77777777" w:rsidR="00CC25B5" w:rsidRDefault="00CC25B5">
            <w:pPr>
              <w:rPr>
                <w:rFonts w:ascii="宋体"/>
                <w:vanish/>
              </w:rPr>
            </w:pPr>
          </w:p>
        </w:tc>
      </w:tr>
      <w:tr w:rsidR="00CC25B5" w14:paraId="442F73AA" w14:textId="77777777">
        <w:trPr>
          <w:hidden/>
        </w:trPr>
        <w:tc>
          <w:tcPr>
            <w:tcW w:w="0" w:type="auto"/>
            <w:gridSpan w:val="3"/>
            <w:shd w:val="clear" w:color="auto" w:fill="auto"/>
            <w:vAlign w:val="bottom"/>
          </w:tcPr>
          <w:p w14:paraId="442F73A3" w14:textId="77777777" w:rsidR="00CC25B5" w:rsidRDefault="00CC25B5">
            <w:pPr>
              <w:rPr>
                <w:rFonts w:ascii="宋体"/>
                <w:vanish/>
              </w:rPr>
            </w:pPr>
          </w:p>
        </w:tc>
        <w:tc>
          <w:tcPr>
            <w:tcW w:w="0" w:type="auto"/>
            <w:gridSpan w:val="3"/>
            <w:shd w:val="clear" w:color="auto" w:fill="auto"/>
            <w:vAlign w:val="bottom"/>
          </w:tcPr>
          <w:p w14:paraId="442F73A4" w14:textId="77777777" w:rsidR="00CC25B5" w:rsidRDefault="00CC25B5">
            <w:pPr>
              <w:rPr>
                <w:rFonts w:ascii="宋体"/>
                <w:vanish/>
              </w:rPr>
            </w:pPr>
          </w:p>
        </w:tc>
        <w:tc>
          <w:tcPr>
            <w:tcW w:w="0" w:type="auto"/>
            <w:gridSpan w:val="3"/>
            <w:shd w:val="clear" w:color="auto" w:fill="auto"/>
            <w:vAlign w:val="bottom"/>
          </w:tcPr>
          <w:p w14:paraId="442F73A5" w14:textId="77777777" w:rsidR="00CC25B5" w:rsidRDefault="00CC25B5">
            <w:pPr>
              <w:rPr>
                <w:rFonts w:ascii="宋体"/>
                <w:vanish/>
              </w:rPr>
            </w:pPr>
          </w:p>
        </w:tc>
        <w:tc>
          <w:tcPr>
            <w:tcW w:w="0" w:type="auto"/>
            <w:gridSpan w:val="3"/>
            <w:shd w:val="clear" w:color="auto" w:fill="auto"/>
            <w:vAlign w:val="bottom"/>
          </w:tcPr>
          <w:p w14:paraId="442F73A6" w14:textId="77777777" w:rsidR="00CC25B5" w:rsidRDefault="00CC25B5">
            <w:pPr>
              <w:rPr>
                <w:rFonts w:ascii="宋体"/>
                <w:vanish/>
              </w:rPr>
            </w:pPr>
          </w:p>
        </w:tc>
        <w:tc>
          <w:tcPr>
            <w:tcW w:w="0" w:type="auto"/>
            <w:gridSpan w:val="3"/>
            <w:shd w:val="clear" w:color="auto" w:fill="auto"/>
            <w:vAlign w:val="bottom"/>
          </w:tcPr>
          <w:p w14:paraId="442F73A7" w14:textId="77777777" w:rsidR="00CC25B5" w:rsidRDefault="00CC25B5">
            <w:pPr>
              <w:rPr>
                <w:rFonts w:ascii="宋体"/>
                <w:vanish/>
              </w:rPr>
            </w:pPr>
          </w:p>
        </w:tc>
        <w:tc>
          <w:tcPr>
            <w:tcW w:w="0" w:type="auto"/>
            <w:shd w:val="clear" w:color="auto" w:fill="auto"/>
            <w:vAlign w:val="bottom"/>
          </w:tcPr>
          <w:p w14:paraId="442F73A8" w14:textId="77777777" w:rsidR="00CC25B5" w:rsidRDefault="00CC25B5">
            <w:pPr>
              <w:rPr>
                <w:rFonts w:ascii="宋体"/>
                <w:vanish/>
              </w:rPr>
            </w:pPr>
          </w:p>
        </w:tc>
        <w:tc>
          <w:tcPr>
            <w:tcW w:w="0" w:type="auto"/>
            <w:shd w:val="clear" w:color="auto" w:fill="auto"/>
            <w:vAlign w:val="bottom"/>
          </w:tcPr>
          <w:p w14:paraId="442F73A9" w14:textId="77777777" w:rsidR="00CC25B5" w:rsidRDefault="00CC25B5">
            <w:pPr>
              <w:rPr>
                <w:rFonts w:ascii="宋体"/>
                <w:vanish/>
              </w:rPr>
            </w:pPr>
          </w:p>
        </w:tc>
      </w:tr>
      <w:tr w:rsidR="00CC25B5" w14:paraId="442F73B2" w14:textId="77777777">
        <w:trPr>
          <w:hidden/>
        </w:trPr>
        <w:tc>
          <w:tcPr>
            <w:tcW w:w="0" w:type="auto"/>
            <w:gridSpan w:val="3"/>
            <w:shd w:val="clear" w:color="auto" w:fill="auto"/>
            <w:vAlign w:val="bottom"/>
          </w:tcPr>
          <w:p w14:paraId="442F73AB" w14:textId="77777777" w:rsidR="00CC25B5" w:rsidRDefault="00CC25B5">
            <w:pPr>
              <w:rPr>
                <w:rFonts w:ascii="宋体"/>
                <w:vanish/>
              </w:rPr>
            </w:pPr>
          </w:p>
        </w:tc>
        <w:tc>
          <w:tcPr>
            <w:tcW w:w="0" w:type="auto"/>
            <w:gridSpan w:val="3"/>
            <w:shd w:val="clear" w:color="auto" w:fill="auto"/>
            <w:vAlign w:val="bottom"/>
          </w:tcPr>
          <w:p w14:paraId="442F73AC" w14:textId="77777777" w:rsidR="00CC25B5" w:rsidRDefault="00CC25B5">
            <w:pPr>
              <w:rPr>
                <w:rFonts w:ascii="宋体"/>
                <w:vanish/>
              </w:rPr>
            </w:pPr>
          </w:p>
        </w:tc>
        <w:tc>
          <w:tcPr>
            <w:tcW w:w="0" w:type="auto"/>
            <w:gridSpan w:val="3"/>
            <w:shd w:val="clear" w:color="auto" w:fill="auto"/>
            <w:vAlign w:val="bottom"/>
          </w:tcPr>
          <w:p w14:paraId="442F73AD" w14:textId="77777777" w:rsidR="00CC25B5" w:rsidRDefault="00CC25B5">
            <w:pPr>
              <w:rPr>
                <w:rFonts w:ascii="宋体"/>
                <w:vanish/>
              </w:rPr>
            </w:pPr>
          </w:p>
        </w:tc>
        <w:tc>
          <w:tcPr>
            <w:tcW w:w="0" w:type="auto"/>
            <w:gridSpan w:val="3"/>
            <w:shd w:val="clear" w:color="auto" w:fill="auto"/>
            <w:vAlign w:val="bottom"/>
          </w:tcPr>
          <w:p w14:paraId="442F73AE" w14:textId="77777777" w:rsidR="00CC25B5" w:rsidRDefault="00CC25B5">
            <w:pPr>
              <w:rPr>
                <w:rFonts w:ascii="宋体"/>
                <w:vanish/>
              </w:rPr>
            </w:pPr>
          </w:p>
        </w:tc>
        <w:tc>
          <w:tcPr>
            <w:tcW w:w="0" w:type="auto"/>
            <w:gridSpan w:val="3"/>
            <w:shd w:val="clear" w:color="auto" w:fill="auto"/>
            <w:vAlign w:val="bottom"/>
          </w:tcPr>
          <w:p w14:paraId="442F73AF" w14:textId="77777777" w:rsidR="00CC25B5" w:rsidRDefault="00CC25B5">
            <w:pPr>
              <w:rPr>
                <w:rFonts w:ascii="宋体"/>
                <w:vanish/>
              </w:rPr>
            </w:pPr>
          </w:p>
        </w:tc>
        <w:tc>
          <w:tcPr>
            <w:tcW w:w="0" w:type="auto"/>
            <w:shd w:val="clear" w:color="auto" w:fill="auto"/>
            <w:vAlign w:val="bottom"/>
          </w:tcPr>
          <w:p w14:paraId="442F73B0" w14:textId="77777777" w:rsidR="00CC25B5" w:rsidRDefault="00CC25B5">
            <w:pPr>
              <w:rPr>
                <w:rFonts w:ascii="宋体"/>
                <w:vanish/>
              </w:rPr>
            </w:pPr>
          </w:p>
        </w:tc>
        <w:tc>
          <w:tcPr>
            <w:tcW w:w="0" w:type="auto"/>
            <w:shd w:val="clear" w:color="auto" w:fill="auto"/>
            <w:vAlign w:val="bottom"/>
          </w:tcPr>
          <w:p w14:paraId="442F73B1" w14:textId="77777777" w:rsidR="00CC25B5" w:rsidRDefault="00CC25B5">
            <w:pPr>
              <w:rPr>
                <w:rFonts w:ascii="宋体"/>
                <w:vanish/>
              </w:rPr>
            </w:pPr>
          </w:p>
        </w:tc>
      </w:tr>
      <w:tr w:rsidR="00CC25B5" w14:paraId="442F73BA" w14:textId="77777777">
        <w:trPr>
          <w:hidden/>
        </w:trPr>
        <w:tc>
          <w:tcPr>
            <w:tcW w:w="0" w:type="auto"/>
            <w:gridSpan w:val="3"/>
            <w:shd w:val="clear" w:color="auto" w:fill="auto"/>
            <w:vAlign w:val="bottom"/>
          </w:tcPr>
          <w:p w14:paraId="442F73B3" w14:textId="77777777" w:rsidR="00CC25B5" w:rsidRDefault="00CC25B5">
            <w:pPr>
              <w:rPr>
                <w:rFonts w:ascii="宋体"/>
                <w:vanish/>
              </w:rPr>
            </w:pPr>
          </w:p>
        </w:tc>
        <w:tc>
          <w:tcPr>
            <w:tcW w:w="0" w:type="auto"/>
            <w:gridSpan w:val="3"/>
            <w:shd w:val="clear" w:color="auto" w:fill="auto"/>
            <w:vAlign w:val="bottom"/>
          </w:tcPr>
          <w:p w14:paraId="442F73B4" w14:textId="77777777" w:rsidR="00CC25B5" w:rsidRDefault="00CC25B5">
            <w:pPr>
              <w:rPr>
                <w:rFonts w:ascii="宋体"/>
                <w:vanish/>
              </w:rPr>
            </w:pPr>
          </w:p>
        </w:tc>
        <w:tc>
          <w:tcPr>
            <w:tcW w:w="0" w:type="auto"/>
            <w:gridSpan w:val="3"/>
            <w:shd w:val="clear" w:color="auto" w:fill="auto"/>
            <w:vAlign w:val="bottom"/>
          </w:tcPr>
          <w:p w14:paraId="442F73B5" w14:textId="77777777" w:rsidR="00CC25B5" w:rsidRDefault="00CC25B5">
            <w:pPr>
              <w:rPr>
                <w:rFonts w:ascii="宋体"/>
                <w:vanish/>
              </w:rPr>
            </w:pPr>
          </w:p>
        </w:tc>
        <w:tc>
          <w:tcPr>
            <w:tcW w:w="0" w:type="auto"/>
            <w:gridSpan w:val="3"/>
            <w:shd w:val="clear" w:color="auto" w:fill="auto"/>
            <w:vAlign w:val="bottom"/>
          </w:tcPr>
          <w:p w14:paraId="442F73B6" w14:textId="77777777" w:rsidR="00CC25B5" w:rsidRDefault="00CC25B5">
            <w:pPr>
              <w:rPr>
                <w:rFonts w:ascii="宋体"/>
                <w:vanish/>
              </w:rPr>
            </w:pPr>
          </w:p>
        </w:tc>
        <w:tc>
          <w:tcPr>
            <w:tcW w:w="0" w:type="auto"/>
            <w:gridSpan w:val="3"/>
            <w:shd w:val="clear" w:color="auto" w:fill="auto"/>
            <w:vAlign w:val="bottom"/>
          </w:tcPr>
          <w:p w14:paraId="442F73B7" w14:textId="77777777" w:rsidR="00CC25B5" w:rsidRDefault="00CC25B5">
            <w:pPr>
              <w:rPr>
                <w:rFonts w:ascii="宋体"/>
                <w:vanish/>
              </w:rPr>
            </w:pPr>
          </w:p>
        </w:tc>
        <w:tc>
          <w:tcPr>
            <w:tcW w:w="0" w:type="auto"/>
            <w:shd w:val="clear" w:color="auto" w:fill="auto"/>
            <w:vAlign w:val="bottom"/>
          </w:tcPr>
          <w:p w14:paraId="442F73B8" w14:textId="77777777" w:rsidR="00CC25B5" w:rsidRDefault="00CC25B5">
            <w:pPr>
              <w:rPr>
                <w:rFonts w:ascii="宋体"/>
                <w:vanish/>
              </w:rPr>
            </w:pPr>
          </w:p>
        </w:tc>
        <w:tc>
          <w:tcPr>
            <w:tcW w:w="0" w:type="auto"/>
            <w:shd w:val="clear" w:color="auto" w:fill="auto"/>
            <w:vAlign w:val="bottom"/>
          </w:tcPr>
          <w:p w14:paraId="442F73B9" w14:textId="77777777" w:rsidR="00CC25B5" w:rsidRDefault="00CC25B5">
            <w:pPr>
              <w:rPr>
                <w:rFonts w:ascii="宋体"/>
                <w:vanish/>
              </w:rPr>
            </w:pPr>
          </w:p>
        </w:tc>
      </w:tr>
      <w:tr w:rsidR="00CC25B5" w14:paraId="442F73C2" w14:textId="77777777">
        <w:trPr>
          <w:hidden/>
        </w:trPr>
        <w:tc>
          <w:tcPr>
            <w:tcW w:w="0" w:type="auto"/>
            <w:gridSpan w:val="3"/>
            <w:shd w:val="clear" w:color="auto" w:fill="auto"/>
            <w:vAlign w:val="bottom"/>
          </w:tcPr>
          <w:p w14:paraId="442F73BB" w14:textId="77777777" w:rsidR="00CC25B5" w:rsidRDefault="00CC25B5">
            <w:pPr>
              <w:rPr>
                <w:rFonts w:ascii="宋体"/>
                <w:vanish/>
              </w:rPr>
            </w:pPr>
          </w:p>
        </w:tc>
        <w:tc>
          <w:tcPr>
            <w:tcW w:w="0" w:type="auto"/>
            <w:gridSpan w:val="3"/>
            <w:shd w:val="clear" w:color="auto" w:fill="auto"/>
            <w:vAlign w:val="bottom"/>
          </w:tcPr>
          <w:p w14:paraId="442F73BC" w14:textId="77777777" w:rsidR="00CC25B5" w:rsidRDefault="00CC25B5">
            <w:pPr>
              <w:rPr>
                <w:rFonts w:ascii="宋体"/>
                <w:vanish/>
              </w:rPr>
            </w:pPr>
          </w:p>
        </w:tc>
        <w:tc>
          <w:tcPr>
            <w:tcW w:w="0" w:type="auto"/>
            <w:gridSpan w:val="3"/>
            <w:shd w:val="clear" w:color="auto" w:fill="auto"/>
            <w:vAlign w:val="bottom"/>
          </w:tcPr>
          <w:p w14:paraId="442F73BD" w14:textId="77777777" w:rsidR="00CC25B5" w:rsidRDefault="00CC25B5">
            <w:pPr>
              <w:rPr>
                <w:rFonts w:ascii="宋体"/>
                <w:vanish/>
              </w:rPr>
            </w:pPr>
          </w:p>
        </w:tc>
        <w:tc>
          <w:tcPr>
            <w:tcW w:w="0" w:type="auto"/>
            <w:gridSpan w:val="3"/>
            <w:shd w:val="clear" w:color="auto" w:fill="auto"/>
            <w:vAlign w:val="bottom"/>
          </w:tcPr>
          <w:p w14:paraId="442F73BE" w14:textId="77777777" w:rsidR="00CC25B5" w:rsidRDefault="00CC25B5">
            <w:pPr>
              <w:rPr>
                <w:rFonts w:ascii="宋体"/>
                <w:vanish/>
              </w:rPr>
            </w:pPr>
          </w:p>
        </w:tc>
        <w:tc>
          <w:tcPr>
            <w:tcW w:w="0" w:type="auto"/>
            <w:gridSpan w:val="3"/>
            <w:shd w:val="clear" w:color="auto" w:fill="auto"/>
            <w:vAlign w:val="bottom"/>
          </w:tcPr>
          <w:p w14:paraId="442F73BF" w14:textId="77777777" w:rsidR="00CC25B5" w:rsidRDefault="00CC25B5">
            <w:pPr>
              <w:rPr>
                <w:rFonts w:ascii="宋体"/>
                <w:vanish/>
              </w:rPr>
            </w:pPr>
          </w:p>
        </w:tc>
        <w:tc>
          <w:tcPr>
            <w:tcW w:w="0" w:type="auto"/>
            <w:shd w:val="clear" w:color="auto" w:fill="auto"/>
            <w:vAlign w:val="bottom"/>
          </w:tcPr>
          <w:p w14:paraId="442F73C0" w14:textId="77777777" w:rsidR="00CC25B5" w:rsidRDefault="00CC25B5">
            <w:pPr>
              <w:rPr>
                <w:rFonts w:ascii="宋体"/>
                <w:vanish/>
              </w:rPr>
            </w:pPr>
          </w:p>
        </w:tc>
        <w:tc>
          <w:tcPr>
            <w:tcW w:w="0" w:type="auto"/>
            <w:shd w:val="clear" w:color="auto" w:fill="auto"/>
            <w:vAlign w:val="bottom"/>
          </w:tcPr>
          <w:p w14:paraId="442F73C1" w14:textId="77777777" w:rsidR="00CC25B5" w:rsidRDefault="00CC25B5">
            <w:pPr>
              <w:rPr>
                <w:rFonts w:ascii="宋体"/>
                <w:vanish/>
              </w:rPr>
            </w:pPr>
          </w:p>
        </w:tc>
      </w:tr>
    </w:tbl>
    <w:p w14:paraId="442F73C3" w14:textId="77777777" w:rsidR="00CC25B5" w:rsidRDefault="00900968">
      <w:pPr>
        <w:spacing w:before="80"/>
      </w:pPr>
      <w:r>
        <w:rPr>
          <w:rFonts w:ascii="Times New Roman" w:eastAsia="宋体" w:hAnsi="Times New Roman"/>
          <w:i/>
          <w:iCs/>
          <w:color w:val="000000"/>
          <w:sz w:val="16"/>
          <w:szCs w:val="16"/>
        </w:rPr>
        <w:t xml:space="preserve">See accompanying notes. </w:t>
      </w:r>
    </w:p>
    <w:p w14:paraId="442F73C4" w14:textId="77777777" w:rsidR="00CC25B5" w:rsidRDefault="00900968">
      <w:pPr>
        <w:jc w:val="center"/>
      </w:pPr>
      <w:r>
        <w:rPr>
          <w:rFonts w:ascii="Times New Roman" w:eastAsia="宋体" w:hAnsi="Times New Roman"/>
          <w:color w:val="000000"/>
          <w:sz w:val="20"/>
          <w:szCs w:val="20"/>
        </w:rPr>
        <w:t>7</w:t>
      </w:r>
    </w:p>
    <w:p w14:paraId="442F73C5" w14:textId="77777777" w:rsidR="00CC25B5" w:rsidRDefault="00900968">
      <w:r>
        <w:pict w14:anchorId="442F85D0">
          <v:rect id="_x0000_i1031" style="width:415.3pt;height:1.5pt" o:hralign="center" o:hrstd="t" o:hr="t" fillcolor="#a0a0a0" stroked="f"/>
        </w:pict>
      </w:r>
    </w:p>
    <w:p w14:paraId="442F73C6" w14:textId="77777777" w:rsidR="00CC25B5" w:rsidRDefault="00900968">
      <w:hyperlink r:id="rId46" w:anchor="ie1710166881948a18c44f48eaa2dcf00_7" w:history="1">
        <w:r>
          <w:rPr>
            <w:rStyle w:val="a5"/>
            <w:rFonts w:ascii="Times New Roman" w:eastAsia="宋体" w:hAnsi="Times New Roman"/>
            <w:sz w:val="20"/>
            <w:szCs w:val="20"/>
          </w:rPr>
          <w:t>Table of Contents</w:t>
        </w:r>
      </w:hyperlink>
    </w:p>
    <w:p w14:paraId="442F73C7" w14:textId="77777777" w:rsidR="00CC25B5" w:rsidRDefault="00900968">
      <w:pPr>
        <w:jc w:val="center"/>
      </w:pPr>
      <w:r>
        <w:rPr>
          <w:rFonts w:ascii="Times New Roman" w:eastAsia="宋体" w:hAnsi="Times New Roman"/>
          <w:b/>
          <w:bCs/>
          <w:color w:val="000000"/>
          <w:sz w:val="20"/>
          <w:szCs w:val="20"/>
        </w:rPr>
        <w:t>Walmart Inc.</w:t>
      </w:r>
    </w:p>
    <w:p w14:paraId="442F73C8" w14:textId="77777777" w:rsidR="00CC25B5" w:rsidRDefault="00900968">
      <w:pPr>
        <w:spacing w:before="60"/>
        <w:jc w:val="center"/>
      </w:pPr>
      <w:r>
        <w:rPr>
          <w:rFonts w:ascii="Times New Roman" w:eastAsia="宋体" w:hAnsi="Times New Roman"/>
          <w:b/>
          <w:bCs/>
          <w:color w:val="000000"/>
          <w:sz w:val="20"/>
          <w:szCs w:val="20"/>
        </w:rPr>
        <w:t>Notes to Condensed Consolidated Financial Statements</w:t>
      </w:r>
    </w:p>
    <w:p w14:paraId="442F73C9" w14:textId="77777777" w:rsidR="00CC25B5" w:rsidRDefault="00900968">
      <w:pPr>
        <w:spacing w:before="180"/>
      </w:pPr>
      <w:r>
        <w:rPr>
          <w:rFonts w:ascii="Times New Roman" w:eastAsia="宋体" w:hAnsi="Times New Roman"/>
          <w:b/>
          <w:bCs/>
          <w:color w:val="000000"/>
          <w:sz w:val="20"/>
          <w:szCs w:val="20"/>
        </w:rPr>
        <w:t>Note 1. Summary of S</w:t>
      </w:r>
      <w:r>
        <w:rPr>
          <w:rFonts w:ascii="Times New Roman" w:eastAsia="宋体" w:hAnsi="Times New Roman"/>
          <w:b/>
          <w:bCs/>
          <w:color w:val="000000"/>
          <w:sz w:val="20"/>
          <w:szCs w:val="20"/>
        </w:rPr>
        <w:t>ignificant Accounting Policies</w:t>
      </w:r>
    </w:p>
    <w:p w14:paraId="442F73CA" w14:textId="77777777" w:rsidR="00CC25B5" w:rsidRDefault="00900968">
      <w:pPr>
        <w:spacing w:before="180"/>
      </w:pPr>
      <w:r>
        <w:rPr>
          <w:rFonts w:ascii="Times New Roman" w:eastAsia="宋体" w:hAnsi="Times New Roman"/>
          <w:b/>
          <w:bCs/>
          <w:i/>
          <w:iCs/>
          <w:color w:val="000000"/>
          <w:sz w:val="20"/>
          <w:szCs w:val="20"/>
        </w:rPr>
        <w:t>Basis of Presentation</w:t>
      </w:r>
    </w:p>
    <w:p w14:paraId="442F73CB" w14:textId="77777777" w:rsidR="00CC25B5" w:rsidRDefault="00900968">
      <w:pPr>
        <w:spacing w:before="60"/>
      </w:pPr>
      <w:r>
        <w:rPr>
          <w:rFonts w:ascii="Times New Roman" w:eastAsia="宋体" w:hAnsi="Times New Roman"/>
          <w:color w:val="000000"/>
          <w:sz w:val="20"/>
          <w:szCs w:val="20"/>
        </w:rPr>
        <w:t>The Condensed Consolidated Financial Statements of Walmart Inc. and its subsidiaries ("Walmart" or the "Company") and the accompanying notes included in this Quarterly Report on Form 10-Q are unaudited. In the opinion of management, all adjustments necessa</w:t>
      </w:r>
      <w:r>
        <w:rPr>
          <w:rFonts w:ascii="Times New Roman" w:eastAsia="宋体" w:hAnsi="Times New Roman"/>
          <w:color w:val="000000"/>
          <w:sz w:val="20"/>
          <w:szCs w:val="20"/>
        </w:rPr>
        <w:t xml:space="preserve">ry for the fair presentation of the Condensed Consolidated Financial Statements have been included. Such adjustments are of a normal, recurring nature. The Condensed Consolidated Financial Statements, and the accompanying notes, are prepared in accordance </w:t>
      </w:r>
      <w:r>
        <w:rPr>
          <w:rFonts w:ascii="Times New Roman" w:eastAsia="宋体" w:hAnsi="Times New Roman"/>
          <w:color w:val="000000"/>
          <w:sz w:val="20"/>
          <w:szCs w:val="20"/>
        </w:rPr>
        <w:t>with generally accepted accounting principles in the United States ("GAAP") and do not contain certain information included in the Company's Annual Report on Form 10-K for the fiscal year ended January 31, 2021 ("fiscal 2021"). Therefore, the interim Conde</w:t>
      </w:r>
      <w:r>
        <w:rPr>
          <w:rFonts w:ascii="Times New Roman" w:eastAsia="宋体" w:hAnsi="Times New Roman"/>
          <w:color w:val="000000"/>
          <w:sz w:val="20"/>
          <w:szCs w:val="20"/>
        </w:rPr>
        <w:t xml:space="preserve">nsed Consolidated Financial Statements should be read in conjunction with that Annual Report on Form 10-K. </w:t>
      </w:r>
    </w:p>
    <w:p w14:paraId="442F73CC" w14:textId="77777777" w:rsidR="00CC25B5" w:rsidRDefault="00900968">
      <w:pPr>
        <w:spacing w:before="60"/>
      </w:pPr>
      <w:r>
        <w:rPr>
          <w:rFonts w:ascii="Times New Roman" w:eastAsia="宋体" w:hAnsi="Times New Roman"/>
          <w:color w:val="000000"/>
          <w:sz w:val="20"/>
          <w:szCs w:val="20"/>
        </w:rPr>
        <w:t>The Company's Consolidated Financial Statements are based on a fiscal year ending January 31 for the United States ("U.S.") and Canadian operations.</w:t>
      </w:r>
      <w:r>
        <w:rPr>
          <w:rFonts w:ascii="Times New Roman" w:eastAsia="宋体" w:hAnsi="Times New Roman"/>
          <w:color w:val="000000"/>
          <w:sz w:val="20"/>
          <w:szCs w:val="20"/>
        </w:rPr>
        <w:t xml:space="preserve"> The Company consolidates all other operations generally using a one-month lag based on a calendar year. In July 2021, the Company's majority-owned Flipkart subsidiary completed a $3.6 billion new equity funding, a portion of which was contributed by the C</w:t>
      </w:r>
      <w:r>
        <w:rPr>
          <w:rFonts w:ascii="Times New Roman" w:eastAsia="宋体" w:hAnsi="Times New Roman"/>
          <w:color w:val="000000"/>
          <w:sz w:val="20"/>
          <w:szCs w:val="20"/>
        </w:rPr>
        <w:t xml:space="preserve">ompany. This transaction reduced the Company's ownership of Flipkart to approximately 75% in the third quarter of fiscal 2022. </w:t>
      </w:r>
    </w:p>
    <w:p w14:paraId="442F73CD" w14:textId="77777777" w:rsidR="00CC25B5" w:rsidRDefault="00900968">
      <w:pPr>
        <w:spacing w:before="100"/>
      </w:pPr>
      <w:r>
        <w:rPr>
          <w:rFonts w:ascii="Times New Roman" w:eastAsia="宋体" w:hAnsi="Times New Roman"/>
          <w:color w:val="000000"/>
          <w:sz w:val="20"/>
          <w:szCs w:val="20"/>
        </w:rPr>
        <w:t>The Company's business is seasonal to a certain extent due to calendar events and national and religious holidays, as well as we</w:t>
      </w:r>
      <w:r>
        <w:rPr>
          <w:rFonts w:ascii="Times New Roman" w:eastAsia="宋体" w:hAnsi="Times New Roman"/>
          <w:color w:val="000000"/>
          <w:sz w:val="20"/>
          <w:szCs w:val="20"/>
        </w:rPr>
        <w:t>ather patterns. Historically, the Company's highest sales volume and operating income have occurred in the fiscal quarter ending January 31.</w:t>
      </w:r>
    </w:p>
    <w:p w14:paraId="442F73CE" w14:textId="77777777" w:rsidR="00CC25B5" w:rsidRDefault="00900968">
      <w:pPr>
        <w:spacing w:before="100"/>
      </w:pPr>
      <w:r>
        <w:rPr>
          <w:rFonts w:ascii="Times New Roman" w:eastAsia="宋体" w:hAnsi="Times New Roman"/>
          <w:b/>
          <w:bCs/>
          <w:i/>
          <w:iCs/>
          <w:color w:val="000000"/>
          <w:sz w:val="20"/>
          <w:szCs w:val="20"/>
        </w:rPr>
        <w:t>Use of Estimates</w:t>
      </w:r>
    </w:p>
    <w:p w14:paraId="442F73CF" w14:textId="77777777" w:rsidR="00CC25B5" w:rsidRDefault="00900968">
      <w:pPr>
        <w:spacing w:before="100"/>
      </w:pPr>
      <w:r>
        <w:rPr>
          <w:rFonts w:ascii="Times New Roman" w:eastAsia="宋体" w:hAnsi="Times New Roman"/>
          <w:color w:val="000000"/>
          <w:sz w:val="20"/>
          <w:szCs w:val="20"/>
        </w:rPr>
        <w:t xml:space="preserve">The Condensed Consolidated Financial Statements have been prepared in conformity with GAAP. Those </w:t>
      </w:r>
      <w:r>
        <w:rPr>
          <w:rFonts w:ascii="Times New Roman" w:eastAsia="宋体" w:hAnsi="Times New Roman"/>
          <w:color w:val="000000"/>
          <w:sz w:val="20"/>
          <w:szCs w:val="20"/>
        </w:rPr>
        <w:t xml:space="preserve">principles require management to make estimates and assumptions that affect the reported amounts of assets and liabilities. Management's estimates and assumptions also affect the disclosure of contingent assets and liabilities at the date of the financial </w:t>
      </w:r>
      <w:r>
        <w:rPr>
          <w:rFonts w:ascii="Times New Roman" w:eastAsia="宋体" w:hAnsi="Times New Roman"/>
          <w:color w:val="000000"/>
          <w:sz w:val="20"/>
          <w:szCs w:val="20"/>
        </w:rPr>
        <w:t>statements and the reported amounts of revenues and expenses during the reporting period. Actual results may differ materially from those estimates.</w:t>
      </w:r>
    </w:p>
    <w:p w14:paraId="442F73D0" w14:textId="77777777" w:rsidR="00CC25B5" w:rsidRDefault="00900968">
      <w:pPr>
        <w:spacing w:before="100"/>
      </w:pPr>
      <w:r>
        <w:rPr>
          <w:rFonts w:ascii="Times New Roman" w:eastAsia="宋体" w:hAnsi="Times New Roman"/>
          <w:b/>
          <w:bCs/>
          <w:i/>
          <w:iCs/>
          <w:color w:val="000000"/>
          <w:sz w:val="20"/>
          <w:szCs w:val="20"/>
        </w:rPr>
        <w:t>Investments</w:t>
      </w:r>
    </w:p>
    <w:p w14:paraId="442F73D1" w14:textId="77777777" w:rsidR="00CC25B5" w:rsidRDefault="00900968">
      <w:pPr>
        <w:spacing w:before="100"/>
      </w:pPr>
      <w:r>
        <w:rPr>
          <w:rFonts w:ascii="Times New Roman" w:eastAsia="宋体" w:hAnsi="Times New Roman"/>
          <w:color w:val="000000"/>
          <w:sz w:val="20"/>
          <w:szCs w:val="20"/>
        </w:rPr>
        <w:t>Investments in equity and debt securities are recorded in other long-term assets in the Condens</w:t>
      </w:r>
      <w:r>
        <w:rPr>
          <w:rFonts w:ascii="Times New Roman" w:eastAsia="宋体" w:hAnsi="Times New Roman"/>
          <w:color w:val="000000"/>
          <w:sz w:val="20"/>
          <w:szCs w:val="20"/>
        </w:rPr>
        <w:t xml:space="preserve">ed Consolidated Balance Sheets. Changes in fair value of equity securities measured on a recurring basis are recognized in other gains and losses in the Condensed Consolidated Statements of Income. Refer to </w:t>
      </w:r>
      <w:hyperlink r:id="rId47" w:anchor="ie1710166881948a18c44f48eaa2dcf00_52"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for details. Equity investments without readily determinable fair values are carried at cost and are adjusted for any observable price changes or</w:t>
      </w:r>
      <w:r>
        <w:rPr>
          <w:rFonts w:ascii="Times New Roman" w:eastAsia="宋体" w:hAnsi="Times New Roman"/>
          <w:color w:val="000000"/>
          <w:sz w:val="20"/>
          <w:szCs w:val="20"/>
        </w:rPr>
        <w:t xml:space="preserve"> impairments within other gains and losses in the Condensed Consolidated Statements of Income. Investments in debt securities classified as trading are reported at fair value with interest income recorded in interest income in the Condensed Consolidated St</w:t>
      </w:r>
      <w:r>
        <w:rPr>
          <w:rFonts w:ascii="Times New Roman" w:eastAsia="宋体" w:hAnsi="Times New Roman"/>
          <w:color w:val="000000"/>
          <w:sz w:val="20"/>
          <w:szCs w:val="20"/>
        </w:rPr>
        <w:t>atements of Income. As of July 31, 2021, the Company had $1.0 billion in debt securities classified as trading.</w:t>
      </w:r>
    </w:p>
    <w:p w14:paraId="442F73D2" w14:textId="77777777" w:rsidR="00CC25B5" w:rsidRDefault="00900968">
      <w:pPr>
        <w:spacing w:before="100"/>
      </w:pPr>
      <w:r>
        <w:rPr>
          <w:rFonts w:ascii="Times New Roman" w:eastAsia="宋体" w:hAnsi="Times New Roman"/>
          <w:b/>
          <w:bCs/>
          <w:i/>
          <w:iCs/>
          <w:color w:val="000000"/>
          <w:sz w:val="20"/>
          <w:szCs w:val="20"/>
        </w:rPr>
        <w:t>Indemnification Liabilities</w:t>
      </w:r>
    </w:p>
    <w:p w14:paraId="442F73D3" w14:textId="77777777" w:rsidR="00CC25B5" w:rsidRDefault="00900968">
      <w:pPr>
        <w:spacing w:before="100"/>
      </w:pPr>
      <w:r>
        <w:rPr>
          <w:rFonts w:ascii="Times New Roman" w:eastAsia="宋体" w:hAnsi="Times New Roman"/>
          <w:color w:val="000000"/>
          <w:sz w:val="20"/>
          <w:szCs w:val="20"/>
        </w:rPr>
        <w:t>The Company has provided certain indemnifications in connection with its divestitures and has recorded indemnification liabilities equal to the estimated fair value of the obligations upon inception. As of July 31, 2021 and January 31, 2021, the Company ha</w:t>
      </w:r>
      <w:r>
        <w:rPr>
          <w:rFonts w:ascii="Times New Roman" w:eastAsia="宋体" w:hAnsi="Times New Roman"/>
          <w:color w:val="000000"/>
          <w:sz w:val="20"/>
          <w:szCs w:val="20"/>
        </w:rPr>
        <w:t>d $0.8 billion and $0.6 billion, respectively, of certain legal and tax indemnification liabilities recorded within deferred income taxes and other in the Condensed Consolidated Balance Sheets. The maximum amount of potential future payments under these in</w:t>
      </w:r>
      <w:r>
        <w:rPr>
          <w:rFonts w:ascii="Times New Roman" w:eastAsia="宋体" w:hAnsi="Times New Roman"/>
          <w:color w:val="000000"/>
          <w:sz w:val="20"/>
          <w:szCs w:val="20"/>
        </w:rPr>
        <w:t xml:space="preserve">demnities was $3.6 billion, based on exchange rates as of July 31, 2021. </w:t>
      </w:r>
    </w:p>
    <w:p w14:paraId="442F73D4" w14:textId="77777777" w:rsidR="00CC25B5" w:rsidRDefault="00900968">
      <w:pPr>
        <w:jc w:val="center"/>
      </w:pPr>
      <w:r>
        <w:rPr>
          <w:rFonts w:ascii="Times New Roman" w:eastAsia="宋体" w:hAnsi="Times New Roman"/>
          <w:color w:val="000000"/>
          <w:sz w:val="20"/>
          <w:szCs w:val="20"/>
        </w:rPr>
        <w:t>8</w:t>
      </w:r>
    </w:p>
    <w:p w14:paraId="442F73D5" w14:textId="77777777" w:rsidR="00CC25B5" w:rsidRDefault="00900968">
      <w:r>
        <w:pict w14:anchorId="442F85D1">
          <v:rect id="_x0000_i1032" style="width:415.3pt;height:1.5pt" o:hralign="center" o:hrstd="t" o:hr="t" fillcolor="#a0a0a0" stroked="f"/>
        </w:pict>
      </w:r>
    </w:p>
    <w:p w14:paraId="442F73D6" w14:textId="77777777" w:rsidR="00CC25B5" w:rsidRDefault="00900968">
      <w:hyperlink r:id="rId48" w:anchor="ie1710166881948a18c44f48eaa2dcf00_7" w:history="1">
        <w:r>
          <w:rPr>
            <w:rStyle w:val="a5"/>
            <w:rFonts w:ascii="Times New Roman" w:eastAsia="宋体" w:hAnsi="Times New Roman"/>
            <w:sz w:val="20"/>
            <w:szCs w:val="20"/>
          </w:rPr>
          <w:t>Table of Contents</w:t>
        </w:r>
      </w:hyperlink>
    </w:p>
    <w:p w14:paraId="442F73D7" w14:textId="77777777" w:rsidR="00CC25B5" w:rsidRDefault="00900968">
      <w:pPr>
        <w:spacing w:before="240"/>
      </w:pPr>
      <w:r>
        <w:rPr>
          <w:rFonts w:ascii="Times New Roman" w:eastAsia="宋体" w:hAnsi="Times New Roman"/>
          <w:b/>
          <w:bCs/>
          <w:color w:val="000000"/>
          <w:sz w:val="20"/>
          <w:szCs w:val="20"/>
        </w:rPr>
        <w:t xml:space="preserve">Note 2. </w:t>
      </w:r>
      <w:r>
        <w:rPr>
          <w:rFonts w:ascii="Times New Roman" w:eastAsia="宋体" w:hAnsi="Times New Roman"/>
          <w:b/>
          <w:bCs/>
          <w:color w:val="000000"/>
          <w:sz w:val="20"/>
          <w:szCs w:val="20"/>
        </w:rPr>
        <w:t>Net Income Per Common Share</w:t>
      </w:r>
    </w:p>
    <w:p w14:paraId="442F73D8" w14:textId="77777777" w:rsidR="00CC25B5" w:rsidRDefault="00900968">
      <w:pPr>
        <w:spacing w:before="180"/>
      </w:pPr>
      <w:r>
        <w:rPr>
          <w:rFonts w:ascii="Times New Roman" w:eastAsia="宋体" w:hAnsi="Times New Roman"/>
          <w:color w:val="000000"/>
          <w:sz w:val="20"/>
          <w:szCs w:val="20"/>
        </w:rPr>
        <w:t>Basic net income per common share attributable to Walmart is based on the weighted-average common shares outstanding during the relevant period. Diluted net income per common share attributable to Walmart is based on the weighte</w:t>
      </w:r>
      <w:r>
        <w:rPr>
          <w:rFonts w:ascii="Times New Roman" w:eastAsia="宋体" w:hAnsi="Times New Roman"/>
          <w:color w:val="000000"/>
          <w:sz w:val="20"/>
          <w:szCs w:val="20"/>
        </w:rPr>
        <w:t>d-average common shares outstanding during the relevant period adjusted for the dilutive effect of share-based awards. The Company did not have significant share-based awards outstanding that were anti-dilutive and not included in the calculation of dilute</w:t>
      </w:r>
      <w:r>
        <w:rPr>
          <w:rFonts w:ascii="Times New Roman" w:eastAsia="宋体" w:hAnsi="Times New Roman"/>
          <w:color w:val="000000"/>
          <w:sz w:val="20"/>
          <w:szCs w:val="20"/>
        </w:rPr>
        <w:t xml:space="preserve">d net income per common share attributable to Walmart for the three and six months ended July 31, 2021 and 2020. </w:t>
      </w:r>
    </w:p>
    <w:p w14:paraId="442F73D9" w14:textId="77777777" w:rsidR="00CC25B5" w:rsidRDefault="00900968">
      <w:pPr>
        <w:spacing w:before="100"/>
      </w:pPr>
      <w:r>
        <w:rPr>
          <w:rFonts w:ascii="Times New Roman" w:eastAsia="宋体" w:hAnsi="Times New Roman"/>
          <w:color w:val="000000"/>
          <w:sz w:val="20"/>
          <w:szCs w:val="20"/>
        </w:rPr>
        <w:t>The following table provides a reconciliation of the numerators and denominators used to determine basic and diluted net income per common sha</w:t>
      </w:r>
      <w:r>
        <w:rPr>
          <w:rFonts w:ascii="Times New Roman" w:eastAsia="宋体" w:hAnsi="Times New Roman"/>
          <w:color w:val="000000"/>
          <w:sz w:val="20"/>
          <w:szCs w:val="20"/>
        </w:rPr>
        <w:t xml:space="preserve">re attributable to Walmart: </w:t>
      </w:r>
    </w:p>
    <w:tbl>
      <w:tblPr>
        <w:tblW w:w="5000" w:type="pct"/>
        <w:tblCellMar>
          <w:top w:w="15" w:type="dxa"/>
          <w:left w:w="15" w:type="dxa"/>
          <w:bottom w:w="15" w:type="dxa"/>
          <w:right w:w="15" w:type="dxa"/>
        </w:tblCellMar>
        <w:tblLook w:val="04A0" w:firstRow="1" w:lastRow="0" w:firstColumn="1" w:lastColumn="0" w:noHBand="0" w:noVBand="1"/>
      </w:tblPr>
      <w:tblGrid>
        <w:gridCol w:w="40"/>
        <w:gridCol w:w="4023"/>
        <w:gridCol w:w="39"/>
        <w:gridCol w:w="36"/>
        <w:gridCol w:w="36"/>
        <w:gridCol w:w="36"/>
        <w:gridCol w:w="100"/>
        <w:gridCol w:w="865"/>
        <w:gridCol w:w="36"/>
        <w:gridCol w:w="36"/>
        <w:gridCol w:w="36"/>
        <w:gridCol w:w="36"/>
        <w:gridCol w:w="100"/>
        <w:gridCol w:w="830"/>
        <w:gridCol w:w="36"/>
        <w:gridCol w:w="36"/>
        <w:gridCol w:w="36"/>
        <w:gridCol w:w="36"/>
        <w:gridCol w:w="100"/>
        <w:gridCol w:w="768"/>
        <w:gridCol w:w="36"/>
        <w:gridCol w:w="36"/>
        <w:gridCol w:w="36"/>
        <w:gridCol w:w="36"/>
        <w:gridCol w:w="100"/>
        <w:gridCol w:w="795"/>
        <w:gridCol w:w="36"/>
      </w:tblGrid>
      <w:tr w:rsidR="00CC25B5" w14:paraId="442F73F5" w14:textId="77777777">
        <w:tc>
          <w:tcPr>
            <w:tcW w:w="50" w:type="pct"/>
            <w:shd w:val="clear" w:color="auto" w:fill="auto"/>
            <w:vAlign w:val="bottom"/>
          </w:tcPr>
          <w:p w14:paraId="442F73DA" w14:textId="77777777" w:rsidR="00CC25B5" w:rsidRDefault="00CC25B5">
            <w:pPr>
              <w:rPr>
                <w:rFonts w:ascii="宋体"/>
              </w:rPr>
            </w:pPr>
          </w:p>
        </w:tc>
        <w:tc>
          <w:tcPr>
            <w:tcW w:w="2437" w:type="pct"/>
            <w:shd w:val="clear" w:color="auto" w:fill="auto"/>
            <w:vAlign w:val="bottom"/>
          </w:tcPr>
          <w:p w14:paraId="442F73DB" w14:textId="77777777" w:rsidR="00CC25B5" w:rsidRDefault="00CC25B5">
            <w:pPr>
              <w:rPr>
                <w:rFonts w:ascii="宋体"/>
              </w:rPr>
            </w:pPr>
          </w:p>
        </w:tc>
        <w:tc>
          <w:tcPr>
            <w:tcW w:w="5" w:type="pct"/>
            <w:shd w:val="clear" w:color="auto" w:fill="auto"/>
            <w:vAlign w:val="bottom"/>
          </w:tcPr>
          <w:p w14:paraId="442F73DC" w14:textId="77777777" w:rsidR="00CC25B5" w:rsidRDefault="00CC25B5">
            <w:pPr>
              <w:rPr>
                <w:rFonts w:ascii="宋体"/>
              </w:rPr>
            </w:pPr>
          </w:p>
        </w:tc>
        <w:tc>
          <w:tcPr>
            <w:tcW w:w="5" w:type="pct"/>
            <w:shd w:val="clear" w:color="auto" w:fill="auto"/>
            <w:vAlign w:val="bottom"/>
          </w:tcPr>
          <w:p w14:paraId="442F73DD" w14:textId="77777777" w:rsidR="00CC25B5" w:rsidRDefault="00CC25B5">
            <w:pPr>
              <w:rPr>
                <w:rFonts w:ascii="宋体"/>
              </w:rPr>
            </w:pPr>
          </w:p>
        </w:tc>
        <w:tc>
          <w:tcPr>
            <w:tcW w:w="41" w:type="pct"/>
            <w:shd w:val="clear" w:color="auto" w:fill="auto"/>
            <w:vAlign w:val="bottom"/>
          </w:tcPr>
          <w:p w14:paraId="442F73DE" w14:textId="77777777" w:rsidR="00CC25B5" w:rsidRDefault="00CC25B5">
            <w:pPr>
              <w:rPr>
                <w:rFonts w:ascii="宋体"/>
              </w:rPr>
            </w:pPr>
          </w:p>
        </w:tc>
        <w:tc>
          <w:tcPr>
            <w:tcW w:w="5" w:type="pct"/>
            <w:shd w:val="clear" w:color="auto" w:fill="auto"/>
            <w:vAlign w:val="bottom"/>
          </w:tcPr>
          <w:p w14:paraId="442F73DF" w14:textId="77777777" w:rsidR="00CC25B5" w:rsidRDefault="00CC25B5">
            <w:pPr>
              <w:rPr>
                <w:rFonts w:ascii="宋体"/>
              </w:rPr>
            </w:pPr>
          </w:p>
        </w:tc>
        <w:tc>
          <w:tcPr>
            <w:tcW w:w="50" w:type="pct"/>
            <w:shd w:val="clear" w:color="auto" w:fill="auto"/>
            <w:vAlign w:val="bottom"/>
          </w:tcPr>
          <w:p w14:paraId="442F73E0" w14:textId="77777777" w:rsidR="00CC25B5" w:rsidRDefault="00CC25B5">
            <w:pPr>
              <w:rPr>
                <w:rFonts w:ascii="宋体"/>
              </w:rPr>
            </w:pPr>
          </w:p>
        </w:tc>
        <w:tc>
          <w:tcPr>
            <w:tcW w:w="551" w:type="pct"/>
            <w:shd w:val="clear" w:color="auto" w:fill="auto"/>
            <w:vAlign w:val="bottom"/>
          </w:tcPr>
          <w:p w14:paraId="442F73E1" w14:textId="77777777" w:rsidR="00CC25B5" w:rsidRDefault="00CC25B5">
            <w:pPr>
              <w:rPr>
                <w:rFonts w:ascii="宋体"/>
              </w:rPr>
            </w:pPr>
          </w:p>
        </w:tc>
        <w:tc>
          <w:tcPr>
            <w:tcW w:w="5" w:type="pct"/>
            <w:shd w:val="clear" w:color="auto" w:fill="auto"/>
            <w:vAlign w:val="bottom"/>
          </w:tcPr>
          <w:p w14:paraId="442F73E2" w14:textId="77777777" w:rsidR="00CC25B5" w:rsidRDefault="00CC25B5">
            <w:pPr>
              <w:rPr>
                <w:rFonts w:ascii="宋体"/>
              </w:rPr>
            </w:pPr>
          </w:p>
        </w:tc>
        <w:tc>
          <w:tcPr>
            <w:tcW w:w="5" w:type="pct"/>
            <w:shd w:val="clear" w:color="auto" w:fill="auto"/>
            <w:vAlign w:val="bottom"/>
          </w:tcPr>
          <w:p w14:paraId="442F73E3" w14:textId="77777777" w:rsidR="00CC25B5" w:rsidRDefault="00CC25B5">
            <w:pPr>
              <w:rPr>
                <w:rFonts w:ascii="宋体"/>
              </w:rPr>
            </w:pPr>
          </w:p>
        </w:tc>
        <w:tc>
          <w:tcPr>
            <w:tcW w:w="41" w:type="pct"/>
            <w:shd w:val="clear" w:color="auto" w:fill="auto"/>
            <w:vAlign w:val="bottom"/>
          </w:tcPr>
          <w:p w14:paraId="442F73E4" w14:textId="77777777" w:rsidR="00CC25B5" w:rsidRDefault="00CC25B5">
            <w:pPr>
              <w:rPr>
                <w:rFonts w:ascii="宋体"/>
              </w:rPr>
            </w:pPr>
          </w:p>
        </w:tc>
        <w:tc>
          <w:tcPr>
            <w:tcW w:w="5" w:type="pct"/>
            <w:shd w:val="clear" w:color="auto" w:fill="auto"/>
            <w:vAlign w:val="bottom"/>
          </w:tcPr>
          <w:p w14:paraId="442F73E5" w14:textId="77777777" w:rsidR="00CC25B5" w:rsidRDefault="00CC25B5">
            <w:pPr>
              <w:rPr>
                <w:rFonts w:ascii="宋体"/>
              </w:rPr>
            </w:pPr>
          </w:p>
        </w:tc>
        <w:tc>
          <w:tcPr>
            <w:tcW w:w="50" w:type="pct"/>
            <w:shd w:val="clear" w:color="auto" w:fill="auto"/>
            <w:vAlign w:val="bottom"/>
          </w:tcPr>
          <w:p w14:paraId="442F73E6" w14:textId="77777777" w:rsidR="00CC25B5" w:rsidRDefault="00CC25B5">
            <w:pPr>
              <w:rPr>
                <w:rFonts w:ascii="宋体"/>
              </w:rPr>
            </w:pPr>
          </w:p>
        </w:tc>
        <w:tc>
          <w:tcPr>
            <w:tcW w:w="529" w:type="pct"/>
            <w:shd w:val="clear" w:color="auto" w:fill="auto"/>
            <w:vAlign w:val="bottom"/>
          </w:tcPr>
          <w:p w14:paraId="442F73E7" w14:textId="77777777" w:rsidR="00CC25B5" w:rsidRDefault="00CC25B5">
            <w:pPr>
              <w:rPr>
                <w:rFonts w:ascii="宋体"/>
              </w:rPr>
            </w:pPr>
          </w:p>
        </w:tc>
        <w:tc>
          <w:tcPr>
            <w:tcW w:w="5" w:type="pct"/>
            <w:shd w:val="clear" w:color="auto" w:fill="auto"/>
            <w:vAlign w:val="bottom"/>
          </w:tcPr>
          <w:p w14:paraId="442F73E8" w14:textId="77777777" w:rsidR="00CC25B5" w:rsidRDefault="00CC25B5">
            <w:pPr>
              <w:rPr>
                <w:rFonts w:ascii="宋体"/>
              </w:rPr>
            </w:pPr>
          </w:p>
        </w:tc>
        <w:tc>
          <w:tcPr>
            <w:tcW w:w="5" w:type="pct"/>
            <w:shd w:val="clear" w:color="auto" w:fill="auto"/>
            <w:vAlign w:val="bottom"/>
          </w:tcPr>
          <w:p w14:paraId="442F73E9" w14:textId="77777777" w:rsidR="00CC25B5" w:rsidRDefault="00CC25B5">
            <w:pPr>
              <w:rPr>
                <w:rFonts w:ascii="宋体"/>
              </w:rPr>
            </w:pPr>
          </w:p>
        </w:tc>
        <w:tc>
          <w:tcPr>
            <w:tcW w:w="26" w:type="pct"/>
            <w:shd w:val="clear" w:color="auto" w:fill="auto"/>
            <w:vAlign w:val="bottom"/>
          </w:tcPr>
          <w:p w14:paraId="442F73EA" w14:textId="77777777" w:rsidR="00CC25B5" w:rsidRDefault="00CC25B5">
            <w:pPr>
              <w:rPr>
                <w:rFonts w:ascii="宋体"/>
              </w:rPr>
            </w:pPr>
          </w:p>
        </w:tc>
        <w:tc>
          <w:tcPr>
            <w:tcW w:w="5" w:type="pct"/>
            <w:shd w:val="clear" w:color="auto" w:fill="auto"/>
            <w:vAlign w:val="bottom"/>
          </w:tcPr>
          <w:p w14:paraId="442F73EB" w14:textId="77777777" w:rsidR="00CC25B5" w:rsidRDefault="00CC25B5">
            <w:pPr>
              <w:rPr>
                <w:rFonts w:ascii="宋体"/>
              </w:rPr>
            </w:pPr>
          </w:p>
        </w:tc>
        <w:tc>
          <w:tcPr>
            <w:tcW w:w="50" w:type="pct"/>
            <w:shd w:val="clear" w:color="auto" w:fill="auto"/>
            <w:vAlign w:val="bottom"/>
          </w:tcPr>
          <w:p w14:paraId="442F73EC" w14:textId="77777777" w:rsidR="00CC25B5" w:rsidRDefault="00CC25B5">
            <w:pPr>
              <w:rPr>
                <w:rFonts w:ascii="宋体"/>
              </w:rPr>
            </w:pPr>
          </w:p>
        </w:tc>
        <w:tc>
          <w:tcPr>
            <w:tcW w:w="507" w:type="pct"/>
            <w:shd w:val="clear" w:color="auto" w:fill="auto"/>
            <w:vAlign w:val="bottom"/>
          </w:tcPr>
          <w:p w14:paraId="442F73ED" w14:textId="77777777" w:rsidR="00CC25B5" w:rsidRDefault="00CC25B5">
            <w:pPr>
              <w:rPr>
                <w:rFonts w:ascii="宋体"/>
              </w:rPr>
            </w:pPr>
          </w:p>
        </w:tc>
        <w:tc>
          <w:tcPr>
            <w:tcW w:w="5" w:type="pct"/>
            <w:shd w:val="clear" w:color="auto" w:fill="auto"/>
            <w:vAlign w:val="bottom"/>
          </w:tcPr>
          <w:p w14:paraId="442F73EE" w14:textId="77777777" w:rsidR="00CC25B5" w:rsidRDefault="00CC25B5">
            <w:pPr>
              <w:rPr>
                <w:rFonts w:ascii="宋体"/>
              </w:rPr>
            </w:pPr>
          </w:p>
        </w:tc>
        <w:tc>
          <w:tcPr>
            <w:tcW w:w="5" w:type="pct"/>
            <w:shd w:val="clear" w:color="auto" w:fill="auto"/>
            <w:vAlign w:val="bottom"/>
          </w:tcPr>
          <w:p w14:paraId="442F73EF" w14:textId="77777777" w:rsidR="00CC25B5" w:rsidRDefault="00CC25B5">
            <w:pPr>
              <w:rPr>
                <w:rFonts w:ascii="宋体"/>
              </w:rPr>
            </w:pPr>
          </w:p>
        </w:tc>
        <w:tc>
          <w:tcPr>
            <w:tcW w:w="41" w:type="pct"/>
            <w:shd w:val="clear" w:color="auto" w:fill="auto"/>
            <w:vAlign w:val="bottom"/>
          </w:tcPr>
          <w:p w14:paraId="442F73F0" w14:textId="77777777" w:rsidR="00CC25B5" w:rsidRDefault="00CC25B5">
            <w:pPr>
              <w:rPr>
                <w:rFonts w:ascii="宋体"/>
              </w:rPr>
            </w:pPr>
          </w:p>
        </w:tc>
        <w:tc>
          <w:tcPr>
            <w:tcW w:w="5" w:type="pct"/>
            <w:shd w:val="clear" w:color="auto" w:fill="auto"/>
            <w:vAlign w:val="bottom"/>
          </w:tcPr>
          <w:p w14:paraId="442F73F1" w14:textId="77777777" w:rsidR="00CC25B5" w:rsidRDefault="00CC25B5">
            <w:pPr>
              <w:rPr>
                <w:rFonts w:ascii="宋体"/>
              </w:rPr>
            </w:pPr>
          </w:p>
        </w:tc>
        <w:tc>
          <w:tcPr>
            <w:tcW w:w="50" w:type="pct"/>
            <w:shd w:val="clear" w:color="auto" w:fill="auto"/>
            <w:vAlign w:val="bottom"/>
          </w:tcPr>
          <w:p w14:paraId="442F73F2" w14:textId="77777777" w:rsidR="00CC25B5" w:rsidRDefault="00CC25B5">
            <w:pPr>
              <w:rPr>
                <w:rFonts w:ascii="宋体"/>
              </w:rPr>
            </w:pPr>
          </w:p>
        </w:tc>
        <w:tc>
          <w:tcPr>
            <w:tcW w:w="508" w:type="pct"/>
            <w:shd w:val="clear" w:color="auto" w:fill="auto"/>
            <w:vAlign w:val="bottom"/>
          </w:tcPr>
          <w:p w14:paraId="442F73F3" w14:textId="77777777" w:rsidR="00CC25B5" w:rsidRDefault="00CC25B5">
            <w:pPr>
              <w:rPr>
                <w:rFonts w:ascii="宋体"/>
              </w:rPr>
            </w:pPr>
          </w:p>
        </w:tc>
        <w:tc>
          <w:tcPr>
            <w:tcW w:w="5" w:type="pct"/>
            <w:shd w:val="clear" w:color="auto" w:fill="auto"/>
            <w:vAlign w:val="bottom"/>
          </w:tcPr>
          <w:p w14:paraId="442F73F4" w14:textId="77777777" w:rsidR="00CC25B5" w:rsidRDefault="00CC25B5">
            <w:pPr>
              <w:rPr>
                <w:rFonts w:ascii="宋体"/>
              </w:rPr>
            </w:pPr>
          </w:p>
        </w:tc>
      </w:tr>
      <w:tr w:rsidR="00CC25B5" w14:paraId="442F73FB" w14:textId="77777777">
        <w:tc>
          <w:tcPr>
            <w:tcW w:w="0" w:type="auto"/>
            <w:gridSpan w:val="3"/>
            <w:shd w:val="clear" w:color="auto" w:fill="auto"/>
            <w:tcMar>
              <w:top w:w="0" w:type="dxa"/>
              <w:left w:w="20" w:type="dxa"/>
              <w:bottom w:w="0" w:type="dxa"/>
              <w:right w:w="20" w:type="dxa"/>
            </w:tcMar>
            <w:vAlign w:val="bottom"/>
          </w:tcPr>
          <w:p w14:paraId="442F73F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3F7"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3F8"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3F9"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3FA"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7405" w14:textId="77777777">
        <w:tc>
          <w:tcPr>
            <w:tcW w:w="0" w:type="auto"/>
            <w:gridSpan w:val="3"/>
            <w:shd w:val="clear" w:color="auto" w:fill="auto"/>
            <w:tcMar>
              <w:top w:w="40" w:type="dxa"/>
              <w:left w:w="20" w:type="dxa"/>
              <w:bottom w:w="40" w:type="dxa"/>
              <w:right w:w="20" w:type="dxa"/>
            </w:tcMar>
            <w:vAlign w:val="bottom"/>
          </w:tcPr>
          <w:p w14:paraId="442F73FC" w14:textId="77777777" w:rsidR="00CC25B5" w:rsidRDefault="00900968">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442F73FD"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3FE"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3FF"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400"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401"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402"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403"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404"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40F" w14:textId="77777777">
        <w:tc>
          <w:tcPr>
            <w:tcW w:w="0" w:type="auto"/>
            <w:gridSpan w:val="3"/>
            <w:shd w:val="clear" w:color="auto" w:fill="auto"/>
            <w:tcMar>
              <w:top w:w="40" w:type="dxa"/>
              <w:left w:w="20" w:type="dxa"/>
              <w:bottom w:w="40" w:type="dxa"/>
              <w:right w:w="20" w:type="dxa"/>
            </w:tcMar>
            <w:vAlign w:val="center"/>
          </w:tcPr>
          <w:p w14:paraId="442F7406" w14:textId="77777777" w:rsidR="00CC25B5" w:rsidRDefault="00900968">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vAlign w:val="bottom"/>
          </w:tcPr>
          <w:p w14:paraId="442F7407"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40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409"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40A"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40B"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40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40D"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40E" w14:textId="77777777" w:rsidR="00CC25B5" w:rsidRDefault="00CC25B5">
            <w:pPr>
              <w:rPr>
                <w:rFonts w:ascii="宋体"/>
              </w:rPr>
            </w:pPr>
          </w:p>
        </w:tc>
      </w:tr>
      <w:tr w:rsidR="00CC25B5" w14:paraId="442F7421" w14:textId="77777777">
        <w:tc>
          <w:tcPr>
            <w:tcW w:w="0" w:type="auto"/>
            <w:gridSpan w:val="3"/>
            <w:shd w:val="clear" w:color="auto" w:fill="CCEEFF"/>
            <w:tcMar>
              <w:top w:w="40" w:type="dxa"/>
              <w:left w:w="380" w:type="dxa"/>
              <w:bottom w:w="40" w:type="dxa"/>
              <w:right w:w="20" w:type="dxa"/>
            </w:tcMar>
            <w:vAlign w:val="center"/>
          </w:tcPr>
          <w:p w14:paraId="442F7410" w14:textId="77777777" w:rsidR="00CC25B5" w:rsidRDefault="00900968">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442F7411"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412"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413" w14:textId="77777777" w:rsidR="00CC25B5" w:rsidRDefault="00900968">
            <w:pPr>
              <w:jc w:val="right"/>
              <w:textAlignment w:val="center"/>
            </w:pPr>
            <w:r>
              <w:rPr>
                <w:rFonts w:ascii="Times New Roman" w:eastAsia="宋体" w:hAnsi="Times New Roman"/>
                <w:color w:val="000000"/>
                <w:sz w:val="16"/>
                <w:szCs w:val="16"/>
              </w:rPr>
              <w:t>4,364 </w:t>
            </w:r>
          </w:p>
        </w:tc>
        <w:tc>
          <w:tcPr>
            <w:tcW w:w="0" w:type="auto"/>
            <w:shd w:val="clear" w:color="auto" w:fill="CCEEFF"/>
            <w:tcMar>
              <w:top w:w="40" w:type="dxa"/>
              <w:left w:w="0" w:type="dxa"/>
              <w:bottom w:w="40" w:type="dxa"/>
              <w:right w:w="20" w:type="dxa"/>
            </w:tcMar>
            <w:vAlign w:val="center"/>
          </w:tcPr>
          <w:p w14:paraId="442F741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15"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416"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417" w14:textId="77777777" w:rsidR="00CC25B5" w:rsidRDefault="00900968">
            <w:pPr>
              <w:jc w:val="right"/>
              <w:textAlignment w:val="center"/>
            </w:pPr>
            <w:r>
              <w:rPr>
                <w:rFonts w:ascii="Times New Roman" w:eastAsia="宋体" w:hAnsi="Times New Roman"/>
                <w:color w:val="000000"/>
                <w:sz w:val="16"/>
                <w:szCs w:val="16"/>
              </w:rPr>
              <w:t>6,439 </w:t>
            </w:r>
          </w:p>
        </w:tc>
        <w:tc>
          <w:tcPr>
            <w:tcW w:w="0" w:type="auto"/>
            <w:shd w:val="clear" w:color="auto" w:fill="CCEEFF"/>
            <w:tcMar>
              <w:top w:w="40" w:type="dxa"/>
              <w:left w:w="0" w:type="dxa"/>
              <w:bottom w:w="40" w:type="dxa"/>
              <w:right w:w="20" w:type="dxa"/>
            </w:tcMar>
            <w:vAlign w:val="center"/>
          </w:tcPr>
          <w:p w14:paraId="442F741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19" w14:textId="77777777" w:rsidR="00CC25B5" w:rsidRDefault="00CC25B5">
            <w:pPr>
              <w:rPr>
                <w:rFonts w:ascii="宋体"/>
              </w:rPr>
            </w:pPr>
          </w:p>
        </w:tc>
        <w:tc>
          <w:tcPr>
            <w:tcW w:w="0" w:type="auto"/>
            <w:shd w:val="clear" w:color="auto" w:fill="CCEEFF"/>
            <w:tcMar>
              <w:top w:w="40" w:type="dxa"/>
              <w:left w:w="20" w:type="dxa"/>
              <w:bottom w:w="40" w:type="dxa"/>
              <w:right w:w="0" w:type="dxa"/>
            </w:tcMar>
            <w:vAlign w:val="bottom"/>
          </w:tcPr>
          <w:p w14:paraId="442F741A" w14:textId="77777777" w:rsidR="00CC25B5" w:rsidRDefault="00900968">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42F741B" w14:textId="77777777" w:rsidR="00CC25B5" w:rsidRDefault="00900968">
            <w:pPr>
              <w:jc w:val="right"/>
              <w:textAlignment w:val="bottom"/>
            </w:pPr>
            <w:r>
              <w:rPr>
                <w:rFonts w:ascii="Times New Roman" w:eastAsia="宋体" w:hAnsi="Times New Roman"/>
                <w:color w:val="000000"/>
                <w:sz w:val="16"/>
                <w:szCs w:val="16"/>
              </w:rPr>
              <w:t>7,175 </w:t>
            </w:r>
          </w:p>
        </w:tc>
        <w:tc>
          <w:tcPr>
            <w:tcW w:w="0" w:type="auto"/>
            <w:shd w:val="clear" w:color="auto" w:fill="CCEEFF"/>
            <w:tcMar>
              <w:top w:w="40" w:type="dxa"/>
              <w:left w:w="0" w:type="dxa"/>
              <w:bottom w:w="40" w:type="dxa"/>
              <w:right w:w="20" w:type="dxa"/>
            </w:tcMar>
            <w:vAlign w:val="bottom"/>
          </w:tcPr>
          <w:p w14:paraId="442F741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1D" w14:textId="77777777" w:rsidR="00CC25B5" w:rsidRDefault="00CC25B5">
            <w:pPr>
              <w:rPr>
                <w:rFonts w:ascii="宋体"/>
              </w:rPr>
            </w:pPr>
          </w:p>
        </w:tc>
        <w:tc>
          <w:tcPr>
            <w:tcW w:w="0" w:type="auto"/>
            <w:shd w:val="clear" w:color="auto" w:fill="CCEEFF"/>
            <w:tcMar>
              <w:top w:w="40" w:type="dxa"/>
              <w:left w:w="20" w:type="dxa"/>
              <w:bottom w:w="40" w:type="dxa"/>
              <w:right w:w="0" w:type="dxa"/>
            </w:tcMar>
            <w:vAlign w:val="bottom"/>
          </w:tcPr>
          <w:p w14:paraId="442F741E" w14:textId="77777777" w:rsidR="00CC25B5" w:rsidRDefault="00900968">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42F741F" w14:textId="77777777" w:rsidR="00CC25B5" w:rsidRDefault="00900968">
            <w:pPr>
              <w:jc w:val="right"/>
              <w:textAlignment w:val="bottom"/>
            </w:pPr>
            <w:r>
              <w:rPr>
                <w:rFonts w:ascii="Times New Roman" w:eastAsia="宋体" w:hAnsi="Times New Roman"/>
                <w:color w:val="000000"/>
                <w:sz w:val="16"/>
                <w:szCs w:val="16"/>
              </w:rPr>
              <w:t>10,513 </w:t>
            </w:r>
          </w:p>
        </w:tc>
        <w:tc>
          <w:tcPr>
            <w:tcW w:w="0" w:type="auto"/>
            <w:shd w:val="clear" w:color="auto" w:fill="CCEEFF"/>
            <w:tcMar>
              <w:top w:w="40" w:type="dxa"/>
              <w:left w:w="0" w:type="dxa"/>
              <w:bottom w:w="40" w:type="dxa"/>
              <w:right w:w="20" w:type="dxa"/>
            </w:tcMar>
            <w:vAlign w:val="bottom"/>
          </w:tcPr>
          <w:p w14:paraId="442F7420" w14:textId="77777777" w:rsidR="00CC25B5" w:rsidRDefault="00CC25B5">
            <w:pPr>
              <w:jc w:val="right"/>
              <w:rPr>
                <w:rFonts w:ascii="宋体"/>
              </w:rPr>
            </w:pPr>
          </w:p>
        </w:tc>
      </w:tr>
      <w:tr w:rsidR="00CC25B5" w14:paraId="442F742F" w14:textId="77777777">
        <w:tc>
          <w:tcPr>
            <w:tcW w:w="0" w:type="auto"/>
            <w:gridSpan w:val="3"/>
            <w:shd w:val="clear" w:color="auto" w:fill="FFFFFF"/>
            <w:tcMar>
              <w:top w:w="40" w:type="dxa"/>
              <w:left w:w="380" w:type="dxa"/>
              <w:bottom w:w="40" w:type="dxa"/>
              <w:right w:w="20" w:type="dxa"/>
            </w:tcMar>
            <w:vAlign w:val="center"/>
          </w:tcPr>
          <w:p w14:paraId="442F7422" w14:textId="77777777" w:rsidR="00CC25B5" w:rsidRDefault="00900968">
            <w:pPr>
              <w:textAlignment w:val="center"/>
            </w:pPr>
            <w:r>
              <w:rPr>
                <w:rFonts w:ascii="Times New Roman" w:eastAsia="宋体" w:hAnsi="Times New Roman"/>
                <w:color w:val="000000"/>
                <w:sz w:val="16"/>
                <w:szCs w:val="16"/>
              </w:rPr>
              <w:t>Consolidated net (income) loss attributable to noncontrolling interest</w:t>
            </w:r>
          </w:p>
        </w:tc>
        <w:tc>
          <w:tcPr>
            <w:tcW w:w="0" w:type="auto"/>
            <w:gridSpan w:val="3"/>
            <w:shd w:val="clear" w:color="auto" w:fill="FFFFFF"/>
            <w:tcMar>
              <w:top w:w="0" w:type="dxa"/>
              <w:left w:w="20" w:type="dxa"/>
              <w:bottom w:w="0" w:type="dxa"/>
              <w:right w:w="20" w:type="dxa"/>
            </w:tcMar>
            <w:vAlign w:val="bottom"/>
          </w:tcPr>
          <w:p w14:paraId="442F742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24" w14:textId="77777777" w:rsidR="00CC25B5" w:rsidRDefault="00900968">
            <w:pPr>
              <w:jc w:val="right"/>
              <w:textAlignment w:val="center"/>
            </w:pPr>
            <w:r>
              <w:rPr>
                <w:rFonts w:ascii="Times New Roman" w:eastAsia="宋体" w:hAnsi="Times New Roman"/>
                <w:color w:val="000000"/>
                <w:sz w:val="16"/>
                <w:szCs w:val="16"/>
              </w:rPr>
              <w:t>(88)</w:t>
            </w:r>
          </w:p>
        </w:tc>
        <w:tc>
          <w:tcPr>
            <w:tcW w:w="0" w:type="auto"/>
            <w:shd w:val="clear" w:color="auto" w:fill="FFFFFF"/>
            <w:tcMar>
              <w:top w:w="40" w:type="dxa"/>
              <w:left w:w="0" w:type="dxa"/>
              <w:bottom w:w="40" w:type="dxa"/>
              <w:right w:w="20" w:type="dxa"/>
            </w:tcMar>
            <w:vAlign w:val="center"/>
          </w:tcPr>
          <w:p w14:paraId="442F742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2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27" w14:textId="77777777" w:rsidR="00CC25B5" w:rsidRDefault="00900968">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442F742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2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2A" w14:textId="77777777" w:rsidR="00CC25B5" w:rsidRDefault="00900968">
            <w:pPr>
              <w:jc w:val="right"/>
              <w:textAlignment w:val="center"/>
            </w:pPr>
            <w:r>
              <w:rPr>
                <w:rFonts w:ascii="Times New Roman" w:eastAsia="宋体" w:hAnsi="Times New Roman"/>
                <w:color w:val="000000"/>
                <w:sz w:val="16"/>
                <w:szCs w:val="16"/>
              </w:rPr>
              <w:t>(169)</w:t>
            </w:r>
          </w:p>
        </w:tc>
        <w:tc>
          <w:tcPr>
            <w:tcW w:w="0" w:type="auto"/>
            <w:shd w:val="clear" w:color="auto" w:fill="FFFFFF"/>
            <w:tcMar>
              <w:top w:w="40" w:type="dxa"/>
              <w:left w:w="0" w:type="dxa"/>
              <w:bottom w:w="40" w:type="dxa"/>
              <w:right w:w="20" w:type="dxa"/>
            </w:tcMar>
            <w:vAlign w:val="center"/>
          </w:tcPr>
          <w:p w14:paraId="442F742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2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2D" w14:textId="77777777" w:rsidR="00CC25B5" w:rsidRDefault="00900968">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442F742E" w14:textId="77777777" w:rsidR="00CC25B5" w:rsidRDefault="00CC25B5">
            <w:pPr>
              <w:jc w:val="right"/>
              <w:rPr>
                <w:rFonts w:ascii="宋体"/>
              </w:rPr>
            </w:pPr>
          </w:p>
        </w:tc>
      </w:tr>
      <w:tr w:rsidR="00CC25B5" w14:paraId="442F7441" w14:textId="77777777">
        <w:tc>
          <w:tcPr>
            <w:tcW w:w="0" w:type="auto"/>
            <w:gridSpan w:val="3"/>
            <w:shd w:val="clear" w:color="auto" w:fill="CCEEFF"/>
            <w:tcMar>
              <w:top w:w="40" w:type="dxa"/>
              <w:left w:w="380" w:type="dxa"/>
              <w:bottom w:w="40" w:type="dxa"/>
              <w:right w:w="20" w:type="dxa"/>
            </w:tcMar>
            <w:vAlign w:val="center"/>
          </w:tcPr>
          <w:p w14:paraId="442F7430" w14:textId="77777777" w:rsidR="00CC25B5" w:rsidRDefault="00900968">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bottom"/>
          </w:tcPr>
          <w:p w14:paraId="442F7431"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3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33" w14:textId="77777777" w:rsidR="00CC25B5" w:rsidRDefault="00900968">
            <w:pPr>
              <w:jc w:val="right"/>
              <w:textAlignment w:val="center"/>
            </w:pPr>
            <w:r>
              <w:rPr>
                <w:rFonts w:ascii="Times New Roman" w:eastAsia="宋体" w:hAnsi="Times New Roman"/>
                <w:color w:val="000000"/>
                <w:sz w:val="16"/>
                <w:szCs w:val="16"/>
              </w:rPr>
              <w:t>4,276 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3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35"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36"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37" w14:textId="77777777" w:rsidR="00CC25B5" w:rsidRDefault="00900968">
            <w:pPr>
              <w:jc w:val="right"/>
              <w:textAlignment w:val="center"/>
            </w:pPr>
            <w:r>
              <w:rPr>
                <w:rFonts w:ascii="Times New Roman" w:eastAsia="宋体" w:hAnsi="Times New Roman"/>
                <w:color w:val="000000"/>
                <w:sz w:val="16"/>
                <w:szCs w:val="16"/>
              </w:rPr>
              <w:t>6,476 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3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39"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43A"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43B" w14:textId="77777777" w:rsidR="00CC25B5" w:rsidRDefault="00900968">
            <w:pPr>
              <w:jc w:val="right"/>
              <w:textAlignment w:val="bottom"/>
            </w:pPr>
            <w:r>
              <w:rPr>
                <w:rFonts w:ascii="Times New Roman" w:eastAsia="宋体" w:hAnsi="Times New Roman"/>
                <w:color w:val="000000"/>
                <w:sz w:val="16"/>
                <w:szCs w:val="16"/>
              </w:rPr>
              <w:t>7,006 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43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3D"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43E"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43F" w14:textId="77777777" w:rsidR="00CC25B5" w:rsidRDefault="00900968">
            <w:pPr>
              <w:jc w:val="right"/>
              <w:textAlignment w:val="bottom"/>
            </w:pPr>
            <w:r>
              <w:rPr>
                <w:rFonts w:ascii="Times New Roman" w:eastAsia="宋体" w:hAnsi="Times New Roman"/>
                <w:color w:val="000000"/>
                <w:sz w:val="16"/>
                <w:szCs w:val="16"/>
              </w:rPr>
              <w:t>10,466 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440" w14:textId="77777777" w:rsidR="00CC25B5" w:rsidRDefault="00CC25B5">
            <w:pPr>
              <w:jc w:val="right"/>
              <w:rPr>
                <w:rFonts w:ascii="宋体"/>
              </w:rPr>
            </w:pPr>
          </w:p>
        </w:tc>
      </w:tr>
      <w:tr w:rsidR="00CC25B5" w14:paraId="442F744B" w14:textId="77777777">
        <w:trPr>
          <w:trHeight w:val="220"/>
        </w:trPr>
        <w:tc>
          <w:tcPr>
            <w:tcW w:w="0" w:type="auto"/>
            <w:gridSpan w:val="3"/>
            <w:shd w:val="clear" w:color="auto" w:fill="FFFFFF"/>
            <w:tcMar>
              <w:top w:w="0" w:type="dxa"/>
              <w:left w:w="20" w:type="dxa"/>
              <w:bottom w:w="0" w:type="dxa"/>
              <w:right w:w="20" w:type="dxa"/>
            </w:tcMar>
            <w:vAlign w:val="bottom"/>
          </w:tcPr>
          <w:p w14:paraId="442F7442"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43" w14:textId="77777777" w:rsidR="00CC25B5" w:rsidRDefault="00CC25B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F7444"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45" w14:textId="77777777" w:rsidR="00CC25B5" w:rsidRDefault="00CC25B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F744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47" w14:textId="77777777" w:rsidR="00CC25B5" w:rsidRDefault="00CC25B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F744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49" w14:textId="77777777" w:rsidR="00CC25B5" w:rsidRDefault="00CC25B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F744A" w14:textId="77777777" w:rsidR="00CC25B5" w:rsidRDefault="00CC25B5">
            <w:pPr>
              <w:rPr>
                <w:rFonts w:ascii="宋体"/>
              </w:rPr>
            </w:pPr>
          </w:p>
        </w:tc>
      </w:tr>
      <w:tr w:rsidR="00CC25B5" w14:paraId="442F7455" w14:textId="77777777">
        <w:tc>
          <w:tcPr>
            <w:tcW w:w="0" w:type="auto"/>
            <w:gridSpan w:val="3"/>
            <w:shd w:val="clear" w:color="auto" w:fill="CCEEFF"/>
            <w:tcMar>
              <w:top w:w="40" w:type="dxa"/>
              <w:left w:w="20" w:type="dxa"/>
              <w:bottom w:w="40" w:type="dxa"/>
              <w:right w:w="20" w:type="dxa"/>
            </w:tcMar>
            <w:vAlign w:val="center"/>
          </w:tcPr>
          <w:p w14:paraId="442F744C" w14:textId="77777777" w:rsidR="00CC25B5" w:rsidRDefault="00900968">
            <w:pPr>
              <w:textAlignment w:val="center"/>
            </w:pPr>
            <w:r>
              <w:rPr>
                <w:rFonts w:ascii="Times New Roman" w:eastAsia="宋体" w:hAnsi="Times New Roman"/>
                <w:b/>
                <w:bCs/>
                <w:color w:val="000000"/>
                <w:sz w:val="16"/>
                <w:szCs w:val="16"/>
              </w:rPr>
              <w:t>Denominator</w:t>
            </w:r>
          </w:p>
        </w:tc>
        <w:tc>
          <w:tcPr>
            <w:tcW w:w="0" w:type="auto"/>
            <w:gridSpan w:val="3"/>
            <w:shd w:val="clear" w:color="auto" w:fill="CCEEFF"/>
            <w:tcMar>
              <w:top w:w="0" w:type="dxa"/>
              <w:left w:w="20" w:type="dxa"/>
              <w:bottom w:w="0" w:type="dxa"/>
              <w:right w:w="20" w:type="dxa"/>
            </w:tcMar>
            <w:vAlign w:val="bottom"/>
          </w:tcPr>
          <w:p w14:paraId="442F744D"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4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4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50"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51"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52"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53"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54" w14:textId="77777777" w:rsidR="00CC25B5" w:rsidRDefault="00CC25B5">
            <w:pPr>
              <w:rPr>
                <w:rFonts w:ascii="宋体"/>
              </w:rPr>
            </w:pPr>
          </w:p>
        </w:tc>
      </w:tr>
      <w:tr w:rsidR="00CC25B5" w14:paraId="442F7463" w14:textId="77777777">
        <w:tc>
          <w:tcPr>
            <w:tcW w:w="0" w:type="auto"/>
            <w:gridSpan w:val="3"/>
            <w:shd w:val="clear" w:color="auto" w:fill="FFFFFF"/>
            <w:tcMar>
              <w:top w:w="40" w:type="dxa"/>
              <w:left w:w="380" w:type="dxa"/>
              <w:bottom w:w="40" w:type="dxa"/>
              <w:right w:w="20" w:type="dxa"/>
            </w:tcMar>
            <w:vAlign w:val="center"/>
          </w:tcPr>
          <w:p w14:paraId="442F7456" w14:textId="77777777" w:rsidR="00CC25B5" w:rsidRDefault="00900968">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FFFFFF"/>
            <w:tcMar>
              <w:top w:w="0" w:type="dxa"/>
              <w:left w:w="20" w:type="dxa"/>
              <w:bottom w:w="0" w:type="dxa"/>
              <w:right w:w="20" w:type="dxa"/>
            </w:tcMar>
            <w:vAlign w:val="bottom"/>
          </w:tcPr>
          <w:p w14:paraId="442F745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58" w14:textId="77777777" w:rsidR="00CC25B5" w:rsidRDefault="00900968">
            <w:pPr>
              <w:jc w:val="right"/>
              <w:textAlignment w:val="center"/>
            </w:pPr>
            <w:r>
              <w:rPr>
                <w:rFonts w:ascii="Times New Roman" w:eastAsia="宋体" w:hAnsi="Times New Roman"/>
                <w:color w:val="000000"/>
                <w:sz w:val="16"/>
                <w:szCs w:val="16"/>
              </w:rPr>
              <w:t>2,799 </w:t>
            </w:r>
          </w:p>
        </w:tc>
        <w:tc>
          <w:tcPr>
            <w:tcW w:w="0" w:type="auto"/>
            <w:shd w:val="clear" w:color="auto" w:fill="FFFFFF"/>
            <w:tcMar>
              <w:top w:w="40" w:type="dxa"/>
              <w:left w:w="0" w:type="dxa"/>
              <w:bottom w:w="40" w:type="dxa"/>
              <w:right w:w="20" w:type="dxa"/>
            </w:tcMar>
            <w:vAlign w:val="center"/>
          </w:tcPr>
          <w:p w14:paraId="442F745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5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5B" w14:textId="77777777" w:rsidR="00CC25B5" w:rsidRDefault="00900968">
            <w:pPr>
              <w:jc w:val="right"/>
              <w:textAlignment w:val="center"/>
            </w:pPr>
            <w:r>
              <w:rPr>
                <w:rFonts w:ascii="Times New Roman" w:eastAsia="宋体" w:hAnsi="Times New Roman"/>
                <w:color w:val="000000"/>
                <w:sz w:val="16"/>
                <w:szCs w:val="16"/>
              </w:rPr>
              <w:t>2,832 </w:t>
            </w:r>
          </w:p>
        </w:tc>
        <w:tc>
          <w:tcPr>
            <w:tcW w:w="0" w:type="auto"/>
            <w:shd w:val="clear" w:color="auto" w:fill="FFFFFF"/>
            <w:tcMar>
              <w:top w:w="40" w:type="dxa"/>
              <w:left w:w="0" w:type="dxa"/>
              <w:bottom w:w="40" w:type="dxa"/>
              <w:right w:w="20" w:type="dxa"/>
            </w:tcMar>
            <w:vAlign w:val="center"/>
          </w:tcPr>
          <w:p w14:paraId="442F745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5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5E" w14:textId="77777777" w:rsidR="00CC25B5" w:rsidRDefault="00900968">
            <w:pPr>
              <w:jc w:val="right"/>
              <w:textAlignment w:val="center"/>
            </w:pPr>
            <w:r>
              <w:rPr>
                <w:rFonts w:ascii="Times New Roman" w:eastAsia="宋体" w:hAnsi="Times New Roman"/>
                <w:color w:val="000000"/>
                <w:sz w:val="16"/>
                <w:szCs w:val="16"/>
              </w:rPr>
              <w:t>2,807 </w:t>
            </w:r>
          </w:p>
        </w:tc>
        <w:tc>
          <w:tcPr>
            <w:tcW w:w="0" w:type="auto"/>
            <w:shd w:val="clear" w:color="auto" w:fill="FFFFFF"/>
            <w:tcMar>
              <w:top w:w="40" w:type="dxa"/>
              <w:left w:w="0" w:type="dxa"/>
              <w:bottom w:w="40" w:type="dxa"/>
              <w:right w:w="20" w:type="dxa"/>
            </w:tcMar>
            <w:vAlign w:val="center"/>
          </w:tcPr>
          <w:p w14:paraId="442F745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6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461" w14:textId="77777777" w:rsidR="00CC25B5" w:rsidRDefault="00900968">
            <w:pPr>
              <w:jc w:val="right"/>
              <w:textAlignment w:val="center"/>
            </w:pPr>
            <w:r>
              <w:rPr>
                <w:rFonts w:ascii="Times New Roman" w:eastAsia="宋体" w:hAnsi="Times New Roman"/>
                <w:color w:val="000000"/>
                <w:sz w:val="16"/>
                <w:szCs w:val="16"/>
              </w:rPr>
              <w:t>2,832 </w:t>
            </w:r>
          </w:p>
        </w:tc>
        <w:tc>
          <w:tcPr>
            <w:tcW w:w="0" w:type="auto"/>
            <w:shd w:val="clear" w:color="auto" w:fill="FFFFFF"/>
            <w:tcMar>
              <w:top w:w="40" w:type="dxa"/>
              <w:left w:w="0" w:type="dxa"/>
              <w:bottom w:w="40" w:type="dxa"/>
              <w:right w:w="20" w:type="dxa"/>
            </w:tcMar>
            <w:vAlign w:val="center"/>
          </w:tcPr>
          <w:p w14:paraId="442F7462" w14:textId="77777777" w:rsidR="00CC25B5" w:rsidRDefault="00CC25B5">
            <w:pPr>
              <w:jc w:val="right"/>
              <w:rPr>
                <w:rFonts w:ascii="宋体"/>
              </w:rPr>
            </w:pPr>
          </w:p>
        </w:tc>
      </w:tr>
      <w:tr w:rsidR="00CC25B5" w14:paraId="442F7471" w14:textId="77777777">
        <w:tc>
          <w:tcPr>
            <w:tcW w:w="0" w:type="auto"/>
            <w:gridSpan w:val="3"/>
            <w:shd w:val="clear" w:color="auto" w:fill="CCEEFF"/>
            <w:tcMar>
              <w:top w:w="40" w:type="dxa"/>
              <w:left w:w="380" w:type="dxa"/>
              <w:bottom w:w="40" w:type="dxa"/>
              <w:right w:w="20" w:type="dxa"/>
            </w:tcMar>
            <w:vAlign w:val="center"/>
          </w:tcPr>
          <w:p w14:paraId="442F7464" w14:textId="77777777" w:rsidR="00CC25B5" w:rsidRDefault="00900968">
            <w:pPr>
              <w:textAlignment w:val="center"/>
            </w:pPr>
            <w:r>
              <w:rPr>
                <w:rFonts w:ascii="Times New Roman" w:eastAsia="宋体" w:hAnsi="Times New Roman"/>
                <w:color w:val="000000"/>
                <w:sz w:val="16"/>
                <w:szCs w:val="16"/>
              </w:rPr>
              <w:t>Dilutive impact of share-based awards</w:t>
            </w:r>
          </w:p>
        </w:tc>
        <w:tc>
          <w:tcPr>
            <w:tcW w:w="0" w:type="auto"/>
            <w:gridSpan w:val="3"/>
            <w:shd w:val="clear" w:color="auto" w:fill="CCEEFF"/>
            <w:tcMar>
              <w:top w:w="0" w:type="dxa"/>
              <w:left w:w="20" w:type="dxa"/>
              <w:bottom w:w="0" w:type="dxa"/>
              <w:right w:w="20" w:type="dxa"/>
            </w:tcMar>
            <w:vAlign w:val="bottom"/>
          </w:tcPr>
          <w:p w14:paraId="442F746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466" w14:textId="77777777" w:rsidR="00CC25B5" w:rsidRDefault="00900968">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442F746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6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469" w14:textId="77777777" w:rsidR="00CC25B5" w:rsidRDefault="00900968">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42F746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6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46C" w14:textId="77777777" w:rsidR="00CC25B5" w:rsidRDefault="00900968">
            <w:pPr>
              <w:jc w:val="right"/>
              <w:textAlignment w:val="bottom"/>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bottom"/>
          </w:tcPr>
          <w:p w14:paraId="442F746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6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46F" w14:textId="77777777" w:rsidR="00CC25B5" w:rsidRDefault="00900968">
            <w:pPr>
              <w:jc w:val="right"/>
              <w:textAlignment w:val="bottom"/>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bottom"/>
          </w:tcPr>
          <w:p w14:paraId="442F7470" w14:textId="77777777" w:rsidR="00CC25B5" w:rsidRDefault="00CC25B5">
            <w:pPr>
              <w:jc w:val="right"/>
              <w:rPr>
                <w:rFonts w:ascii="宋体"/>
              </w:rPr>
            </w:pPr>
          </w:p>
        </w:tc>
      </w:tr>
      <w:tr w:rsidR="00CC25B5" w14:paraId="442F747F" w14:textId="77777777">
        <w:tc>
          <w:tcPr>
            <w:tcW w:w="0" w:type="auto"/>
            <w:gridSpan w:val="3"/>
            <w:shd w:val="clear" w:color="auto" w:fill="FFFFFF"/>
            <w:tcMar>
              <w:top w:w="40" w:type="dxa"/>
              <w:left w:w="380" w:type="dxa"/>
              <w:bottom w:w="40" w:type="dxa"/>
              <w:right w:w="20" w:type="dxa"/>
            </w:tcMar>
            <w:vAlign w:val="center"/>
          </w:tcPr>
          <w:p w14:paraId="442F7472" w14:textId="77777777" w:rsidR="00CC25B5" w:rsidRDefault="00900968">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FFFFFF"/>
            <w:tcMar>
              <w:top w:w="0" w:type="dxa"/>
              <w:left w:w="20" w:type="dxa"/>
              <w:bottom w:w="0" w:type="dxa"/>
              <w:right w:w="20" w:type="dxa"/>
            </w:tcMar>
            <w:vAlign w:val="bottom"/>
          </w:tcPr>
          <w:p w14:paraId="442F7473"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474" w14:textId="77777777" w:rsidR="00CC25B5" w:rsidRDefault="00900968">
            <w:pPr>
              <w:jc w:val="right"/>
              <w:textAlignment w:val="center"/>
            </w:pPr>
            <w:r>
              <w:rPr>
                <w:rFonts w:ascii="Times New Roman" w:eastAsia="宋体" w:hAnsi="Times New Roman"/>
                <w:color w:val="000000"/>
                <w:sz w:val="16"/>
                <w:szCs w:val="16"/>
              </w:rPr>
              <w:t>2,812 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47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76"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477" w14:textId="77777777" w:rsidR="00CC25B5" w:rsidRDefault="00900968">
            <w:pPr>
              <w:jc w:val="right"/>
              <w:textAlignment w:val="center"/>
            </w:pPr>
            <w:r>
              <w:rPr>
                <w:rFonts w:ascii="Times New Roman" w:eastAsia="宋体" w:hAnsi="Times New Roman"/>
                <w:color w:val="000000"/>
                <w:sz w:val="16"/>
                <w:szCs w:val="16"/>
              </w:rPr>
              <w:t>2,848 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47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79"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47A" w14:textId="77777777" w:rsidR="00CC25B5" w:rsidRDefault="00900968">
            <w:pPr>
              <w:jc w:val="right"/>
              <w:textAlignment w:val="center"/>
            </w:pPr>
            <w:r>
              <w:rPr>
                <w:rFonts w:ascii="Times New Roman" w:eastAsia="宋体" w:hAnsi="Times New Roman"/>
                <w:color w:val="000000"/>
                <w:sz w:val="16"/>
                <w:szCs w:val="16"/>
              </w:rPr>
              <w:t>2,820 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47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7C"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47D" w14:textId="77777777" w:rsidR="00CC25B5" w:rsidRDefault="00900968">
            <w:pPr>
              <w:jc w:val="right"/>
              <w:textAlignment w:val="center"/>
            </w:pPr>
            <w:r>
              <w:rPr>
                <w:rFonts w:ascii="Times New Roman" w:eastAsia="宋体" w:hAnsi="Times New Roman"/>
                <w:color w:val="000000"/>
                <w:sz w:val="16"/>
                <w:szCs w:val="16"/>
              </w:rPr>
              <w:t>2,848 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47E" w14:textId="77777777" w:rsidR="00CC25B5" w:rsidRDefault="00CC25B5">
            <w:pPr>
              <w:jc w:val="right"/>
              <w:rPr>
                <w:rFonts w:ascii="宋体"/>
              </w:rPr>
            </w:pPr>
          </w:p>
        </w:tc>
      </w:tr>
      <w:tr w:rsidR="00CC25B5" w14:paraId="442F7489" w14:textId="77777777">
        <w:trPr>
          <w:trHeight w:val="220"/>
        </w:trPr>
        <w:tc>
          <w:tcPr>
            <w:tcW w:w="0" w:type="auto"/>
            <w:gridSpan w:val="3"/>
            <w:shd w:val="clear" w:color="auto" w:fill="CCEEFF"/>
            <w:tcMar>
              <w:top w:w="0" w:type="dxa"/>
              <w:left w:w="20" w:type="dxa"/>
              <w:bottom w:w="0" w:type="dxa"/>
              <w:right w:w="20" w:type="dxa"/>
            </w:tcMar>
            <w:vAlign w:val="bottom"/>
          </w:tcPr>
          <w:p w14:paraId="442F7480"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81"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482"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83"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484"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85"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486"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487"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488" w14:textId="77777777" w:rsidR="00CC25B5" w:rsidRDefault="00CC25B5">
            <w:pPr>
              <w:rPr>
                <w:rFonts w:ascii="宋体"/>
              </w:rPr>
            </w:pPr>
          </w:p>
        </w:tc>
      </w:tr>
      <w:tr w:rsidR="00CC25B5" w14:paraId="442F7493" w14:textId="77777777">
        <w:tc>
          <w:tcPr>
            <w:tcW w:w="0" w:type="auto"/>
            <w:gridSpan w:val="3"/>
            <w:shd w:val="clear" w:color="auto" w:fill="FFFFFF"/>
            <w:tcMar>
              <w:top w:w="40" w:type="dxa"/>
              <w:left w:w="20" w:type="dxa"/>
              <w:bottom w:w="40" w:type="dxa"/>
              <w:right w:w="20" w:type="dxa"/>
            </w:tcMar>
            <w:vAlign w:val="center"/>
          </w:tcPr>
          <w:p w14:paraId="442F748A" w14:textId="77777777" w:rsidR="00CC25B5" w:rsidRDefault="00900968">
            <w:pPr>
              <w:textAlignment w:val="center"/>
            </w:pPr>
            <w:r>
              <w:rPr>
                <w:rFonts w:ascii="Times New Roman" w:eastAsia="宋体" w:hAnsi="Times New Roman"/>
                <w:b/>
                <w:bCs/>
                <w:color w:val="000000"/>
                <w:sz w:val="16"/>
                <w:szCs w:val="16"/>
              </w:rPr>
              <w:t>Net income per common share attributable to Walmart</w:t>
            </w:r>
          </w:p>
        </w:tc>
        <w:tc>
          <w:tcPr>
            <w:tcW w:w="0" w:type="auto"/>
            <w:gridSpan w:val="3"/>
            <w:shd w:val="clear" w:color="auto" w:fill="FFFFFF"/>
            <w:tcMar>
              <w:top w:w="0" w:type="dxa"/>
              <w:left w:w="20" w:type="dxa"/>
              <w:bottom w:w="0" w:type="dxa"/>
              <w:right w:w="20" w:type="dxa"/>
            </w:tcMar>
            <w:vAlign w:val="bottom"/>
          </w:tcPr>
          <w:p w14:paraId="442F748B"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8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8D"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8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8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9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9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492" w14:textId="77777777" w:rsidR="00CC25B5" w:rsidRDefault="00CC25B5">
            <w:pPr>
              <w:rPr>
                <w:rFonts w:ascii="宋体"/>
              </w:rPr>
            </w:pPr>
          </w:p>
        </w:tc>
      </w:tr>
      <w:tr w:rsidR="00CC25B5" w14:paraId="442F74A5" w14:textId="77777777">
        <w:tc>
          <w:tcPr>
            <w:tcW w:w="0" w:type="auto"/>
            <w:gridSpan w:val="3"/>
            <w:shd w:val="clear" w:color="auto" w:fill="CCEEFF"/>
            <w:tcMar>
              <w:top w:w="40" w:type="dxa"/>
              <w:left w:w="380" w:type="dxa"/>
              <w:bottom w:w="40" w:type="dxa"/>
              <w:right w:w="20" w:type="dxa"/>
            </w:tcMar>
            <w:vAlign w:val="center"/>
          </w:tcPr>
          <w:p w14:paraId="442F7494" w14:textId="77777777" w:rsidR="00CC25B5" w:rsidRDefault="00900968">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442F7495" w14:textId="77777777" w:rsidR="00CC25B5" w:rsidRDefault="00CC25B5">
            <w:pPr>
              <w:rPr>
                <w:rFonts w:ascii="宋体"/>
              </w:rPr>
            </w:pPr>
          </w:p>
        </w:tc>
        <w:tc>
          <w:tcPr>
            <w:tcW w:w="0" w:type="auto"/>
            <w:shd w:val="clear" w:color="auto" w:fill="CCEEFF"/>
            <w:tcMar>
              <w:top w:w="40" w:type="dxa"/>
              <w:left w:w="20" w:type="dxa"/>
              <w:bottom w:w="40" w:type="dxa"/>
              <w:right w:w="0" w:type="dxa"/>
            </w:tcMar>
            <w:vAlign w:val="bottom"/>
          </w:tcPr>
          <w:p w14:paraId="442F7496" w14:textId="77777777" w:rsidR="00CC25B5" w:rsidRDefault="00900968">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42F7497" w14:textId="77777777" w:rsidR="00CC25B5" w:rsidRDefault="00900968">
            <w:pPr>
              <w:jc w:val="right"/>
              <w:textAlignment w:val="bottom"/>
            </w:pPr>
            <w:r>
              <w:rPr>
                <w:rFonts w:ascii="Times New Roman" w:eastAsia="宋体" w:hAnsi="Times New Roman"/>
                <w:color w:val="000000"/>
                <w:sz w:val="16"/>
                <w:szCs w:val="16"/>
              </w:rPr>
              <w:t>1.53 </w:t>
            </w:r>
          </w:p>
        </w:tc>
        <w:tc>
          <w:tcPr>
            <w:tcW w:w="0" w:type="auto"/>
            <w:shd w:val="clear" w:color="auto" w:fill="CCEEFF"/>
            <w:tcMar>
              <w:top w:w="40" w:type="dxa"/>
              <w:left w:w="0" w:type="dxa"/>
              <w:bottom w:w="40" w:type="dxa"/>
              <w:right w:w="20" w:type="dxa"/>
            </w:tcMar>
            <w:vAlign w:val="bottom"/>
          </w:tcPr>
          <w:p w14:paraId="442F749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99" w14:textId="77777777" w:rsidR="00CC25B5" w:rsidRDefault="00CC25B5">
            <w:pPr>
              <w:rPr>
                <w:rFonts w:ascii="宋体"/>
              </w:rPr>
            </w:pPr>
          </w:p>
        </w:tc>
        <w:tc>
          <w:tcPr>
            <w:tcW w:w="0" w:type="auto"/>
            <w:shd w:val="clear" w:color="auto" w:fill="CCEEFF"/>
            <w:tcMar>
              <w:top w:w="40" w:type="dxa"/>
              <w:left w:w="20" w:type="dxa"/>
              <w:bottom w:w="40" w:type="dxa"/>
              <w:right w:w="0" w:type="dxa"/>
            </w:tcMar>
            <w:vAlign w:val="bottom"/>
          </w:tcPr>
          <w:p w14:paraId="442F749A" w14:textId="77777777" w:rsidR="00CC25B5" w:rsidRDefault="00900968">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42F749B" w14:textId="77777777" w:rsidR="00CC25B5" w:rsidRDefault="00900968">
            <w:pPr>
              <w:jc w:val="right"/>
              <w:textAlignment w:val="bottom"/>
            </w:pPr>
            <w:r>
              <w:rPr>
                <w:rFonts w:ascii="Times New Roman" w:eastAsia="宋体" w:hAnsi="Times New Roman"/>
                <w:color w:val="000000"/>
                <w:sz w:val="16"/>
                <w:szCs w:val="16"/>
              </w:rPr>
              <w:t>2.29 </w:t>
            </w:r>
          </w:p>
        </w:tc>
        <w:tc>
          <w:tcPr>
            <w:tcW w:w="0" w:type="auto"/>
            <w:shd w:val="clear" w:color="auto" w:fill="CCEEFF"/>
            <w:tcMar>
              <w:top w:w="40" w:type="dxa"/>
              <w:left w:w="0" w:type="dxa"/>
              <w:bottom w:w="40" w:type="dxa"/>
              <w:right w:w="20" w:type="dxa"/>
            </w:tcMar>
            <w:vAlign w:val="bottom"/>
          </w:tcPr>
          <w:p w14:paraId="442F749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9D" w14:textId="77777777" w:rsidR="00CC25B5" w:rsidRDefault="00CC25B5">
            <w:pPr>
              <w:rPr>
                <w:rFonts w:ascii="宋体"/>
              </w:rPr>
            </w:pPr>
          </w:p>
        </w:tc>
        <w:tc>
          <w:tcPr>
            <w:tcW w:w="0" w:type="auto"/>
            <w:shd w:val="clear" w:color="auto" w:fill="CCEEFF"/>
            <w:tcMar>
              <w:top w:w="40" w:type="dxa"/>
              <w:left w:w="20" w:type="dxa"/>
              <w:bottom w:w="40" w:type="dxa"/>
              <w:right w:w="0" w:type="dxa"/>
            </w:tcMar>
            <w:vAlign w:val="bottom"/>
          </w:tcPr>
          <w:p w14:paraId="442F749E" w14:textId="77777777" w:rsidR="00CC25B5" w:rsidRDefault="00900968">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42F749F" w14:textId="77777777" w:rsidR="00CC25B5" w:rsidRDefault="00900968">
            <w:pPr>
              <w:jc w:val="right"/>
              <w:textAlignment w:val="bottom"/>
            </w:pPr>
            <w:r>
              <w:rPr>
                <w:rFonts w:ascii="Times New Roman" w:eastAsia="宋体" w:hAnsi="Times New Roman"/>
                <w:color w:val="000000"/>
                <w:sz w:val="16"/>
                <w:szCs w:val="16"/>
              </w:rPr>
              <w:t>2.50 </w:t>
            </w:r>
          </w:p>
        </w:tc>
        <w:tc>
          <w:tcPr>
            <w:tcW w:w="0" w:type="auto"/>
            <w:shd w:val="clear" w:color="auto" w:fill="CCEEFF"/>
            <w:tcMar>
              <w:top w:w="40" w:type="dxa"/>
              <w:left w:w="0" w:type="dxa"/>
              <w:bottom w:w="40" w:type="dxa"/>
              <w:right w:w="20" w:type="dxa"/>
            </w:tcMar>
            <w:vAlign w:val="bottom"/>
          </w:tcPr>
          <w:p w14:paraId="442F74A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A1" w14:textId="77777777" w:rsidR="00CC25B5" w:rsidRDefault="00CC25B5">
            <w:pPr>
              <w:rPr>
                <w:rFonts w:ascii="宋体"/>
              </w:rPr>
            </w:pPr>
          </w:p>
        </w:tc>
        <w:tc>
          <w:tcPr>
            <w:tcW w:w="0" w:type="auto"/>
            <w:shd w:val="clear" w:color="auto" w:fill="CCEEFF"/>
            <w:tcMar>
              <w:top w:w="40" w:type="dxa"/>
              <w:left w:w="20" w:type="dxa"/>
              <w:bottom w:w="40" w:type="dxa"/>
              <w:right w:w="0" w:type="dxa"/>
            </w:tcMar>
            <w:vAlign w:val="bottom"/>
          </w:tcPr>
          <w:p w14:paraId="442F74A2" w14:textId="77777777" w:rsidR="00CC25B5" w:rsidRDefault="00900968">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42F74A3" w14:textId="77777777" w:rsidR="00CC25B5" w:rsidRDefault="00900968">
            <w:pPr>
              <w:jc w:val="right"/>
              <w:textAlignment w:val="bottom"/>
            </w:pPr>
            <w:r>
              <w:rPr>
                <w:rFonts w:ascii="Times New Roman" w:eastAsia="宋体" w:hAnsi="Times New Roman"/>
                <w:color w:val="000000"/>
                <w:sz w:val="16"/>
                <w:szCs w:val="16"/>
              </w:rPr>
              <w:t>3.70 </w:t>
            </w:r>
          </w:p>
        </w:tc>
        <w:tc>
          <w:tcPr>
            <w:tcW w:w="0" w:type="auto"/>
            <w:shd w:val="clear" w:color="auto" w:fill="CCEEFF"/>
            <w:tcMar>
              <w:top w:w="40" w:type="dxa"/>
              <w:left w:w="0" w:type="dxa"/>
              <w:bottom w:w="40" w:type="dxa"/>
              <w:right w:w="20" w:type="dxa"/>
            </w:tcMar>
            <w:vAlign w:val="bottom"/>
          </w:tcPr>
          <w:p w14:paraId="442F74A4" w14:textId="77777777" w:rsidR="00CC25B5" w:rsidRDefault="00CC25B5">
            <w:pPr>
              <w:jc w:val="right"/>
              <w:rPr>
                <w:rFonts w:ascii="宋体"/>
              </w:rPr>
            </w:pPr>
          </w:p>
        </w:tc>
      </w:tr>
      <w:tr w:rsidR="00CC25B5" w14:paraId="442F74B3" w14:textId="77777777">
        <w:tc>
          <w:tcPr>
            <w:tcW w:w="0" w:type="auto"/>
            <w:gridSpan w:val="3"/>
            <w:shd w:val="clear" w:color="auto" w:fill="FFFFFF"/>
            <w:tcMar>
              <w:top w:w="40" w:type="dxa"/>
              <w:left w:w="380" w:type="dxa"/>
              <w:bottom w:w="40" w:type="dxa"/>
              <w:right w:w="20" w:type="dxa"/>
            </w:tcMar>
            <w:vAlign w:val="center"/>
          </w:tcPr>
          <w:p w14:paraId="442F74A6" w14:textId="77777777" w:rsidR="00CC25B5" w:rsidRDefault="00900968">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442F74A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4A8" w14:textId="77777777" w:rsidR="00CC25B5" w:rsidRDefault="00900968">
            <w:pPr>
              <w:jc w:val="right"/>
              <w:textAlignment w:val="bottom"/>
            </w:pPr>
            <w:r>
              <w:rPr>
                <w:rFonts w:ascii="Times New Roman" w:eastAsia="宋体" w:hAnsi="Times New Roman"/>
                <w:color w:val="000000"/>
                <w:sz w:val="16"/>
                <w:szCs w:val="16"/>
              </w:rPr>
              <w:t>1.52 </w:t>
            </w:r>
          </w:p>
        </w:tc>
        <w:tc>
          <w:tcPr>
            <w:tcW w:w="0" w:type="auto"/>
            <w:shd w:val="clear" w:color="auto" w:fill="FFFFFF"/>
            <w:tcMar>
              <w:top w:w="40" w:type="dxa"/>
              <w:left w:w="0" w:type="dxa"/>
              <w:bottom w:w="40" w:type="dxa"/>
              <w:right w:w="20" w:type="dxa"/>
            </w:tcMar>
            <w:vAlign w:val="bottom"/>
          </w:tcPr>
          <w:p w14:paraId="442F74A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A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4AB" w14:textId="77777777" w:rsidR="00CC25B5" w:rsidRDefault="00900968">
            <w:pPr>
              <w:jc w:val="right"/>
              <w:textAlignment w:val="bottom"/>
            </w:pPr>
            <w:r>
              <w:rPr>
                <w:rFonts w:ascii="Times New Roman" w:eastAsia="宋体" w:hAnsi="Times New Roman"/>
                <w:color w:val="000000"/>
                <w:sz w:val="16"/>
                <w:szCs w:val="16"/>
              </w:rPr>
              <w:t>2.27 </w:t>
            </w:r>
          </w:p>
        </w:tc>
        <w:tc>
          <w:tcPr>
            <w:tcW w:w="0" w:type="auto"/>
            <w:shd w:val="clear" w:color="auto" w:fill="FFFFFF"/>
            <w:tcMar>
              <w:top w:w="40" w:type="dxa"/>
              <w:left w:w="0" w:type="dxa"/>
              <w:bottom w:w="40" w:type="dxa"/>
              <w:right w:w="20" w:type="dxa"/>
            </w:tcMar>
            <w:vAlign w:val="bottom"/>
          </w:tcPr>
          <w:p w14:paraId="442F74A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A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4AE" w14:textId="77777777" w:rsidR="00CC25B5" w:rsidRDefault="00900968">
            <w:pPr>
              <w:jc w:val="right"/>
              <w:textAlignment w:val="bottom"/>
            </w:pPr>
            <w:r>
              <w:rPr>
                <w:rFonts w:ascii="Times New Roman" w:eastAsia="宋体" w:hAnsi="Times New Roman"/>
                <w:color w:val="000000"/>
                <w:sz w:val="16"/>
                <w:szCs w:val="16"/>
              </w:rPr>
              <w:t>2.48 </w:t>
            </w:r>
          </w:p>
        </w:tc>
        <w:tc>
          <w:tcPr>
            <w:tcW w:w="0" w:type="auto"/>
            <w:shd w:val="clear" w:color="auto" w:fill="FFFFFF"/>
            <w:tcMar>
              <w:top w:w="40" w:type="dxa"/>
              <w:left w:w="0" w:type="dxa"/>
              <w:bottom w:w="40" w:type="dxa"/>
              <w:right w:w="20" w:type="dxa"/>
            </w:tcMar>
            <w:vAlign w:val="bottom"/>
          </w:tcPr>
          <w:p w14:paraId="442F74A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4B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4B1" w14:textId="77777777" w:rsidR="00CC25B5" w:rsidRDefault="00900968">
            <w:pPr>
              <w:jc w:val="right"/>
              <w:textAlignment w:val="bottom"/>
            </w:pPr>
            <w:r>
              <w:rPr>
                <w:rFonts w:ascii="Times New Roman" w:eastAsia="宋体" w:hAnsi="Times New Roman"/>
                <w:color w:val="000000"/>
                <w:sz w:val="16"/>
                <w:szCs w:val="16"/>
              </w:rPr>
              <w:t>3.67 </w:t>
            </w:r>
          </w:p>
        </w:tc>
        <w:tc>
          <w:tcPr>
            <w:tcW w:w="0" w:type="auto"/>
            <w:shd w:val="clear" w:color="auto" w:fill="FFFFFF"/>
            <w:tcMar>
              <w:top w:w="40" w:type="dxa"/>
              <w:left w:w="0" w:type="dxa"/>
              <w:bottom w:w="40" w:type="dxa"/>
              <w:right w:w="20" w:type="dxa"/>
            </w:tcMar>
            <w:vAlign w:val="bottom"/>
          </w:tcPr>
          <w:p w14:paraId="442F74B2" w14:textId="77777777" w:rsidR="00CC25B5" w:rsidRDefault="00CC25B5">
            <w:pPr>
              <w:jc w:val="right"/>
              <w:rPr>
                <w:rFonts w:ascii="宋体"/>
              </w:rPr>
            </w:pPr>
          </w:p>
        </w:tc>
      </w:tr>
    </w:tbl>
    <w:p w14:paraId="442F74B4" w14:textId="77777777" w:rsidR="00CC25B5" w:rsidRDefault="00900968">
      <w:pPr>
        <w:spacing w:before="240"/>
      </w:pPr>
      <w:r>
        <w:rPr>
          <w:rFonts w:ascii="Times New Roman" w:eastAsia="宋体" w:hAnsi="Times New Roman"/>
          <w:b/>
          <w:bCs/>
          <w:color w:val="000000"/>
          <w:sz w:val="20"/>
          <w:szCs w:val="20"/>
        </w:rPr>
        <w:t>Note 3. Accumulated Other Comprehensive Loss</w:t>
      </w:r>
    </w:p>
    <w:p w14:paraId="442F74B5" w14:textId="77777777" w:rsidR="00CC25B5" w:rsidRDefault="00900968">
      <w:pPr>
        <w:spacing w:before="180"/>
      </w:pPr>
      <w:r>
        <w:rPr>
          <w:rFonts w:ascii="Times New Roman" w:eastAsia="宋体" w:hAnsi="Times New Roman"/>
          <w:color w:val="000000"/>
          <w:sz w:val="20"/>
          <w:szCs w:val="20"/>
        </w:rPr>
        <w:t>Amounts reclassified from accumulated other comprehensive loss for derivative instruments are generally recorded in interest, net, in the Company's Condensed Consoli</w:t>
      </w:r>
      <w:r>
        <w:rPr>
          <w:rFonts w:ascii="Times New Roman" w:eastAsia="宋体" w:hAnsi="Times New Roman"/>
          <w:color w:val="000000"/>
          <w:sz w:val="20"/>
          <w:szCs w:val="20"/>
        </w:rPr>
        <w:t>dated Statements of Income. Amounts for the minimum pension liability, as well as the cumulative translation and any related net investment hedge impacts resulting from a disposition of a business, are recorded in other gains and losses in the Company's Co</w:t>
      </w:r>
      <w:r>
        <w:rPr>
          <w:rFonts w:ascii="Times New Roman" w:eastAsia="宋体" w:hAnsi="Times New Roman"/>
          <w:color w:val="000000"/>
          <w:sz w:val="20"/>
          <w:szCs w:val="20"/>
        </w:rPr>
        <w:t xml:space="preserve">ndensed Consolidated Statements of Income. The following tables provide the changes in the composition of total accumulated other comprehensive loss for the three months ended April 30, 2021 and July 31, 2021, respectively, as well as for the three months </w:t>
      </w:r>
      <w:r>
        <w:rPr>
          <w:rFonts w:ascii="Times New Roman" w:eastAsia="宋体" w:hAnsi="Times New Roman"/>
          <w:color w:val="000000"/>
          <w:sz w:val="20"/>
          <w:szCs w:val="20"/>
        </w:rPr>
        <w:t xml:space="preserve">ended April 30, 2020 and July 31, 2020, respectively: </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CC25B5" w14:paraId="442F74D7" w14:textId="77777777">
        <w:tc>
          <w:tcPr>
            <w:tcW w:w="50" w:type="pct"/>
            <w:shd w:val="clear" w:color="auto" w:fill="auto"/>
            <w:vAlign w:val="bottom"/>
          </w:tcPr>
          <w:p w14:paraId="442F74B6" w14:textId="77777777" w:rsidR="00CC25B5" w:rsidRDefault="00CC25B5">
            <w:pPr>
              <w:rPr>
                <w:rFonts w:ascii="宋体"/>
              </w:rPr>
            </w:pPr>
          </w:p>
        </w:tc>
        <w:tc>
          <w:tcPr>
            <w:tcW w:w="2192" w:type="pct"/>
            <w:shd w:val="clear" w:color="auto" w:fill="auto"/>
            <w:vAlign w:val="bottom"/>
          </w:tcPr>
          <w:p w14:paraId="442F74B7" w14:textId="77777777" w:rsidR="00CC25B5" w:rsidRDefault="00CC25B5">
            <w:pPr>
              <w:rPr>
                <w:rFonts w:ascii="宋体"/>
              </w:rPr>
            </w:pPr>
          </w:p>
        </w:tc>
        <w:tc>
          <w:tcPr>
            <w:tcW w:w="5" w:type="pct"/>
            <w:shd w:val="clear" w:color="auto" w:fill="auto"/>
            <w:vAlign w:val="bottom"/>
          </w:tcPr>
          <w:p w14:paraId="442F74B8" w14:textId="77777777" w:rsidR="00CC25B5" w:rsidRDefault="00CC25B5">
            <w:pPr>
              <w:rPr>
                <w:rFonts w:ascii="宋体"/>
              </w:rPr>
            </w:pPr>
          </w:p>
        </w:tc>
        <w:tc>
          <w:tcPr>
            <w:tcW w:w="5" w:type="pct"/>
            <w:shd w:val="clear" w:color="auto" w:fill="auto"/>
            <w:vAlign w:val="bottom"/>
          </w:tcPr>
          <w:p w14:paraId="442F74B9" w14:textId="77777777" w:rsidR="00CC25B5" w:rsidRDefault="00CC25B5">
            <w:pPr>
              <w:rPr>
                <w:rFonts w:ascii="宋体"/>
              </w:rPr>
            </w:pPr>
          </w:p>
        </w:tc>
        <w:tc>
          <w:tcPr>
            <w:tcW w:w="26" w:type="pct"/>
            <w:shd w:val="clear" w:color="auto" w:fill="auto"/>
            <w:vAlign w:val="bottom"/>
          </w:tcPr>
          <w:p w14:paraId="442F74BA" w14:textId="77777777" w:rsidR="00CC25B5" w:rsidRDefault="00CC25B5">
            <w:pPr>
              <w:rPr>
                <w:rFonts w:ascii="宋体"/>
              </w:rPr>
            </w:pPr>
          </w:p>
        </w:tc>
        <w:tc>
          <w:tcPr>
            <w:tcW w:w="5" w:type="pct"/>
            <w:shd w:val="clear" w:color="auto" w:fill="auto"/>
            <w:vAlign w:val="bottom"/>
          </w:tcPr>
          <w:p w14:paraId="442F74BB" w14:textId="77777777" w:rsidR="00CC25B5" w:rsidRDefault="00CC25B5">
            <w:pPr>
              <w:rPr>
                <w:rFonts w:ascii="宋体"/>
              </w:rPr>
            </w:pPr>
          </w:p>
        </w:tc>
        <w:tc>
          <w:tcPr>
            <w:tcW w:w="50" w:type="pct"/>
            <w:shd w:val="clear" w:color="auto" w:fill="auto"/>
            <w:vAlign w:val="bottom"/>
          </w:tcPr>
          <w:p w14:paraId="442F74BC" w14:textId="77777777" w:rsidR="00CC25B5" w:rsidRDefault="00CC25B5">
            <w:pPr>
              <w:rPr>
                <w:rFonts w:ascii="宋体"/>
              </w:rPr>
            </w:pPr>
          </w:p>
        </w:tc>
        <w:tc>
          <w:tcPr>
            <w:tcW w:w="530" w:type="pct"/>
            <w:shd w:val="clear" w:color="auto" w:fill="auto"/>
            <w:vAlign w:val="bottom"/>
          </w:tcPr>
          <w:p w14:paraId="442F74BD" w14:textId="77777777" w:rsidR="00CC25B5" w:rsidRDefault="00CC25B5">
            <w:pPr>
              <w:rPr>
                <w:rFonts w:ascii="宋体"/>
              </w:rPr>
            </w:pPr>
          </w:p>
        </w:tc>
        <w:tc>
          <w:tcPr>
            <w:tcW w:w="5" w:type="pct"/>
            <w:shd w:val="clear" w:color="auto" w:fill="auto"/>
            <w:vAlign w:val="bottom"/>
          </w:tcPr>
          <w:p w14:paraId="442F74BE" w14:textId="77777777" w:rsidR="00CC25B5" w:rsidRDefault="00CC25B5">
            <w:pPr>
              <w:rPr>
                <w:rFonts w:ascii="宋体"/>
              </w:rPr>
            </w:pPr>
          </w:p>
        </w:tc>
        <w:tc>
          <w:tcPr>
            <w:tcW w:w="5" w:type="pct"/>
            <w:shd w:val="clear" w:color="auto" w:fill="auto"/>
            <w:vAlign w:val="bottom"/>
          </w:tcPr>
          <w:p w14:paraId="442F74BF" w14:textId="77777777" w:rsidR="00CC25B5" w:rsidRDefault="00CC25B5">
            <w:pPr>
              <w:rPr>
                <w:rFonts w:ascii="宋体"/>
              </w:rPr>
            </w:pPr>
          </w:p>
        </w:tc>
        <w:tc>
          <w:tcPr>
            <w:tcW w:w="26" w:type="pct"/>
            <w:shd w:val="clear" w:color="auto" w:fill="auto"/>
            <w:vAlign w:val="bottom"/>
          </w:tcPr>
          <w:p w14:paraId="442F74C0" w14:textId="77777777" w:rsidR="00CC25B5" w:rsidRDefault="00CC25B5">
            <w:pPr>
              <w:rPr>
                <w:rFonts w:ascii="宋体"/>
              </w:rPr>
            </w:pPr>
          </w:p>
        </w:tc>
        <w:tc>
          <w:tcPr>
            <w:tcW w:w="5" w:type="pct"/>
            <w:shd w:val="clear" w:color="auto" w:fill="auto"/>
            <w:vAlign w:val="bottom"/>
          </w:tcPr>
          <w:p w14:paraId="442F74C1" w14:textId="77777777" w:rsidR="00CC25B5" w:rsidRDefault="00CC25B5">
            <w:pPr>
              <w:rPr>
                <w:rFonts w:ascii="宋体"/>
              </w:rPr>
            </w:pPr>
          </w:p>
        </w:tc>
        <w:tc>
          <w:tcPr>
            <w:tcW w:w="50" w:type="pct"/>
            <w:shd w:val="clear" w:color="auto" w:fill="auto"/>
            <w:vAlign w:val="bottom"/>
          </w:tcPr>
          <w:p w14:paraId="442F74C2" w14:textId="77777777" w:rsidR="00CC25B5" w:rsidRDefault="00CC25B5">
            <w:pPr>
              <w:rPr>
                <w:rFonts w:ascii="宋体"/>
              </w:rPr>
            </w:pPr>
          </w:p>
        </w:tc>
        <w:tc>
          <w:tcPr>
            <w:tcW w:w="530" w:type="pct"/>
            <w:shd w:val="clear" w:color="auto" w:fill="auto"/>
            <w:vAlign w:val="bottom"/>
          </w:tcPr>
          <w:p w14:paraId="442F74C3" w14:textId="77777777" w:rsidR="00CC25B5" w:rsidRDefault="00CC25B5">
            <w:pPr>
              <w:rPr>
                <w:rFonts w:ascii="宋体"/>
              </w:rPr>
            </w:pPr>
          </w:p>
        </w:tc>
        <w:tc>
          <w:tcPr>
            <w:tcW w:w="5" w:type="pct"/>
            <w:shd w:val="clear" w:color="auto" w:fill="auto"/>
            <w:vAlign w:val="bottom"/>
          </w:tcPr>
          <w:p w14:paraId="442F74C4" w14:textId="77777777" w:rsidR="00CC25B5" w:rsidRDefault="00CC25B5">
            <w:pPr>
              <w:rPr>
                <w:rFonts w:ascii="宋体"/>
              </w:rPr>
            </w:pPr>
          </w:p>
        </w:tc>
        <w:tc>
          <w:tcPr>
            <w:tcW w:w="5" w:type="pct"/>
            <w:shd w:val="clear" w:color="auto" w:fill="auto"/>
            <w:vAlign w:val="bottom"/>
          </w:tcPr>
          <w:p w14:paraId="442F74C5" w14:textId="77777777" w:rsidR="00CC25B5" w:rsidRDefault="00CC25B5">
            <w:pPr>
              <w:rPr>
                <w:rFonts w:ascii="宋体"/>
              </w:rPr>
            </w:pPr>
          </w:p>
        </w:tc>
        <w:tc>
          <w:tcPr>
            <w:tcW w:w="26" w:type="pct"/>
            <w:shd w:val="clear" w:color="auto" w:fill="auto"/>
            <w:vAlign w:val="bottom"/>
          </w:tcPr>
          <w:p w14:paraId="442F74C6" w14:textId="77777777" w:rsidR="00CC25B5" w:rsidRDefault="00CC25B5">
            <w:pPr>
              <w:rPr>
                <w:rFonts w:ascii="宋体"/>
              </w:rPr>
            </w:pPr>
          </w:p>
        </w:tc>
        <w:tc>
          <w:tcPr>
            <w:tcW w:w="5" w:type="pct"/>
            <w:shd w:val="clear" w:color="auto" w:fill="auto"/>
            <w:vAlign w:val="bottom"/>
          </w:tcPr>
          <w:p w14:paraId="442F74C7" w14:textId="77777777" w:rsidR="00CC25B5" w:rsidRDefault="00CC25B5">
            <w:pPr>
              <w:rPr>
                <w:rFonts w:ascii="宋体"/>
              </w:rPr>
            </w:pPr>
          </w:p>
        </w:tc>
        <w:tc>
          <w:tcPr>
            <w:tcW w:w="50" w:type="pct"/>
            <w:shd w:val="clear" w:color="auto" w:fill="auto"/>
            <w:vAlign w:val="bottom"/>
          </w:tcPr>
          <w:p w14:paraId="442F74C8" w14:textId="77777777" w:rsidR="00CC25B5" w:rsidRDefault="00CC25B5">
            <w:pPr>
              <w:rPr>
                <w:rFonts w:ascii="宋体"/>
              </w:rPr>
            </w:pPr>
          </w:p>
        </w:tc>
        <w:tc>
          <w:tcPr>
            <w:tcW w:w="413" w:type="pct"/>
            <w:shd w:val="clear" w:color="auto" w:fill="auto"/>
            <w:vAlign w:val="bottom"/>
          </w:tcPr>
          <w:p w14:paraId="442F74C9" w14:textId="77777777" w:rsidR="00CC25B5" w:rsidRDefault="00CC25B5">
            <w:pPr>
              <w:rPr>
                <w:rFonts w:ascii="宋体"/>
              </w:rPr>
            </w:pPr>
          </w:p>
        </w:tc>
        <w:tc>
          <w:tcPr>
            <w:tcW w:w="5" w:type="pct"/>
            <w:shd w:val="clear" w:color="auto" w:fill="auto"/>
            <w:vAlign w:val="bottom"/>
          </w:tcPr>
          <w:p w14:paraId="442F74CA" w14:textId="77777777" w:rsidR="00CC25B5" w:rsidRDefault="00CC25B5">
            <w:pPr>
              <w:rPr>
                <w:rFonts w:ascii="宋体"/>
              </w:rPr>
            </w:pPr>
          </w:p>
        </w:tc>
        <w:tc>
          <w:tcPr>
            <w:tcW w:w="5" w:type="pct"/>
            <w:shd w:val="clear" w:color="auto" w:fill="auto"/>
            <w:vAlign w:val="bottom"/>
          </w:tcPr>
          <w:p w14:paraId="442F74CB" w14:textId="77777777" w:rsidR="00CC25B5" w:rsidRDefault="00CC25B5">
            <w:pPr>
              <w:rPr>
                <w:rFonts w:ascii="宋体"/>
              </w:rPr>
            </w:pPr>
          </w:p>
        </w:tc>
        <w:tc>
          <w:tcPr>
            <w:tcW w:w="26" w:type="pct"/>
            <w:shd w:val="clear" w:color="auto" w:fill="auto"/>
            <w:vAlign w:val="bottom"/>
          </w:tcPr>
          <w:p w14:paraId="442F74CC" w14:textId="77777777" w:rsidR="00CC25B5" w:rsidRDefault="00CC25B5">
            <w:pPr>
              <w:rPr>
                <w:rFonts w:ascii="宋体"/>
              </w:rPr>
            </w:pPr>
          </w:p>
        </w:tc>
        <w:tc>
          <w:tcPr>
            <w:tcW w:w="5" w:type="pct"/>
            <w:shd w:val="clear" w:color="auto" w:fill="auto"/>
            <w:vAlign w:val="bottom"/>
          </w:tcPr>
          <w:p w14:paraId="442F74CD" w14:textId="77777777" w:rsidR="00CC25B5" w:rsidRDefault="00CC25B5">
            <w:pPr>
              <w:rPr>
                <w:rFonts w:ascii="宋体"/>
              </w:rPr>
            </w:pPr>
          </w:p>
        </w:tc>
        <w:tc>
          <w:tcPr>
            <w:tcW w:w="50" w:type="pct"/>
            <w:shd w:val="clear" w:color="auto" w:fill="auto"/>
            <w:vAlign w:val="bottom"/>
          </w:tcPr>
          <w:p w14:paraId="442F74CE" w14:textId="77777777" w:rsidR="00CC25B5" w:rsidRDefault="00CC25B5">
            <w:pPr>
              <w:rPr>
                <w:rFonts w:ascii="宋体"/>
              </w:rPr>
            </w:pPr>
          </w:p>
        </w:tc>
        <w:tc>
          <w:tcPr>
            <w:tcW w:w="435" w:type="pct"/>
            <w:shd w:val="clear" w:color="auto" w:fill="auto"/>
            <w:vAlign w:val="bottom"/>
          </w:tcPr>
          <w:p w14:paraId="442F74CF" w14:textId="77777777" w:rsidR="00CC25B5" w:rsidRDefault="00CC25B5">
            <w:pPr>
              <w:rPr>
                <w:rFonts w:ascii="宋体"/>
              </w:rPr>
            </w:pPr>
          </w:p>
        </w:tc>
        <w:tc>
          <w:tcPr>
            <w:tcW w:w="5" w:type="pct"/>
            <w:shd w:val="clear" w:color="auto" w:fill="auto"/>
            <w:vAlign w:val="bottom"/>
          </w:tcPr>
          <w:p w14:paraId="442F74D0" w14:textId="77777777" w:rsidR="00CC25B5" w:rsidRDefault="00CC25B5">
            <w:pPr>
              <w:rPr>
                <w:rFonts w:ascii="宋体"/>
              </w:rPr>
            </w:pPr>
          </w:p>
        </w:tc>
        <w:tc>
          <w:tcPr>
            <w:tcW w:w="5" w:type="pct"/>
            <w:shd w:val="clear" w:color="auto" w:fill="auto"/>
            <w:vAlign w:val="bottom"/>
          </w:tcPr>
          <w:p w14:paraId="442F74D1" w14:textId="77777777" w:rsidR="00CC25B5" w:rsidRDefault="00CC25B5">
            <w:pPr>
              <w:rPr>
                <w:rFonts w:ascii="宋体"/>
              </w:rPr>
            </w:pPr>
          </w:p>
        </w:tc>
        <w:tc>
          <w:tcPr>
            <w:tcW w:w="26" w:type="pct"/>
            <w:shd w:val="clear" w:color="auto" w:fill="auto"/>
            <w:vAlign w:val="bottom"/>
          </w:tcPr>
          <w:p w14:paraId="442F74D2" w14:textId="77777777" w:rsidR="00CC25B5" w:rsidRDefault="00CC25B5">
            <w:pPr>
              <w:rPr>
                <w:rFonts w:ascii="宋体"/>
              </w:rPr>
            </w:pPr>
          </w:p>
        </w:tc>
        <w:tc>
          <w:tcPr>
            <w:tcW w:w="5" w:type="pct"/>
            <w:shd w:val="clear" w:color="auto" w:fill="auto"/>
            <w:vAlign w:val="bottom"/>
          </w:tcPr>
          <w:p w14:paraId="442F74D3" w14:textId="77777777" w:rsidR="00CC25B5" w:rsidRDefault="00CC25B5">
            <w:pPr>
              <w:rPr>
                <w:rFonts w:ascii="宋体"/>
              </w:rPr>
            </w:pPr>
          </w:p>
        </w:tc>
        <w:tc>
          <w:tcPr>
            <w:tcW w:w="50" w:type="pct"/>
            <w:shd w:val="clear" w:color="auto" w:fill="auto"/>
            <w:vAlign w:val="bottom"/>
          </w:tcPr>
          <w:p w14:paraId="442F74D4" w14:textId="77777777" w:rsidR="00CC25B5" w:rsidRDefault="00CC25B5">
            <w:pPr>
              <w:rPr>
                <w:rFonts w:ascii="宋体"/>
              </w:rPr>
            </w:pPr>
          </w:p>
        </w:tc>
        <w:tc>
          <w:tcPr>
            <w:tcW w:w="384" w:type="pct"/>
            <w:shd w:val="clear" w:color="auto" w:fill="auto"/>
            <w:vAlign w:val="bottom"/>
          </w:tcPr>
          <w:p w14:paraId="442F74D5" w14:textId="77777777" w:rsidR="00CC25B5" w:rsidRDefault="00CC25B5">
            <w:pPr>
              <w:rPr>
                <w:rFonts w:ascii="宋体"/>
              </w:rPr>
            </w:pPr>
          </w:p>
        </w:tc>
        <w:tc>
          <w:tcPr>
            <w:tcW w:w="5" w:type="pct"/>
            <w:shd w:val="clear" w:color="auto" w:fill="auto"/>
            <w:vAlign w:val="bottom"/>
          </w:tcPr>
          <w:p w14:paraId="442F74D6" w14:textId="77777777" w:rsidR="00CC25B5" w:rsidRDefault="00CC25B5">
            <w:pPr>
              <w:rPr>
                <w:rFonts w:ascii="宋体"/>
              </w:rPr>
            </w:pPr>
          </w:p>
        </w:tc>
      </w:tr>
      <w:tr w:rsidR="00CC25B5" w14:paraId="442F74E3" w14:textId="77777777">
        <w:tc>
          <w:tcPr>
            <w:tcW w:w="0" w:type="auto"/>
            <w:gridSpan w:val="3"/>
            <w:shd w:val="clear" w:color="auto" w:fill="auto"/>
            <w:tcMar>
              <w:top w:w="40" w:type="dxa"/>
              <w:left w:w="20" w:type="dxa"/>
              <w:bottom w:w="40" w:type="dxa"/>
              <w:right w:w="20" w:type="dxa"/>
            </w:tcMar>
            <w:vAlign w:val="bottom"/>
          </w:tcPr>
          <w:p w14:paraId="442F74D8" w14:textId="77777777" w:rsidR="00CC25B5" w:rsidRDefault="00900968">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442F74D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4DA" w14:textId="77777777" w:rsidR="00CC25B5" w:rsidRDefault="00900968">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442F74D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4DC" w14:textId="77777777" w:rsidR="00CC25B5" w:rsidRDefault="00900968">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442F74D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4DE" w14:textId="77777777" w:rsidR="00CC25B5" w:rsidRDefault="00900968">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442F74D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4E0" w14:textId="77777777" w:rsidR="00CC25B5" w:rsidRDefault="00900968">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442F74E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4E2" w14:textId="77777777" w:rsidR="00CC25B5" w:rsidRDefault="00900968">
            <w:pPr>
              <w:jc w:val="center"/>
              <w:textAlignment w:val="bottom"/>
            </w:pPr>
            <w:r>
              <w:rPr>
                <w:rFonts w:ascii="Times New Roman" w:eastAsia="宋体" w:hAnsi="Times New Roman"/>
                <w:b/>
                <w:bCs/>
                <w:color w:val="000000"/>
                <w:sz w:val="16"/>
                <w:szCs w:val="16"/>
              </w:rPr>
              <w:t>Total</w:t>
            </w:r>
          </w:p>
        </w:tc>
      </w:tr>
      <w:tr w:rsidR="00CC25B5" w14:paraId="442F74F9" w14:textId="77777777">
        <w:tc>
          <w:tcPr>
            <w:tcW w:w="0" w:type="auto"/>
            <w:gridSpan w:val="3"/>
            <w:shd w:val="clear" w:color="auto" w:fill="CCEEFF"/>
            <w:tcMar>
              <w:top w:w="40" w:type="dxa"/>
              <w:left w:w="20" w:type="dxa"/>
              <w:bottom w:w="40" w:type="dxa"/>
              <w:right w:w="20" w:type="dxa"/>
            </w:tcMar>
            <w:vAlign w:val="center"/>
          </w:tcPr>
          <w:p w14:paraId="442F74E4" w14:textId="77777777" w:rsidR="00CC25B5" w:rsidRDefault="00900968">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442F74E5"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E6"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E7" w14:textId="77777777" w:rsidR="00CC25B5" w:rsidRDefault="00900968">
            <w:pPr>
              <w:jc w:val="right"/>
              <w:textAlignment w:val="center"/>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E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E9"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EA"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EB" w14:textId="77777777" w:rsidR="00CC25B5" w:rsidRDefault="00900968">
            <w:pPr>
              <w:jc w:val="right"/>
              <w:textAlignment w:val="center"/>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E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ED"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EE"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EF" w14:textId="77777777" w:rsidR="00CC25B5" w:rsidRDefault="00900968">
            <w:pPr>
              <w:jc w:val="right"/>
              <w:textAlignment w:val="center"/>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F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F1"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F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F3" w14:textId="77777777" w:rsidR="00CC25B5" w:rsidRDefault="00900968">
            <w:pPr>
              <w:jc w:val="right"/>
              <w:textAlignment w:val="center"/>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F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4F5"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4F6"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4F7" w14:textId="77777777" w:rsidR="00CC25B5" w:rsidRDefault="00900968">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4F8" w14:textId="77777777" w:rsidR="00CC25B5" w:rsidRDefault="00CC25B5">
            <w:pPr>
              <w:jc w:val="right"/>
              <w:rPr>
                <w:rFonts w:ascii="宋体"/>
              </w:rPr>
            </w:pPr>
          </w:p>
        </w:tc>
      </w:tr>
      <w:tr w:rsidR="00CC25B5" w14:paraId="442F7505" w14:textId="77777777">
        <w:trPr>
          <w:hidden/>
        </w:trPr>
        <w:tc>
          <w:tcPr>
            <w:tcW w:w="0" w:type="auto"/>
            <w:gridSpan w:val="3"/>
            <w:shd w:val="clear" w:color="auto" w:fill="auto"/>
            <w:vAlign w:val="bottom"/>
          </w:tcPr>
          <w:p w14:paraId="442F74FA" w14:textId="77777777" w:rsidR="00CC25B5" w:rsidRDefault="00CC25B5">
            <w:pPr>
              <w:rPr>
                <w:rFonts w:ascii="宋体"/>
                <w:vanish/>
              </w:rPr>
            </w:pPr>
          </w:p>
        </w:tc>
        <w:tc>
          <w:tcPr>
            <w:tcW w:w="0" w:type="auto"/>
            <w:gridSpan w:val="3"/>
            <w:shd w:val="clear" w:color="auto" w:fill="auto"/>
            <w:vAlign w:val="bottom"/>
          </w:tcPr>
          <w:p w14:paraId="442F74FB" w14:textId="77777777" w:rsidR="00CC25B5" w:rsidRDefault="00CC25B5">
            <w:pPr>
              <w:rPr>
                <w:rFonts w:ascii="宋体"/>
                <w:vanish/>
              </w:rPr>
            </w:pPr>
          </w:p>
        </w:tc>
        <w:tc>
          <w:tcPr>
            <w:tcW w:w="0" w:type="auto"/>
            <w:gridSpan w:val="3"/>
            <w:shd w:val="clear" w:color="auto" w:fill="auto"/>
            <w:vAlign w:val="bottom"/>
          </w:tcPr>
          <w:p w14:paraId="442F74FC" w14:textId="77777777" w:rsidR="00CC25B5" w:rsidRDefault="00CC25B5">
            <w:pPr>
              <w:rPr>
                <w:rFonts w:ascii="宋体"/>
                <w:vanish/>
              </w:rPr>
            </w:pPr>
          </w:p>
        </w:tc>
        <w:tc>
          <w:tcPr>
            <w:tcW w:w="0" w:type="auto"/>
            <w:gridSpan w:val="3"/>
            <w:shd w:val="clear" w:color="auto" w:fill="auto"/>
            <w:vAlign w:val="bottom"/>
          </w:tcPr>
          <w:p w14:paraId="442F74FD" w14:textId="77777777" w:rsidR="00CC25B5" w:rsidRDefault="00CC25B5">
            <w:pPr>
              <w:rPr>
                <w:rFonts w:ascii="宋体"/>
                <w:vanish/>
              </w:rPr>
            </w:pPr>
          </w:p>
        </w:tc>
        <w:tc>
          <w:tcPr>
            <w:tcW w:w="0" w:type="auto"/>
            <w:gridSpan w:val="3"/>
            <w:shd w:val="clear" w:color="auto" w:fill="auto"/>
            <w:vAlign w:val="bottom"/>
          </w:tcPr>
          <w:p w14:paraId="442F74FE" w14:textId="77777777" w:rsidR="00CC25B5" w:rsidRDefault="00CC25B5">
            <w:pPr>
              <w:rPr>
                <w:rFonts w:ascii="宋体"/>
                <w:vanish/>
              </w:rPr>
            </w:pPr>
          </w:p>
        </w:tc>
        <w:tc>
          <w:tcPr>
            <w:tcW w:w="0" w:type="auto"/>
            <w:gridSpan w:val="3"/>
            <w:shd w:val="clear" w:color="auto" w:fill="auto"/>
            <w:vAlign w:val="bottom"/>
          </w:tcPr>
          <w:p w14:paraId="442F74FF" w14:textId="77777777" w:rsidR="00CC25B5" w:rsidRDefault="00CC25B5">
            <w:pPr>
              <w:rPr>
                <w:rFonts w:ascii="宋体"/>
                <w:vanish/>
              </w:rPr>
            </w:pPr>
          </w:p>
        </w:tc>
        <w:tc>
          <w:tcPr>
            <w:tcW w:w="0" w:type="auto"/>
            <w:gridSpan w:val="3"/>
            <w:shd w:val="clear" w:color="auto" w:fill="auto"/>
            <w:vAlign w:val="bottom"/>
          </w:tcPr>
          <w:p w14:paraId="442F7500" w14:textId="77777777" w:rsidR="00CC25B5" w:rsidRDefault="00CC25B5">
            <w:pPr>
              <w:rPr>
                <w:rFonts w:ascii="宋体"/>
                <w:vanish/>
              </w:rPr>
            </w:pPr>
          </w:p>
        </w:tc>
        <w:tc>
          <w:tcPr>
            <w:tcW w:w="0" w:type="auto"/>
            <w:gridSpan w:val="3"/>
            <w:shd w:val="clear" w:color="auto" w:fill="auto"/>
            <w:vAlign w:val="bottom"/>
          </w:tcPr>
          <w:p w14:paraId="442F7501" w14:textId="77777777" w:rsidR="00CC25B5" w:rsidRDefault="00CC25B5">
            <w:pPr>
              <w:rPr>
                <w:rFonts w:ascii="宋体"/>
                <w:vanish/>
              </w:rPr>
            </w:pPr>
          </w:p>
        </w:tc>
        <w:tc>
          <w:tcPr>
            <w:tcW w:w="0" w:type="auto"/>
            <w:gridSpan w:val="3"/>
            <w:shd w:val="clear" w:color="auto" w:fill="auto"/>
            <w:vAlign w:val="bottom"/>
          </w:tcPr>
          <w:p w14:paraId="442F7502" w14:textId="77777777" w:rsidR="00CC25B5" w:rsidRDefault="00CC25B5">
            <w:pPr>
              <w:rPr>
                <w:rFonts w:ascii="宋体"/>
                <w:vanish/>
              </w:rPr>
            </w:pPr>
          </w:p>
        </w:tc>
        <w:tc>
          <w:tcPr>
            <w:tcW w:w="0" w:type="auto"/>
            <w:gridSpan w:val="3"/>
            <w:shd w:val="clear" w:color="auto" w:fill="auto"/>
            <w:vAlign w:val="bottom"/>
          </w:tcPr>
          <w:p w14:paraId="442F7503" w14:textId="77777777" w:rsidR="00CC25B5" w:rsidRDefault="00CC25B5">
            <w:pPr>
              <w:rPr>
                <w:rFonts w:ascii="宋体"/>
                <w:vanish/>
              </w:rPr>
            </w:pPr>
          </w:p>
        </w:tc>
        <w:tc>
          <w:tcPr>
            <w:tcW w:w="0" w:type="auto"/>
            <w:gridSpan w:val="3"/>
            <w:shd w:val="clear" w:color="auto" w:fill="auto"/>
            <w:vAlign w:val="bottom"/>
          </w:tcPr>
          <w:p w14:paraId="442F7504" w14:textId="77777777" w:rsidR="00CC25B5" w:rsidRDefault="00CC25B5">
            <w:pPr>
              <w:rPr>
                <w:rFonts w:ascii="宋体"/>
                <w:vanish/>
              </w:rPr>
            </w:pPr>
          </w:p>
        </w:tc>
      </w:tr>
      <w:tr w:rsidR="00CC25B5" w14:paraId="442F7516" w14:textId="77777777">
        <w:tc>
          <w:tcPr>
            <w:tcW w:w="0" w:type="auto"/>
            <w:gridSpan w:val="3"/>
            <w:shd w:val="clear" w:color="auto" w:fill="FFFFFF"/>
            <w:tcMar>
              <w:top w:w="40" w:type="dxa"/>
              <w:left w:w="20" w:type="dxa"/>
              <w:bottom w:w="40" w:type="dxa"/>
              <w:right w:w="20" w:type="dxa"/>
            </w:tcMar>
            <w:vAlign w:val="center"/>
          </w:tcPr>
          <w:p w14:paraId="442F7506" w14:textId="77777777" w:rsidR="00CC25B5" w:rsidRDefault="00900968">
            <w:pPr>
              <w:textAlignment w:val="center"/>
            </w:pPr>
            <w:r>
              <w:rPr>
                <w:rFonts w:ascii="Times New Roman" w:eastAsia="宋体" w:hAnsi="Times New Roman"/>
                <w:color w:val="000000"/>
                <w:sz w:val="16"/>
                <w:szCs w:val="16"/>
              </w:rPr>
              <w:t>Other comprehensive loss before reclassifications, net</w:t>
            </w:r>
          </w:p>
        </w:tc>
        <w:tc>
          <w:tcPr>
            <w:tcW w:w="0" w:type="auto"/>
            <w:gridSpan w:val="3"/>
            <w:shd w:val="clear" w:color="auto" w:fill="FFFFFF"/>
            <w:tcMar>
              <w:top w:w="0" w:type="dxa"/>
              <w:left w:w="20" w:type="dxa"/>
              <w:bottom w:w="0" w:type="dxa"/>
              <w:right w:w="20" w:type="dxa"/>
            </w:tcMar>
            <w:vAlign w:val="bottom"/>
          </w:tcPr>
          <w:p w14:paraId="442F750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08" w14:textId="77777777" w:rsidR="00CC25B5" w:rsidRDefault="00900968">
            <w:pPr>
              <w:jc w:val="right"/>
              <w:textAlignment w:val="center"/>
            </w:pPr>
            <w:r>
              <w:rPr>
                <w:rFonts w:ascii="Times New Roman" w:eastAsia="宋体" w:hAnsi="Times New Roman"/>
                <w:color w:val="000000"/>
                <w:sz w:val="16"/>
                <w:szCs w:val="16"/>
              </w:rPr>
              <w:t>(225)</w:t>
            </w:r>
          </w:p>
        </w:tc>
        <w:tc>
          <w:tcPr>
            <w:tcW w:w="0" w:type="auto"/>
            <w:shd w:val="clear" w:color="auto" w:fill="FFFFFF"/>
            <w:tcMar>
              <w:top w:w="40" w:type="dxa"/>
              <w:left w:w="0" w:type="dxa"/>
              <w:bottom w:w="40" w:type="dxa"/>
              <w:right w:w="20" w:type="dxa"/>
            </w:tcMar>
            <w:vAlign w:val="center"/>
          </w:tcPr>
          <w:p w14:paraId="442F750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0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0B" w14:textId="77777777" w:rsidR="00CC25B5" w:rsidRDefault="00900968">
            <w:pPr>
              <w:jc w:val="right"/>
              <w:textAlignment w:val="center"/>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center"/>
          </w:tcPr>
          <w:p w14:paraId="442F750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0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0E" w14:textId="77777777" w:rsidR="00CC25B5" w:rsidRDefault="00900968">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442F750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1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11" w14:textId="77777777" w:rsidR="00CC25B5" w:rsidRDefault="00900968">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442F751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1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14" w14:textId="77777777" w:rsidR="00CC25B5" w:rsidRDefault="00900968">
            <w:pPr>
              <w:jc w:val="right"/>
              <w:textAlignment w:val="center"/>
            </w:pPr>
            <w:r>
              <w:rPr>
                <w:rFonts w:ascii="Times New Roman" w:eastAsia="宋体" w:hAnsi="Times New Roman"/>
                <w:color w:val="000000"/>
                <w:sz w:val="16"/>
                <w:szCs w:val="16"/>
              </w:rPr>
              <w:t>(259)</w:t>
            </w:r>
          </w:p>
        </w:tc>
        <w:tc>
          <w:tcPr>
            <w:tcW w:w="0" w:type="auto"/>
            <w:shd w:val="clear" w:color="auto" w:fill="FFFFFF"/>
            <w:tcMar>
              <w:top w:w="40" w:type="dxa"/>
              <w:left w:w="0" w:type="dxa"/>
              <w:bottom w:w="40" w:type="dxa"/>
              <w:right w:w="20" w:type="dxa"/>
            </w:tcMar>
            <w:vAlign w:val="center"/>
          </w:tcPr>
          <w:p w14:paraId="442F7515" w14:textId="77777777" w:rsidR="00CC25B5" w:rsidRDefault="00CC25B5">
            <w:pPr>
              <w:jc w:val="right"/>
              <w:rPr>
                <w:rFonts w:ascii="宋体"/>
              </w:rPr>
            </w:pPr>
          </w:p>
        </w:tc>
      </w:tr>
      <w:tr w:rsidR="00CC25B5" w14:paraId="442F7527" w14:textId="77777777">
        <w:tc>
          <w:tcPr>
            <w:tcW w:w="0" w:type="auto"/>
            <w:gridSpan w:val="3"/>
            <w:shd w:val="clear" w:color="auto" w:fill="CCEEFF"/>
            <w:tcMar>
              <w:top w:w="40" w:type="dxa"/>
              <w:left w:w="20" w:type="dxa"/>
              <w:bottom w:w="40" w:type="dxa"/>
              <w:right w:w="20" w:type="dxa"/>
            </w:tcMar>
            <w:vAlign w:val="center"/>
          </w:tcPr>
          <w:p w14:paraId="442F7517" w14:textId="77777777" w:rsidR="00CC25B5" w:rsidRDefault="00900968">
            <w:pPr>
              <w:textAlignment w:val="center"/>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42F751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19" w14:textId="77777777" w:rsidR="00CC25B5" w:rsidRDefault="00900968">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442F751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1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1C" w14:textId="77777777" w:rsidR="00CC25B5" w:rsidRDefault="00900968">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442F751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1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1F" w14:textId="77777777" w:rsidR="00CC25B5" w:rsidRDefault="00900968">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442F752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2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22" w14:textId="77777777" w:rsidR="00CC25B5" w:rsidRDefault="00900968">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442F752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2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25" w14:textId="77777777" w:rsidR="00CC25B5" w:rsidRDefault="00900968">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442F7526" w14:textId="77777777" w:rsidR="00CC25B5" w:rsidRDefault="00CC25B5">
            <w:pPr>
              <w:jc w:val="right"/>
              <w:rPr>
                <w:rFonts w:ascii="宋体"/>
              </w:rPr>
            </w:pPr>
          </w:p>
        </w:tc>
      </w:tr>
      <w:tr w:rsidR="00CC25B5" w14:paraId="442F7538" w14:textId="77777777">
        <w:tc>
          <w:tcPr>
            <w:tcW w:w="0" w:type="auto"/>
            <w:gridSpan w:val="3"/>
            <w:shd w:val="clear" w:color="auto" w:fill="FFFFFF"/>
            <w:tcMar>
              <w:top w:w="40" w:type="dxa"/>
              <w:left w:w="20" w:type="dxa"/>
              <w:bottom w:w="40" w:type="dxa"/>
              <w:right w:w="20" w:type="dxa"/>
            </w:tcMar>
            <w:vAlign w:val="center"/>
          </w:tcPr>
          <w:p w14:paraId="442F7528" w14:textId="77777777" w:rsidR="00CC25B5" w:rsidRDefault="00900968">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442F752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2A"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52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2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2D"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52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2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30" w14:textId="77777777" w:rsidR="00CC25B5" w:rsidRDefault="00900968">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442F753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3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33" w14:textId="77777777" w:rsidR="00CC25B5" w:rsidRDefault="00900968">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442F753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3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36" w14:textId="77777777" w:rsidR="00CC25B5" w:rsidRDefault="00900968">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442F7537" w14:textId="77777777" w:rsidR="00CC25B5" w:rsidRDefault="00CC25B5">
            <w:pPr>
              <w:jc w:val="right"/>
              <w:rPr>
                <w:rFonts w:ascii="宋体"/>
              </w:rPr>
            </w:pPr>
          </w:p>
        </w:tc>
      </w:tr>
      <w:tr w:rsidR="00CC25B5" w14:paraId="442F754E" w14:textId="77777777">
        <w:tc>
          <w:tcPr>
            <w:tcW w:w="0" w:type="auto"/>
            <w:gridSpan w:val="3"/>
            <w:shd w:val="clear" w:color="auto" w:fill="CCEEFF"/>
            <w:tcMar>
              <w:top w:w="40" w:type="dxa"/>
              <w:left w:w="20" w:type="dxa"/>
              <w:bottom w:w="40" w:type="dxa"/>
              <w:right w:w="20" w:type="dxa"/>
            </w:tcMar>
            <w:vAlign w:val="center"/>
          </w:tcPr>
          <w:p w14:paraId="442F7539" w14:textId="77777777" w:rsidR="00CC25B5" w:rsidRDefault="00900968">
            <w:pPr>
              <w:textAlignment w:val="center"/>
            </w:pPr>
            <w:r>
              <w:rPr>
                <w:rFonts w:ascii="Times New Roman" w:eastAsia="宋体" w:hAnsi="Times New Roman"/>
                <w:b/>
                <w:bCs/>
                <w:color w:val="000000"/>
                <w:sz w:val="16"/>
                <w:szCs w:val="16"/>
              </w:rPr>
              <w:t>Balances as of April 30, 2021</w:t>
            </w:r>
          </w:p>
        </w:tc>
        <w:tc>
          <w:tcPr>
            <w:tcW w:w="0" w:type="auto"/>
            <w:gridSpan w:val="3"/>
            <w:shd w:val="clear" w:color="auto" w:fill="CCEEFF"/>
            <w:tcMar>
              <w:top w:w="0" w:type="dxa"/>
              <w:left w:w="20" w:type="dxa"/>
              <w:bottom w:w="0" w:type="dxa"/>
              <w:right w:w="20" w:type="dxa"/>
            </w:tcMar>
            <w:vAlign w:val="bottom"/>
          </w:tcPr>
          <w:p w14:paraId="442F753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53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53C" w14:textId="77777777" w:rsidR="00CC25B5" w:rsidRDefault="00900968">
            <w:pPr>
              <w:jc w:val="right"/>
              <w:textAlignment w:val="center"/>
            </w:pPr>
            <w:r>
              <w:rPr>
                <w:rFonts w:ascii="Times New Roman" w:eastAsia="宋体" w:hAnsi="Times New Roman"/>
                <w:color w:val="000000"/>
                <w:sz w:val="16"/>
                <w:szCs w:val="16"/>
              </w:rPr>
              <w:t>(7,739)</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53D" w14:textId="77777777" w:rsidR="00CC25B5" w:rsidRDefault="00CC25B5">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53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53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540" w14:textId="77777777" w:rsidR="00CC25B5" w:rsidRDefault="00900968">
            <w:pPr>
              <w:jc w:val="right"/>
              <w:textAlignment w:val="center"/>
            </w:pPr>
            <w:r>
              <w:rPr>
                <w:rFonts w:ascii="Times New Roman" w:eastAsia="宋体" w:hAnsi="Times New Roman"/>
                <w:color w:val="000000"/>
                <w:sz w:val="16"/>
                <w:szCs w:val="16"/>
              </w:rPr>
              <w:t>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541" w14:textId="77777777" w:rsidR="00CC25B5" w:rsidRDefault="00CC25B5">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54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54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544" w14:textId="77777777" w:rsidR="00CC25B5" w:rsidRDefault="00900968">
            <w:pPr>
              <w:jc w:val="right"/>
              <w:textAlignment w:val="center"/>
            </w:pPr>
            <w:r>
              <w:rPr>
                <w:rFonts w:ascii="Times New Roman" w:eastAsia="宋体" w:hAnsi="Times New Roman"/>
                <w:color w:val="000000"/>
                <w:sz w:val="16"/>
                <w:szCs w:val="16"/>
              </w:rPr>
              <w:t>(284)</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545" w14:textId="77777777" w:rsidR="00CC25B5" w:rsidRDefault="00CC25B5">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54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54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548" w14:textId="77777777" w:rsidR="00CC25B5" w:rsidRDefault="00900968">
            <w:pPr>
              <w:jc w:val="right"/>
              <w:textAlignment w:val="center"/>
            </w:pPr>
            <w:r>
              <w:rPr>
                <w:rFonts w:ascii="Times New Roman" w:eastAsia="宋体" w:hAnsi="Times New Roman"/>
                <w:color w:val="000000"/>
                <w:sz w:val="16"/>
                <w:szCs w:val="16"/>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549" w14:textId="77777777" w:rsidR="00CC25B5" w:rsidRDefault="00CC25B5">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54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54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54C" w14:textId="77777777" w:rsidR="00CC25B5" w:rsidRDefault="00900968">
            <w:pPr>
              <w:jc w:val="right"/>
              <w:textAlignment w:val="center"/>
            </w:pPr>
            <w:r>
              <w:rPr>
                <w:rFonts w:ascii="Times New Roman" w:eastAsia="宋体" w:hAnsi="Times New Roman"/>
                <w:color w:val="000000"/>
                <w:sz w:val="16"/>
                <w:szCs w:val="16"/>
              </w:rPr>
              <w:t>(7,946)</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54D" w14:textId="77777777" w:rsidR="00CC25B5" w:rsidRDefault="00CC25B5">
            <w:pPr>
              <w:jc w:val="right"/>
              <w:rPr>
                <w:rFonts w:ascii="宋体"/>
              </w:rPr>
            </w:pPr>
          </w:p>
        </w:tc>
      </w:tr>
      <w:tr w:rsidR="00CC25B5" w14:paraId="442F755F" w14:textId="77777777">
        <w:tc>
          <w:tcPr>
            <w:tcW w:w="0" w:type="auto"/>
            <w:gridSpan w:val="3"/>
            <w:shd w:val="clear" w:color="auto" w:fill="FFFFFF"/>
            <w:tcMar>
              <w:top w:w="40" w:type="dxa"/>
              <w:left w:w="20" w:type="dxa"/>
              <w:bottom w:w="40" w:type="dxa"/>
              <w:right w:w="20" w:type="dxa"/>
            </w:tcMar>
            <w:vAlign w:val="center"/>
          </w:tcPr>
          <w:p w14:paraId="442F754F" w14:textId="77777777" w:rsidR="00CC25B5" w:rsidRDefault="00900968">
            <w:pPr>
              <w:textAlignment w:val="center"/>
            </w:pPr>
            <w:r>
              <w:rPr>
                <w:rFonts w:ascii="Times New Roman" w:eastAsia="宋体" w:hAnsi="Times New Roman"/>
                <w:color w:val="000000"/>
                <w:sz w:val="16"/>
                <w:szCs w:val="16"/>
              </w:rPr>
              <w:t>Other comprehensive income (loss) be</w:t>
            </w:r>
            <w:r>
              <w:rPr>
                <w:rFonts w:ascii="Times New Roman" w:eastAsia="宋体" w:hAnsi="Times New Roman"/>
                <w:color w:val="000000"/>
                <w:sz w:val="16"/>
                <w:szCs w:val="16"/>
              </w:rPr>
              <w:t>fore reclassifications, net</w:t>
            </w:r>
          </w:p>
        </w:tc>
        <w:tc>
          <w:tcPr>
            <w:tcW w:w="0" w:type="auto"/>
            <w:gridSpan w:val="3"/>
            <w:shd w:val="clear" w:color="auto" w:fill="FFFFFF"/>
            <w:tcMar>
              <w:top w:w="0" w:type="dxa"/>
              <w:left w:w="20" w:type="dxa"/>
              <w:bottom w:w="0" w:type="dxa"/>
              <w:right w:w="20" w:type="dxa"/>
            </w:tcMar>
            <w:vAlign w:val="bottom"/>
          </w:tcPr>
          <w:p w14:paraId="442F755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51" w14:textId="77777777" w:rsidR="00CC25B5" w:rsidRDefault="00900968">
            <w:pPr>
              <w:jc w:val="right"/>
              <w:textAlignment w:val="center"/>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center"/>
          </w:tcPr>
          <w:p w14:paraId="442F755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5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54"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55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5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57" w14:textId="77777777" w:rsidR="00CC25B5" w:rsidRDefault="00900968">
            <w:pPr>
              <w:jc w:val="right"/>
              <w:textAlignment w:val="center"/>
            </w:pPr>
            <w:r>
              <w:rPr>
                <w:rFonts w:ascii="Times New Roman" w:eastAsia="宋体" w:hAnsi="Times New Roman"/>
                <w:color w:val="000000"/>
                <w:sz w:val="16"/>
                <w:szCs w:val="16"/>
              </w:rPr>
              <w:t>(193)</w:t>
            </w:r>
          </w:p>
        </w:tc>
        <w:tc>
          <w:tcPr>
            <w:tcW w:w="0" w:type="auto"/>
            <w:shd w:val="clear" w:color="auto" w:fill="FFFFFF"/>
            <w:tcMar>
              <w:top w:w="40" w:type="dxa"/>
              <w:left w:w="0" w:type="dxa"/>
              <w:bottom w:w="40" w:type="dxa"/>
              <w:right w:w="20" w:type="dxa"/>
            </w:tcMar>
            <w:vAlign w:val="center"/>
          </w:tcPr>
          <w:p w14:paraId="442F755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5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5A" w14:textId="77777777" w:rsidR="00CC25B5" w:rsidRDefault="00900968">
            <w:pPr>
              <w:jc w:val="right"/>
              <w:textAlignment w:val="center"/>
            </w:pPr>
            <w:r>
              <w:rPr>
                <w:rFonts w:ascii="Times New Roman" w:eastAsia="宋体" w:hAnsi="Times New Roman"/>
                <w:color w:val="000000"/>
                <w:sz w:val="16"/>
                <w:szCs w:val="16"/>
              </w:rPr>
              <w:t>(3)</w:t>
            </w:r>
          </w:p>
        </w:tc>
        <w:tc>
          <w:tcPr>
            <w:tcW w:w="0" w:type="auto"/>
            <w:shd w:val="clear" w:color="auto" w:fill="FFFFFF"/>
            <w:tcMar>
              <w:top w:w="40" w:type="dxa"/>
              <w:left w:w="0" w:type="dxa"/>
              <w:bottom w:w="40" w:type="dxa"/>
              <w:right w:w="20" w:type="dxa"/>
            </w:tcMar>
            <w:vAlign w:val="center"/>
          </w:tcPr>
          <w:p w14:paraId="442F755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5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55D" w14:textId="77777777" w:rsidR="00CC25B5" w:rsidRDefault="00900968">
            <w:pPr>
              <w:jc w:val="right"/>
              <w:textAlignment w:val="center"/>
            </w:pPr>
            <w:r>
              <w:rPr>
                <w:rFonts w:ascii="Times New Roman" w:eastAsia="宋体" w:hAnsi="Times New Roman"/>
                <w:color w:val="000000"/>
                <w:sz w:val="16"/>
                <w:szCs w:val="16"/>
              </w:rPr>
              <w:t>(73)</w:t>
            </w:r>
          </w:p>
        </w:tc>
        <w:tc>
          <w:tcPr>
            <w:tcW w:w="0" w:type="auto"/>
            <w:shd w:val="clear" w:color="auto" w:fill="FFFFFF"/>
            <w:tcMar>
              <w:top w:w="40" w:type="dxa"/>
              <w:left w:w="0" w:type="dxa"/>
              <w:bottom w:w="40" w:type="dxa"/>
              <w:right w:w="20" w:type="dxa"/>
            </w:tcMar>
            <w:vAlign w:val="center"/>
          </w:tcPr>
          <w:p w14:paraId="442F755E" w14:textId="77777777" w:rsidR="00CC25B5" w:rsidRDefault="00CC25B5">
            <w:pPr>
              <w:jc w:val="right"/>
              <w:rPr>
                <w:rFonts w:ascii="宋体"/>
              </w:rPr>
            </w:pPr>
          </w:p>
        </w:tc>
      </w:tr>
      <w:tr w:rsidR="00CC25B5" w14:paraId="442F7570" w14:textId="77777777">
        <w:tc>
          <w:tcPr>
            <w:tcW w:w="0" w:type="auto"/>
            <w:gridSpan w:val="3"/>
            <w:shd w:val="clear" w:color="auto" w:fill="CCEEFF"/>
            <w:tcMar>
              <w:top w:w="40" w:type="dxa"/>
              <w:left w:w="20" w:type="dxa"/>
              <w:bottom w:w="40" w:type="dxa"/>
              <w:right w:w="20" w:type="dxa"/>
            </w:tcMar>
            <w:vAlign w:val="center"/>
          </w:tcPr>
          <w:p w14:paraId="442F7560" w14:textId="77777777" w:rsidR="00CC25B5" w:rsidRDefault="00900968">
            <w:pPr>
              <w:textAlignment w:val="center"/>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442F756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62"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756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6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65"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756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6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68" w14:textId="77777777" w:rsidR="00CC25B5" w:rsidRDefault="00900968">
            <w:pPr>
              <w:jc w:val="right"/>
              <w:textAlignment w:val="center"/>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center"/>
          </w:tcPr>
          <w:p w14:paraId="442F756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6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6B" w14:textId="77777777" w:rsidR="00CC25B5" w:rsidRDefault="00900968">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442F756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6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56E" w14:textId="77777777" w:rsidR="00CC25B5" w:rsidRDefault="00900968">
            <w:pPr>
              <w:jc w:val="right"/>
              <w:textAlignment w:val="center"/>
            </w:pPr>
            <w:r>
              <w:rPr>
                <w:rFonts w:ascii="Times New Roman" w:eastAsia="宋体" w:hAnsi="Times New Roman"/>
                <w:color w:val="000000"/>
                <w:sz w:val="16"/>
                <w:szCs w:val="16"/>
              </w:rPr>
              <w:t>43 </w:t>
            </w:r>
          </w:p>
        </w:tc>
        <w:tc>
          <w:tcPr>
            <w:tcW w:w="0" w:type="auto"/>
            <w:shd w:val="clear" w:color="auto" w:fill="CCEEFF"/>
            <w:tcMar>
              <w:top w:w="40" w:type="dxa"/>
              <w:left w:w="0" w:type="dxa"/>
              <w:bottom w:w="40" w:type="dxa"/>
              <w:right w:w="20" w:type="dxa"/>
            </w:tcMar>
            <w:vAlign w:val="center"/>
          </w:tcPr>
          <w:p w14:paraId="442F756F" w14:textId="77777777" w:rsidR="00CC25B5" w:rsidRDefault="00CC25B5">
            <w:pPr>
              <w:jc w:val="right"/>
              <w:rPr>
                <w:rFonts w:ascii="宋体"/>
              </w:rPr>
            </w:pPr>
          </w:p>
        </w:tc>
      </w:tr>
      <w:tr w:rsidR="00CC25B5" w14:paraId="442F7586" w14:textId="77777777">
        <w:tc>
          <w:tcPr>
            <w:tcW w:w="0" w:type="auto"/>
            <w:gridSpan w:val="3"/>
            <w:shd w:val="clear" w:color="auto" w:fill="FFFFFF"/>
            <w:tcMar>
              <w:top w:w="40" w:type="dxa"/>
              <w:left w:w="20" w:type="dxa"/>
              <w:bottom w:w="40" w:type="dxa"/>
              <w:right w:w="20" w:type="dxa"/>
            </w:tcMar>
            <w:vAlign w:val="center"/>
          </w:tcPr>
          <w:p w14:paraId="442F7571" w14:textId="77777777" w:rsidR="00CC25B5" w:rsidRDefault="00900968">
            <w:pPr>
              <w:textAlignment w:val="center"/>
            </w:pPr>
            <w:r>
              <w:rPr>
                <w:rFonts w:ascii="Times New Roman" w:eastAsia="宋体" w:hAnsi="Times New Roman"/>
                <w:b/>
                <w:bCs/>
                <w:color w:val="000000"/>
                <w:sz w:val="16"/>
                <w:szCs w:val="16"/>
              </w:rPr>
              <w:t>Balances as of July 31, 2021</w:t>
            </w:r>
          </w:p>
        </w:tc>
        <w:tc>
          <w:tcPr>
            <w:tcW w:w="0" w:type="auto"/>
            <w:gridSpan w:val="3"/>
            <w:shd w:val="clear" w:color="auto" w:fill="FFFFFF"/>
            <w:tcMar>
              <w:top w:w="0" w:type="dxa"/>
              <w:left w:w="20" w:type="dxa"/>
              <w:bottom w:w="0" w:type="dxa"/>
              <w:right w:w="20" w:type="dxa"/>
            </w:tcMar>
            <w:vAlign w:val="bottom"/>
          </w:tcPr>
          <w:p w14:paraId="442F7572"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57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574" w14:textId="77777777" w:rsidR="00CC25B5" w:rsidRDefault="00900968">
            <w:pPr>
              <w:jc w:val="right"/>
              <w:textAlignment w:val="center"/>
            </w:pPr>
            <w:r>
              <w:rPr>
                <w:rFonts w:ascii="Times New Roman" w:eastAsia="宋体" w:hAnsi="Times New Roman"/>
                <w:color w:val="000000"/>
                <w:sz w:val="16"/>
                <w:szCs w:val="16"/>
              </w:rPr>
              <w:t>(7,616)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575"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bottom"/>
          </w:tcPr>
          <w:p w14:paraId="442F7576"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57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578" w14:textId="77777777" w:rsidR="00CC25B5" w:rsidRDefault="00900968">
            <w:pPr>
              <w:jc w:val="right"/>
              <w:textAlignment w:val="center"/>
            </w:pPr>
            <w:r>
              <w:rPr>
                <w:rFonts w:ascii="Times New Roman" w:eastAsia="宋体" w:hAnsi="Times New Roman"/>
                <w:color w:val="000000"/>
                <w:sz w:val="16"/>
                <w:szCs w:val="16"/>
              </w:rPr>
              <w:t>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579"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bottom"/>
          </w:tcPr>
          <w:p w14:paraId="442F757A"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57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57C" w14:textId="77777777" w:rsidR="00CC25B5" w:rsidRDefault="00900968">
            <w:pPr>
              <w:jc w:val="right"/>
              <w:textAlignment w:val="center"/>
            </w:pPr>
            <w:r>
              <w:rPr>
                <w:rFonts w:ascii="Times New Roman" w:eastAsia="宋体" w:hAnsi="Times New Roman"/>
                <w:color w:val="000000"/>
                <w:sz w:val="16"/>
                <w:szCs w:val="16"/>
              </w:rPr>
              <w:t>(439)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57D"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bottom"/>
          </w:tcPr>
          <w:p w14:paraId="442F757E"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57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580" w14:textId="77777777" w:rsidR="00CC25B5" w:rsidRDefault="00900968">
            <w:pPr>
              <w:jc w:val="right"/>
              <w:textAlignment w:val="center"/>
            </w:pPr>
            <w:r>
              <w:rPr>
                <w:rFonts w:ascii="Times New Roman" w:eastAsia="宋体" w:hAnsi="Times New Roman"/>
                <w:color w:val="000000"/>
                <w:sz w:val="16"/>
                <w:szCs w:val="16"/>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581"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bottom"/>
          </w:tcPr>
          <w:p w14:paraId="442F7582"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58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584" w14:textId="77777777" w:rsidR="00CC25B5" w:rsidRDefault="00900968">
            <w:pPr>
              <w:jc w:val="right"/>
              <w:textAlignment w:val="center"/>
            </w:pPr>
            <w:r>
              <w:rPr>
                <w:rFonts w:ascii="Times New Roman" w:eastAsia="宋体" w:hAnsi="Times New Roman"/>
                <w:color w:val="000000"/>
                <w:sz w:val="16"/>
                <w:szCs w:val="16"/>
              </w:rPr>
              <w:t>(7,976)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585" w14:textId="77777777" w:rsidR="00CC25B5" w:rsidRDefault="00CC25B5">
            <w:pPr>
              <w:jc w:val="right"/>
              <w:rPr>
                <w:rFonts w:ascii="宋体"/>
              </w:rPr>
            </w:pPr>
          </w:p>
        </w:tc>
      </w:tr>
      <w:tr w:rsidR="00CC25B5" w14:paraId="442F7592" w14:textId="77777777">
        <w:trPr>
          <w:hidden/>
        </w:trPr>
        <w:tc>
          <w:tcPr>
            <w:tcW w:w="0" w:type="auto"/>
            <w:gridSpan w:val="3"/>
            <w:shd w:val="clear" w:color="auto" w:fill="auto"/>
            <w:vAlign w:val="bottom"/>
          </w:tcPr>
          <w:p w14:paraId="442F7587" w14:textId="77777777" w:rsidR="00CC25B5" w:rsidRDefault="00CC25B5">
            <w:pPr>
              <w:rPr>
                <w:rFonts w:ascii="宋体"/>
                <w:vanish/>
              </w:rPr>
            </w:pPr>
          </w:p>
        </w:tc>
        <w:tc>
          <w:tcPr>
            <w:tcW w:w="0" w:type="auto"/>
            <w:gridSpan w:val="3"/>
            <w:shd w:val="clear" w:color="auto" w:fill="auto"/>
            <w:vAlign w:val="bottom"/>
          </w:tcPr>
          <w:p w14:paraId="442F7588" w14:textId="77777777" w:rsidR="00CC25B5" w:rsidRDefault="00CC25B5">
            <w:pPr>
              <w:rPr>
                <w:rFonts w:ascii="宋体"/>
                <w:vanish/>
              </w:rPr>
            </w:pPr>
          </w:p>
        </w:tc>
        <w:tc>
          <w:tcPr>
            <w:tcW w:w="0" w:type="auto"/>
            <w:gridSpan w:val="3"/>
            <w:shd w:val="clear" w:color="auto" w:fill="auto"/>
            <w:vAlign w:val="bottom"/>
          </w:tcPr>
          <w:p w14:paraId="442F7589" w14:textId="77777777" w:rsidR="00CC25B5" w:rsidRDefault="00CC25B5">
            <w:pPr>
              <w:rPr>
                <w:rFonts w:ascii="宋体"/>
                <w:vanish/>
              </w:rPr>
            </w:pPr>
          </w:p>
        </w:tc>
        <w:tc>
          <w:tcPr>
            <w:tcW w:w="0" w:type="auto"/>
            <w:gridSpan w:val="3"/>
            <w:shd w:val="clear" w:color="auto" w:fill="auto"/>
            <w:vAlign w:val="bottom"/>
          </w:tcPr>
          <w:p w14:paraId="442F758A" w14:textId="77777777" w:rsidR="00CC25B5" w:rsidRDefault="00CC25B5">
            <w:pPr>
              <w:rPr>
                <w:rFonts w:ascii="宋体"/>
                <w:vanish/>
              </w:rPr>
            </w:pPr>
          </w:p>
        </w:tc>
        <w:tc>
          <w:tcPr>
            <w:tcW w:w="0" w:type="auto"/>
            <w:gridSpan w:val="3"/>
            <w:shd w:val="clear" w:color="auto" w:fill="auto"/>
            <w:vAlign w:val="bottom"/>
          </w:tcPr>
          <w:p w14:paraId="442F758B" w14:textId="77777777" w:rsidR="00CC25B5" w:rsidRDefault="00CC25B5">
            <w:pPr>
              <w:rPr>
                <w:rFonts w:ascii="宋体"/>
                <w:vanish/>
              </w:rPr>
            </w:pPr>
          </w:p>
        </w:tc>
        <w:tc>
          <w:tcPr>
            <w:tcW w:w="0" w:type="auto"/>
            <w:gridSpan w:val="3"/>
            <w:shd w:val="clear" w:color="auto" w:fill="auto"/>
            <w:vAlign w:val="bottom"/>
          </w:tcPr>
          <w:p w14:paraId="442F758C" w14:textId="77777777" w:rsidR="00CC25B5" w:rsidRDefault="00CC25B5">
            <w:pPr>
              <w:rPr>
                <w:rFonts w:ascii="宋体"/>
                <w:vanish/>
              </w:rPr>
            </w:pPr>
          </w:p>
        </w:tc>
        <w:tc>
          <w:tcPr>
            <w:tcW w:w="0" w:type="auto"/>
            <w:gridSpan w:val="3"/>
            <w:shd w:val="clear" w:color="auto" w:fill="auto"/>
            <w:vAlign w:val="bottom"/>
          </w:tcPr>
          <w:p w14:paraId="442F758D" w14:textId="77777777" w:rsidR="00CC25B5" w:rsidRDefault="00CC25B5">
            <w:pPr>
              <w:rPr>
                <w:rFonts w:ascii="宋体"/>
                <w:vanish/>
              </w:rPr>
            </w:pPr>
          </w:p>
        </w:tc>
        <w:tc>
          <w:tcPr>
            <w:tcW w:w="0" w:type="auto"/>
            <w:gridSpan w:val="3"/>
            <w:shd w:val="clear" w:color="auto" w:fill="auto"/>
            <w:vAlign w:val="bottom"/>
          </w:tcPr>
          <w:p w14:paraId="442F758E" w14:textId="77777777" w:rsidR="00CC25B5" w:rsidRDefault="00CC25B5">
            <w:pPr>
              <w:rPr>
                <w:rFonts w:ascii="宋体"/>
                <w:vanish/>
              </w:rPr>
            </w:pPr>
          </w:p>
        </w:tc>
        <w:tc>
          <w:tcPr>
            <w:tcW w:w="0" w:type="auto"/>
            <w:gridSpan w:val="3"/>
            <w:shd w:val="clear" w:color="auto" w:fill="auto"/>
            <w:vAlign w:val="bottom"/>
          </w:tcPr>
          <w:p w14:paraId="442F758F" w14:textId="77777777" w:rsidR="00CC25B5" w:rsidRDefault="00CC25B5">
            <w:pPr>
              <w:rPr>
                <w:rFonts w:ascii="宋体"/>
                <w:vanish/>
              </w:rPr>
            </w:pPr>
          </w:p>
        </w:tc>
        <w:tc>
          <w:tcPr>
            <w:tcW w:w="0" w:type="auto"/>
            <w:gridSpan w:val="3"/>
            <w:shd w:val="clear" w:color="auto" w:fill="auto"/>
            <w:vAlign w:val="bottom"/>
          </w:tcPr>
          <w:p w14:paraId="442F7590" w14:textId="77777777" w:rsidR="00CC25B5" w:rsidRDefault="00CC25B5">
            <w:pPr>
              <w:rPr>
                <w:rFonts w:ascii="宋体"/>
                <w:vanish/>
              </w:rPr>
            </w:pPr>
          </w:p>
        </w:tc>
        <w:tc>
          <w:tcPr>
            <w:tcW w:w="0" w:type="auto"/>
            <w:gridSpan w:val="3"/>
            <w:shd w:val="clear" w:color="auto" w:fill="auto"/>
            <w:vAlign w:val="bottom"/>
          </w:tcPr>
          <w:p w14:paraId="442F7591" w14:textId="77777777" w:rsidR="00CC25B5" w:rsidRDefault="00CC25B5">
            <w:pPr>
              <w:rPr>
                <w:rFonts w:ascii="宋体"/>
                <w:vanish/>
              </w:rPr>
            </w:pPr>
          </w:p>
        </w:tc>
      </w:tr>
      <w:tr w:rsidR="00CC25B5" w14:paraId="442F759E" w14:textId="77777777">
        <w:trPr>
          <w:hidden/>
        </w:trPr>
        <w:tc>
          <w:tcPr>
            <w:tcW w:w="0" w:type="auto"/>
            <w:gridSpan w:val="3"/>
            <w:shd w:val="clear" w:color="auto" w:fill="auto"/>
            <w:vAlign w:val="bottom"/>
          </w:tcPr>
          <w:p w14:paraId="442F7593" w14:textId="77777777" w:rsidR="00CC25B5" w:rsidRDefault="00CC25B5">
            <w:pPr>
              <w:rPr>
                <w:rFonts w:ascii="宋体"/>
                <w:vanish/>
              </w:rPr>
            </w:pPr>
          </w:p>
        </w:tc>
        <w:tc>
          <w:tcPr>
            <w:tcW w:w="0" w:type="auto"/>
            <w:gridSpan w:val="3"/>
            <w:shd w:val="clear" w:color="auto" w:fill="auto"/>
            <w:vAlign w:val="bottom"/>
          </w:tcPr>
          <w:p w14:paraId="442F7594" w14:textId="77777777" w:rsidR="00CC25B5" w:rsidRDefault="00CC25B5">
            <w:pPr>
              <w:rPr>
                <w:rFonts w:ascii="宋体"/>
                <w:vanish/>
              </w:rPr>
            </w:pPr>
          </w:p>
        </w:tc>
        <w:tc>
          <w:tcPr>
            <w:tcW w:w="0" w:type="auto"/>
            <w:gridSpan w:val="3"/>
            <w:shd w:val="clear" w:color="auto" w:fill="auto"/>
            <w:vAlign w:val="bottom"/>
          </w:tcPr>
          <w:p w14:paraId="442F7595" w14:textId="77777777" w:rsidR="00CC25B5" w:rsidRDefault="00CC25B5">
            <w:pPr>
              <w:rPr>
                <w:rFonts w:ascii="宋体"/>
                <w:vanish/>
              </w:rPr>
            </w:pPr>
          </w:p>
        </w:tc>
        <w:tc>
          <w:tcPr>
            <w:tcW w:w="0" w:type="auto"/>
            <w:gridSpan w:val="3"/>
            <w:shd w:val="clear" w:color="auto" w:fill="auto"/>
            <w:vAlign w:val="bottom"/>
          </w:tcPr>
          <w:p w14:paraId="442F7596" w14:textId="77777777" w:rsidR="00CC25B5" w:rsidRDefault="00CC25B5">
            <w:pPr>
              <w:rPr>
                <w:rFonts w:ascii="宋体"/>
                <w:vanish/>
              </w:rPr>
            </w:pPr>
          </w:p>
        </w:tc>
        <w:tc>
          <w:tcPr>
            <w:tcW w:w="0" w:type="auto"/>
            <w:gridSpan w:val="3"/>
            <w:shd w:val="clear" w:color="auto" w:fill="auto"/>
            <w:vAlign w:val="bottom"/>
          </w:tcPr>
          <w:p w14:paraId="442F7597" w14:textId="77777777" w:rsidR="00CC25B5" w:rsidRDefault="00CC25B5">
            <w:pPr>
              <w:rPr>
                <w:rFonts w:ascii="宋体"/>
                <w:vanish/>
              </w:rPr>
            </w:pPr>
          </w:p>
        </w:tc>
        <w:tc>
          <w:tcPr>
            <w:tcW w:w="0" w:type="auto"/>
            <w:gridSpan w:val="3"/>
            <w:shd w:val="clear" w:color="auto" w:fill="auto"/>
            <w:vAlign w:val="bottom"/>
          </w:tcPr>
          <w:p w14:paraId="442F7598" w14:textId="77777777" w:rsidR="00CC25B5" w:rsidRDefault="00CC25B5">
            <w:pPr>
              <w:rPr>
                <w:rFonts w:ascii="宋体"/>
                <w:vanish/>
              </w:rPr>
            </w:pPr>
          </w:p>
        </w:tc>
        <w:tc>
          <w:tcPr>
            <w:tcW w:w="0" w:type="auto"/>
            <w:gridSpan w:val="3"/>
            <w:shd w:val="clear" w:color="auto" w:fill="auto"/>
            <w:vAlign w:val="bottom"/>
          </w:tcPr>
          <w:p w14:paraId="442F7599" w14:textId="77777777" w:rsidR="00CC25B5" w:rsidRDefault="00CC25B5">
            <w:pPr>
              <w:rPr>
                <w:rFonts w:ascii="宋体"/>
                <w:vanish/>
              </w:rPr>
            </w:pPr>
          </w:p>
        </w:tc>
        <w:tc>
          <w:tcPr>
            <w:tcW w:w="0" w:type="auto"/>
            <w:gridSpan w:val="3"/>
            <w:shd w:val="clear" w:color="auto" w:fill="auto"/>
            <w:vAlign w:val="bottom"/>
          </w:tcPr>
          <w:p w14:paraId="442F759A" w14:textId="77777777" w:rsidR="00CC25B5" w:rsidRDefault="00CC25B5">
            <w:pPr>
              <w:rPr>
                <w:rFonts w:ascii="宋体"/>
                <w:vanish/>
              </w:rPr>
            </w:pPr>
          </w:p>
        </w:tc>
        <w:tc>
          <w:tcPr>
            <w:tcW w:w="0" w:type="auto"/>
            <w:gridSpan w:val="3"/>
            <w:shd w:val="clear" w:color="auto" w:fill="auto"/>
            <w:vAlign w:val="bottom"/>
          </w:tcPr>
          <w:p w14:paraId="442F759B" w14:textId="77777777" w:rsidR="00CC25B5" w:rsidRDefault="00CC25B5">
            <w:pPr>
              <w:rPr>
                <w:rFonts w:ascii="宋体"/>
                <w:vanish/>
              </w:rPr>
            </w:pPr>
          </w:p>
        </w:tc>
        <w:tc>
          <w:tcPr>
            <w:tcW w:w="0" w:type="auto"/>
            <w:gridSpan w:val="3"/>
            <w:shd w:val="clear" w:color="auto" w:fill="auto"/>
            <w:vAlign w:val="bottom"/>
          </w:tcPr>
          <w:p w14:paraId="442F759C" w14:textId="77777777" w:rsidR="00CC25B5" w:rsidRDefault="00CC25B5">
            <w:pPr>
              <w:rPr>
                <w:rFonts w:ascii="宋体"/>
                <w:vanish/>
              </w:rPr>
            </w:pPr>
          </w:p>
        </w:tc>
        <w:tc>
          <w:tcPr>
            <w:tcW w:w="0" w:type="auto"/>
            <w:gridSpan w:val="3"/>
            <w:shd w:val="clear" w:color="auto" w:fill="auto"/>
            <w:vAlign w:val="bottom"/>
          </w:tcPr>
          <w:p w14:paraId="442F759D" w14:textId="77777777" w:rsidR="00CC25B5" w:rsidRDefault="00CC25B5">
            <w:pPr>
              <w:rPr>
                <w:rFonts w:ascii="宋体"/>
                <w:vanish/>
              </w:rPr>
            </w:pPr>
          </w:p>
        </w:tc>
      </w:tr>
      <w:tr w:rsidR="00CC25B5" w14:paraId="442F75AA" w14:textId="77777777">
        <w:trPr>
          <w:hidden/>
        </w:trPr>
        <w:tc>
          <w:tcPr>
            <w:tcW w:w="0" w:type="auto"/>
            <w:gridSpan w:val="3"/>
            <w:shd w:val="clear" w:color="auto" w:fill="auto"/>
            <w:vAlign w:val="bottom"/>
          </w:tcPr>
          <w:p w14:paraId="442F759F" w14:textId="77777777" w:rsidR="00CC25B5" w:rsidRDefault="00CC25B5">
            <w:pPr>
              <w:rPr>
                <w:rFonts w:ascii="宋体"/>
                <w:vanish/>
              </w:rPr>
            </w:pPr>
          </w:p>
        </w:tc>
        <w:tc>
          <w:tcPr>
            <w:tcW w:w="0" w:type="auto"/>
            <w:gridSpan w:val="3"/>
            <w:shd w:val="clear" w:color="auto" w:fill="auto"/>
            <w:vAlign w:val="bottom"/>
          </w:tcPr>
          <w:p w14:paraId="442F75A0" w14:textId="77777777" w:rsidR="00CC25B5" w:rsidRDefault="00CC25B5">
            <w:pPr>
              <w:rPr>
                <w:rFonts w:ascii="宋体"/>
                <w:vanish/>
              </w:rPr>
            </w:pPr>
          </w:p>
        </w:tc>
        <w:tc>
          <w:tcPr>
            <w:tcW w:w="0" w:type="auto"/>
            <w:gridSpan w:val="3"/>
            <w:shd w:val="clear" w:color="auto" w:fill="auto"/>
            <w:vAlign w:val="bottom"/>
          </w:tcPr>
          <w:p w14:paraId="442F75A1" w14:textId="77777777" w:rsidR="00CC25B5" w:rsidRDefault="00CC25B5">
            <w:pPr>
              <w:rPr>
                <w:rFonts w:ascii="宋体"/>
                <w:vanish/>
              </w:rPr>
            </w:pPr>
          </w:p>
        </w:tc>
        <w:tc>
          <w:tcPr>
            <w:tcW w:w="0" w:type="auto"/>
            <w:gridSpan w:val="3"/>
            <w:shd w:val="clear" w:color="auto" w:fill="auto"/>
            <w:vAlign w:val="bottom"/>
          </w:tcPr>
          <w:p w14:paraId="442F75A2" w14:textId="77777777" w:rsidR="00CC25B5" w:rsidRDefault="00CC25B5">
            <w:pPr>
              <w:rPr>
                <w:rFonts w:ascii="宋体"/>
                <w:vanish/>
              </w:rPr>
            </w:pPr>
          </w:p>
        </w:tc>
        <w:tc>
          <w:tcPr>
            <w:tcW w:w="0" w:type="auto"/>
            <w:gridSpan w:val="3"/>
            <w:shd w:val="clear" w:color="auto" w:fill="auto"/>
            <w:vAlign w:val="bottom"/>
          </w:tcPr>
          <w:p w14:paraId="442F75A3" w14:textId="77777777" w:rsidR="00CC25B5" w:rsidRDefault="00CC25B5">
            <w:pPr>
              <w:rPr>
                <w:rFonts w:ascii="宋体"/>
                <w:vanish/>
              </w:rPr>
            </w:pPr>
          </w:p>
        </w:tc>
        <w:tc>
          <w:tcPr>
            <w:tcW w:w="0" w:type="auto"/>
            <w:gridSpan w:val="3"/>
            <w:shd w:val="clear" w:color="auto" w:fill="auto"/>
            <w:vAlign w:val="bottom"/>
          </w:tcPr>
          <w:p w14:paraId="442F75A4" w14:textId="77777777" w:rsidR="00CC25B5" w:rsidRDefault="00CC25B5">
            <w:pPr>
              <w:rPr>
                <w:rFonts w:ascii="宋体"/>
                <w:vanish/>
              </w:rPr>
            </w:pPr>
          </w:p>
        </w:tc>
        <w:tc>
          <w:tcPr>
            <w:tcW w:w="0" w:type="auto"/>
            <w:gridSpan w:val="3"/>
            <w:shd w:val="clear" w:color="auto" w:fill="auto"/>
            <w:vAlign w:val="bottom"/>
          </w:tcPr>
          <w:p w14:paraId="442F75A5" w14:textId="77777777" w:rsidR="00CC25B5" w:rsidRDefault="00CC25B5">
            <w:pPr>
              <w:rPr>
                <w:rFonts w:ascii="宋体"/>
                <w:vanish/>
              </w:rPr>
            </w:pPr>
          </w:p>
        </w:tc>
        <w:tc>
          <w:tcPr>
            <w:tcW w:w="0" w:type="auto"/>
            <w:gridSpan w:val="3"/>
            <w:shd w:val="clear" w:color="auto" w:fill="auto"/>
            <w:vAlign w:val="bottom"/>
          </w:tcPr>
          <w:p w14:paraId="442F75A6" w14:textId="77777777" w:rsidR="00CC25B5" w:rsidRDefault="00CC25B5">
            <w:pPr>
              <w:rPr>
                <w:rFonts w:ascii="宋体"/>
                <w:vanish/>
              </w:rPr>
            </w:pPr>
          </w:p>
        </w:tc>
        <w:tc>
          <w:tcPr>
            <w:tcW w:w="0" w:type="auto"/>
            <w:gridSpan w:val="3"/>
            <w:shd w:val="clear" w:color="auto" w:fill="auto"/>
            <w:vAlign w:val="bottom"/>
          </w:tcPr>
          <w:p w14:paraId="442F75A7" w14:textId="77777777" w:rsidR="00CC25B5" w:rsidRDefault="00CC25B5">
            <w:pPr>
              <w:rPr>
                <w:rFonts w:ascii="宋体"/>
                <w:vanish/>
              </w:rPr>
            </w:pPr>
          </w:p>
        </w:tc>
        <w:tc>
          <w:tcPr>
            <w:tcW w:w="0" w:type="auto"/>
            <w:gridSpan w:val="3"/>
            <w:shd w:val="clear" w:color="auto" w:fill="auto"/>
            <w:vAlign w:val="bottom"/>
          </w:tcPr>
          <w:p w14:paraId="442F75A8" w14:textId="77777777" w:rsidR="00CC25B5" w:rsidRDefault="00CC25B5">
            <w:pPr>
              <w:rPr>
                <w:rFonts w:ascii="宋体"/>
                <w:vanish/>
              </w:rPr>
            </w:pPr>
          </w:p>
        </w:tc>
        <w:tc>
          <w:tcPr>
            <w:tcW w:w="0" w:type="auto"/>
            <w:gridSpan w:val="3"/>
            <w:shd w:val="clear" w:color="auto" w:fill="auto"/>
            <w:vAlign w:val="bottom"/>
          </w:tcPr>
          <w:p w14:paraId="442F75A9" w14:textId="77777777" w:rsidR="00CC25B5" w:rsidRDefault="00CC25B5">
            <w:pPr>
              <w:rPr>
                <w:rFonts w:ascii="宋体"/>
                <w:vanish/>
              </w:rPr>
            </w:pPr>
          </w:p>
        </w:tc>
      </w:tr>
    </w:tbl>
    <w:p w14:paraId="442F75AB" w14:textId="77777777" w:rsidR="00CC25B5" w:rsidRDefault="00900968">
      <w:r>
        <w:rPr>
          <w:rFonts w:ascii="Times New Roman" w:eastAsia="宋体" w:hAnsi="Times New Roman"/>
          <w:color w:val="000000"/>
          <w:sz w:val="10"/>
          <w:szCs w:val="10"/>
        </w:rPr>
        <w:t>(1)</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other comprehensive loss, the majority of which was considered in the impairment evaluation wh</w:t>
      </w:r>
      <w:r>
        <w:rPr>
          <w:rFonts w:ascii="Times New Roman" w:eastAsia="宋体" w:hAnsi="Times New Roman"/>
          <w:color w:val="000000"/>
          <w:sz w:val="16"/>
          <w:szCs w:val="16"/>
        </w:rPr>
        <w:t xml:space="preserve">en the individual disposal groups met the held for sale classification in fiscal 2021. </w:t>
      </w:r>
    </w:p>
    <w:tbl>
      <w:tblPr>
        <w:tblW w:w="4993" w:type="pct"/>
        <w:tblCellMar>
          <w:top w:w="15" w:type="dxa"/>
          <w:left w:w="15" w:type="dxa"/>
          <w:bottom w:w="15" w:type="dxa"/>
          <w:right w:w="15" w:type="dxa"/>
        </w:tblCellMar>
        <w:tblLook w:val="04A0" w:firstRow="1" w:lastRow="0" w:firstColumn="1" w:lastColumn="0" w:noHBand="0" w:noVBand="1"/>
      </w:tblPr>
      <w:tblGrid>
        <w:gridCol w:w="38"/>
        <w:gridCol w:w="3609"/>
        <w:gridCol w:w="37"/>
        <w:gridCol w:w="36"/>
        <w:gridCol w:w="36"/>
        <w:gridCol w:w="36"/>
        <w:gridCol w:w="101"/>
        <w:gridCol w:w="803"/>
        <w:gridCol w:w="36"/>
        <w:gridCol w:w="36"/>
        <w:gridCol w:w="36"/>
        <w:gridCol w:w="36"/>
        <w:gridCol w:w="101"/>
        <w:gridCol w:w="803"/>
        <w:gridCol w:w="36"/>
        <w:gridCol w:w="36"/>
        <w:gridCol w:w="36"/>
        <w:gridCol w:w="36"/>
        <w:gridCol w:w="101"/>
        <w:gridCol w:w="607"/>
        <w:gridCol w:w="36"/>
        <w:gridCol w:w="36"/>
        <w:gridCol w:w="36"/>
        <w:gridCol w:w="36"/>
        <w:gridCol w:w="101"/>
        <w:gridCol w:w="645"/>
        <w:gridCol w:w="36"/>
        <w:gridCol w:w="36"/>
        <w:gridCol w:w="36"/>
        <w:gridCol w:w="36"/>
        <w:gridCol w:w="100"/>
        <w:gridCol w:w="558"/>
        <w:gridCol w:w="36"/>
      </w:tblGrid>
      <w:tr w:rsidR="00CC25B5" w14:paraId="442F75CD" w14:textId="77777777">
        <w:tc>
          <w:tcPr>
            <w:tcW w:w="50" w:type="pct"/>
            <w:shd w:val="clear" w:color="auto" w:fill="auto"/>
            <w:vAlign w:val="bottom"/>
          </w:tcPr>
          <w:p w14:paraId="442F75AC" w14:textId="77777777" w:rsidR="00CC25B5" w:rsidRDefault="00CC25B5">
            <w:pPr>
              <w:rPr>
                <w:rFonts w:ascii="宋体"/>
              </w:rPr>
            </w:pPr>
          </w:p>
        </w:tc>
        <w:tc>
          <w:tcPr>
            <w:tcW w:w="2192" w:type="pct"/>
            <w:shd w:val="clear" w:color="auto" w:fill="auto"/>
            <w:vAlign w:val="bottom"/>
          </w:tcPr>
          <w:p w14:paraId="442F75AD" w14:textId="77777777" w:rsidR="00CC25B5" w:rsidRDefault="00CC25B5">
            <w:pPr>
              <w:rPr>
                <w:rFonts w:ascii="宋体"/>
              </w:rPr>
            </w:pPr>
          </w:p>
        </w:tc>
        <w:tc>
          <w:tcPr>
            <w:tcW w:w="5" w:type="pct"/>
            <w:shd w:val="clear" w:color="auto" w:fill="auto"/>
            <w:vAlign w:val="bottom"/>
          </w:tcPr>
          <w:p w14:paraId="442F75AE" w14:textId="77777777" w:rsidR="00CC25B5" w:rsidRDefault="00CC25B5">
            <w:pPr>
              <w:rPr>
                <w:rFonts w:ascii="宋体"/>
              </w:rPr>
            </w:pPr>
          </w:p>
        </w:tc>
        <w:tc>
          <w:tcPr>
            <w:tcW w:w="5" w:type="pct"/>
            <w:shd w:val="clear" w:color="auto" w:fill="auto"/>
            <w:vAlign w:val="bottom"/>
          </w:tcPr>
          <w:p w14:paraId="442F75AF" w14:textId="77777777" w:rsidR="00CC25B5" w:rsidRDefault="00CC25B5">
            <w:pPr>
              <w:rPr>
                <w:rFonts w:ascii="宋体"/>
              </w:rPr>
            </w:pPr>
          </w:p>
        </w:tc>
        <w:tc>
          <w:tcPr>
            <w:tcW w:w="26" w:type="pct"/>
            <w:shd w:val="clear" w:color="auto" w:fill="auto"/>
            <w:vAlign w:val="bottom"/>
          </w:tcPr>
          <w:p w14:paraId="442F75B0" w14:textId="77777777" w:rsidR="00CC25B5" w:rsidRDefault="00CC25B5">
            <w:pPr>
              <w:rPr>
                <w:rFonts w:ascii="宋体"/>
              </w:rPr>
            </w:pPr>
          </w:p>
        </w:tc>
        <w:tc>
          <w:tcPr>
            <w:tcW w:w="5" w:type="pct"/>
            <w:shd w:val="clear" w:color="auto" w:fill="auto"/>
            <w:vAlign w:val="bottom"/>
          </w:tcPr>
          <w:p w14:paraId="442F75B1" w14:textId="77777777" w:rsidR="00CC25B5" w:rsidRDefault="00CC25B5">
            <w:pPr>
              <w:rPr>
                <w:rFonts w:ascii="宋体"/>
              </w:rPr>
            </w:pPr>
          </w:p>
        </w:tc>
        <w:tc>
          <w:tcPr>
            <w:tcW w:w="50" w:type="pct"/>
            <w:shd w:val="clear" w:color="auto" w:fill="auto"/>
            <w:vAlign w:val="bottom"/>
          </w:tcPr>
          <w:p w14:paraId="442F75B2" w14:textId="77777777" w:rsidR="00CC25B5" w:rsidRDefault="00CC25B5">
            <w:pPr>
              <w:rPr>
                <w:rFonts w:ascii="宋体"/>
              </w:rPr>
            </w:pPr>
          </w:p>
        </w:tc>
        <w:tc>
          <w:tcPr>
            <w:tcW w:w="530" w:type="pct"/>
            <w:shd w:val="clear" w:color="auto" w:fill="auto"/>
            <w:vAlign w:val="bottom"/>
          </w:tcPr>
          <w:p w14:paraId="442F75B3" w14:textId="77777777" w:rsidR="00CC25B5" w:rsidRDefault="00CC25B5">
            <w:pPr>
              <w:rPr>
                <w:rFonts w:ascii="宋体"/>
              </w:rPr>
            </w:pPr>
          </w:p>
        </w:tc>
        <w:tc>
          <w:tcPr>
            <w:tcW w:w="5" w:type="pct"/>
            <w:shd w:val="clear" w:color="auto" w:fill="auto"/>
            <w:vAlign w:val="bottom"/>
          </w:tcPr>
          <w:p w14:paraId="442F75B4" w14:textId="77777777" w:rsidR="00CC25B5" w:rsidRDefault="00CC25B5">
            <w:pPr>
              <w:rPr>
                <w:rFonts w:ascii="宋体"/>
              </w:rPr>
            </w:pPr>
          </w:p>
        </w:tc>
        <w:tc>
          <w:tcPr>
            <w:tcW w:w="5" w:type="pct"/>
            <w:shd w:val="clear" w:color="auto" w:fill="auto"/>
            <w:vAlign w:val="bottom"/>
          </w:tcPr>
          <w:p w14:paraId="442F75B5" w14:textId="77777777" w:rsidR="00CC25B5" w:rsidRDefault="00CC25B5">
            <w:pPr>
              <w:rPr>
                <w:rFonts w:ascii="宋体"/>
              </w:rPr>
            </w:pPr>
          </w:p>
        </w:tc>
        <w:tc>
          <w:tcPr>
            <w:tcW w:w="26" w:type="pct"/>
            <w:shd w:val="clear" w:color="auto" w:fill="auto"/>
            <w:vAlign w:val="bottom"/>
          </w:tcPr>
          <w:p w14:paraId="442F75B6" w14:textId="77777777" w:rsidR="00CC25B5" w:rsidRDefault="00CC25B5">
            <w:pPr>
              <w:rPr>
                <w:rFonts w:ascii="宋体"/>
              </w:rPr>
            </w:pPr>
          </w:p>
        </w:tc>
        <w:tc>
          <w:tcPr>
            <w:tcW w:w="5" w:type="pct"/>
            <w:shd w:val="clear" w:color="auto" w:fill="auto"/>
            <w:vAlign w:val="bottom"/>
          </w:tcPr>
          <w:p w14:paraId="442F75B7" w14:textId="77777777" w:rsidR="00CC25B5" w:rsidRDefault="00CC25B5">
            <w:pPr>
              <w:rPr>
                <w:rFonts w:ascii="宋体"/>
              </w:rPr>
            </w:pPr>
          </w:p>
        </w:tc>
        <w:tc>
          <w:tcPr>
            <w:tcW w:w="50" w:type="pct"/>
            <w:shd w:val="clear" w:color="auto" w:fill="auto"/>
            <w:vAlign w:val="bottom"/>
          </w:tcPr>
          <w:p w14:paraId="442F75B8" w14:textId="77777777" w:rsidR="00CC25B5" w:rsidRDefault="00CC25B5">
            <w:pPr>
              <w:rPr>
                <w:rFonts w:ascii="宋体"/>
              </w:rPr>
            </w:pPr>
          </w:p>
        </w:tc>
        <w:tc>
          <w:tcPr>
            <w:tcW w:w="530" w:type="pct"/>
            <w:shd w:val="clear" w:color="auto" w:fill="auto"/>
            <w:vAlign w:val="bottom"/>
          </w:tcPr>
          <w:p w14:paraId="442F75B9" w14:textId="77777777" w:rsidR="00CC25B5" w:rsidRDefault="00CC25B5">
            <w:pPr>
              <w:rPr>
                <w:rFonts w:ascii="宋体"/>
              </w:rPr>
            </w:pPr>
          </w:p>
        </w:tc>
        <w:tc>
          <w:tcPr>
            <w:tcW w:w="5" w:type="pct"/>
            <w:shd w:val="clear" w:color="auto" w:fill="auto"/>
            <w:vAlign w:val="bottom"/>
          </w:tcPr>
          <w:p w14:paraId="442F75BA" w14:textId="77777777" w:rsidR="00CC25B5" w:rsidRDefault="00CC25B5">
            <w:pPr>
              <w:rPr>
                <w:rFonts w:ascii="宋体"/>
              </w:rPr>
            </w:pPr>
          </w:p>
        </w:tc>
        <w:tc>
          <w:tcPr>
            <w:tcW w:w="5" w:type="pct"/>
            <w:shd w:val="clear" w:color="auto" w:fill="auto"/>
            <w:vAlign w:val="bottom"/>
          </w:tcPr>
          <w:p w14:paraId="442F75BB" w14:textId="77777777" w:rsidR="00CC25B5" w:rsidRDefault="00CC25B5">
            <w:pPr>
              <w:rPr>
                <w:rFonts w:ascii="宋体"/>
              </w:rPr>
            </w:pPr>
          </w:p>
        </w:tc>
        <w:tc>
          <w:tcPr>
            <w:tcW w:w="26" w:type="pct"/>
            <w:shd w:val="clear" w:color="auto" w:fill="auto"/>
            <w:vAlign w:val="bottom"/>
          </w:tcPr>
          <w:p w14:paraId="442F75BC" w14:textId="77777777" w:rsidR="00CC25B5" w:rsidRDefault="00CC25B5">
            <w:pPr>
              <w:rPr>
                <w:rFonts w:ascii="宋体"/>
              </w:rPr>
            </w:pPr>
          </w:p>
        </w:tc>
        <w:tc>
          <w:tcPr>
            <w:tcW w:w="5" w:type="pct"/>
            <w:shd w:val="clear" w:color="auto" w:fill="auto"/>
            <w:vAlign w:val="bottom"/>
          </w:tcPr>
          <w:p w14:paraId="442F75BD" w14:textId="77777777" w:rsidR="00CC25B5" w:rsidRDefault="00CC25B5">
            <w:pPr>
              <w:rPr>
                <w:rFonts w:ascii="宋体"/>
              </w:rPr>
            </w:pPr>
          </w:p>
        </w:tc>
        <w:tc>
          <w:tcPr>
            <w:tcW w:w="50" w:type="pct"/>
            <w:shd w:val="clear" w:color="auto" w:fill="auto"/>
            <w:vAlign w:val="bottom"/>
          </w:tcPr>
          <w:p w14:paraId="442F75BE" w14:textId="77777777" w:rsidR="00CC25B5" w:rsidRDefault="00CC25B5">
            <w:pPr>
              <w:rPr>
                <w:rFonts w:ascii="宋体"/>
              </w:rPr>
            </w:pPr>
          </w:p>
        </w:tc>
        <w:tc>
          <w:tcPr>
            <w:tcW w:w="413" w:type="pct"/>
            <w:shd w:val="clear" w:color="auto" w:fill="auto"/>
            <w:vAlign w:val="bottom"/>
          </w:tcPr>
          <w:p w14:paraId="442F75BF" w14:textId="77777777" w:rsidR="00CC25B5" w:rsidRDefault="00CC25B5">
            <w:pPr>
              <w:rPr>
                <w:rFonts w:ascii="宋体"/>
              </w:rPr>
            </w:pPr>
          </w:p>
        </w:tc>
        <w:tc>
          <w:tcPr>
            <w:tcW w:w="5" w:type="pct"/>
            <w:shd w:val="clear" w:color="auto" w:fill="auto"/>
            <w:vAlign w:val="bottom"/>
          </w:tcPr>
          <w:p w14:paraId="442F75C0" w14:textId="77777777" w:rsidR="00CC25B5" w:rsidRDefault="00CC25B5">
            <w:pPr>
              <w:rPr>
                <w:rFonts w:ascii="宋体"/>
              </w:rPr>
            </w:pPr>
          </w:p>
        </w:tc>
        <w:tc>
          <w:tcPr>
            <w:tcW w:w="5" w:type="pct"/>
            <w:shd w:val="clear" w:color="auto" w:fill="auto"/>
            <w:vAlign w:val="bottom"/>
          </w:tcPr>
          <w:p w14:paraId="442F75C1" w14:textId="77777777" w:rsidR="00CC25B5" w:rsidRDefault="00CC25B5">
            <w:pPr>
              <w:rPr>
                <w:rFonts w:ascii="宋体"/>
              </w:rPr>
            </w:pPr>
          </w:p>
        </w:tc>
        <w:tc>
          <w:tcPr>
            <w:tcW w:w="26" w:type="pct"/>
            <w:shd w:val="clear" w:color="auto" w:fill="auto"/>
            <w:vAlign w:val="bottom"/>
          </w:tcPr>
          <w:p w14:paraId="442F75C2" w14:textId="77777777" w:rsidR="00CC25B5" w:rsidRDefault="00CC25B5">
            <w:pPr>
              <w:rPr>
                <w:rFonts w:ascii="宋体"/>
              </w:rPr>
            </w:pPr>
          </w:p>
        </w:tc>
        <w:tc>
          <w:tcPr>
            <w:tcW w:w="5" w:type="pct"/>
            <w:shd w:val="clear" w:color="auto" w:fill="auto"/>
            <w:vAlign w:val="bottom"/>
          </w:tcPr>
          <w:p w14:paraId="442F75C3" w14:textId="77777777" w:rsidR="00CC25B5" w:rsidRDefault="00CC25B5">
            <w:pPr>
              <w:rPr>
                <w:rFonts w:ascii="宋体"/>
              </w:rPr>
            </w:pPr>
          </w:p>
        </w:tc>
        <w:tc>
          <w:tcPr>
            <w:tcW w:w="50" w:type="pct"/>
            <w:shd w:val="clear" w:color="auto" w:fill="auto"/>
            <w:vAlign w:val="bottom"/>
          </w:tcPr>
          <w:p w14:paraId="442F75C4" w14:textId="77777777" w:rsidR="00CC25B5" w:rsidRDefault="00CC25B5">
            <w:pPr>
              <w:rPr>
                <w:rFonts w:ascii="宋体"/>
              </w:rPr>
            </w:pPr>
          </w:p>
        </w:tc>
        <w:tc>
          <w:tcPr>
            <w:tcW w:w="435" w:type="pct"/>
            <w:shd w:val="clear" w:color="auto" w:fill="auto"/>
            <w:vAlign w:val="bottom"/>
          </w:tcPr>
          <w:p w14:paraId="442F75C5" w14:textId="77777777" w:rsidR="00CC25B5" w:rsidRDefault="00CC25B5">
            <w:pPr>
              <w:rPr>
                <w:rFonts w:ascii="宋体"/>
              </w:rPr>
            </w:pPr>
          </w:p>
        </w:tc>
        <w:tc>
          <w:tcPr>
            <w:tcW w:w="5" w:type="pct"/>
            <w:shd w:val="clear" w:color="auto" w:fill="auto"/>
            <w:vAlign w:val="bottom"/>
          </w:tcPr>
          <w:p w14:paraId="442F75C6" w14:textId="77777777" w:rsidR="00CC25B5" w:rsidRDefault="00CC25B5">
            <w:pPr>
              <w:rPr>
                <w:rFonts w:ascii="宋体"/>
              </w:rPr>
            </w:pPr>
          </w:p>
        </w:tc>
        <w:tc>
          <w:tcPr>
            <w:tcW w:w="5" w:type="pct"/>
            <w:shd w:val="clear" w:color="auto" w:fill="auto"/>
            <w:vAlign w:val="bottom"/>
          </w:tcPr>
          <w:p w14:paraId="442F75C7" w14:textId="77777777" w:rsidR="00CC25B5" w:rsidRDefault="00CC25B5">
            <w:pPr>
              <w:rPr>
                <w:rFonts w:ascii="宋体"/>
              </w:rPr>
            </w:pPr>
          </w:p>
        </w:tc>
        <w:tc>
          <w:tcPr>
            <w:tcW w:w="26" w:type="pct"/>
            <w:shd w:val="clear" w:color="auto" w:fill="auto"/>
            <w:vAlign w:val="bottom"/>
          </w:tcPr>
          <w:p w14:paraId="442F75C8" w14:textId="77777777" w:rsidR="00CC25B5" w:rsidRDefault="00CC25B5">
            <w:pPr>
              <w:rPr>
                <w:rFonts w:ascii="宋体"/>
              </w:rPr>
            </w:pPr>
          </w:p>
        </w:tc>
        <w:tc>
          <w:tcPr>
            <w:tcW w:w="5" w:type="pct"/>
            <w:shd w:val="clear" w:color="auto" w:fill="auto"/>
            <w:vAlign w:val="bottom"/>
          </w:tcPr>
          <w:p w14:paraId="442F75C9" w14:textId="77777777" w:rsidR="00CC25B5" w:rsidRDefault="00CC25B5">
            <w:pPr>
              <w:rPr>
                <w:rFonts w:ascii="宋体"/>
              </w:rPr>
            </w:pPr>
          </w:p>
        </w:tc>
        <w:tc>
          <w:tcPr>
            <w:tcW w:w="50" w:type="pct"/>
            <w:shd w:val="clear" w:color="auto" w:fill="auto"/>
            <w:vAlign w:val="bottom"/>
          </w:tcPr>
          <w:p w14:paraId="442F75CA" w14:textId="77777777" w:rsidR="00CC25B5" w:rsidRDefault="00CC25B5">
            <w:pPr>
              <w:rPr>
                <w:rFonts w:ascii="宋体"/>
              </w:rPr>
            </w:pPr>
          </w:p>
        </w:tc>
        <w:tc>
          <w:tcPr>
            <w:tcW w:w="384" w:type="pct"/>
            <w:shd w:val="clear" w:color="auto" w:fill="auto"/>
            <w:vAlign w:val="bottom"/>
          </w:tcPr>
          <w:p w14:paraId="442F75CB" w14:textId="77777777" w:rsidR="00CC25B5" w:rsidRDefault="00CC25B5">
            <w:pPr>
              <w:rPr>
                <w:rFonts w:ascii="宋体"/>
              </w:rPr>
            </w:pPr>
          </w:p>
        </w:tc>
        <w:tc>
          <w:tcPr>
            <w:tcW w:w="5" w:type="pct"/>
            <w:shd w:val="clear" w:color="auto" w:fill="auto"/>
            <w:vAlign w:val="bottom"/>
          </w:tcPr>
          <w:p w14:paraId="442F75CC" w14:textId="77777777" w:rsidR="00CC25B5" w:rsidRDefault="00CC25B5">
            <w:pPr>
              <w:rPr>
                <w:rFonts w:ascii="宋体"/>
              </w:rPr>
            </w:pPr>
          </w:p>
        </w:tc>
      </w:tr>
      <w:tr w:rsidR="00CC25B5" w14:paraId="442F75D9" w14:textId="77777777">
        <w:tc>
          <w:tcPr>
            <w:tcW w:w="0" w:type="auto"/>
            <w:gridSpan w:val="3"/>
            <w:shd w:val="clear" w:color="auto" w:fill="auto"/>
            <w:tcMar>
              <w:top w:w="40" w:type="dxa"/>
              <w:left w:w="20" w:type="dxa"/>
              <w:bottom w:w="40" w:type="dxa"/>
              <w:right w:w="20" w:type="dxa"/>
            </w:tcMar>
            <w:vAlign w:val="bottom"/>
          </w:tcPr>
          <w:p w14:paraId="442F75CE" w14:textId="77777777" w:rsidR="00CC25B5" w:rsidRDefault="00900968">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0" w:type="dxa"/>
              <w:left w:w="20" w:type="dxa"/>
              <w:bottom w:w="0" w:type="dxa"/>
              <w:right w:w="20" w:type="dxa"/>
            </w:tcMar>
            <w:vAlign w:val="bottom"/>
          </w:tcPr>
          <w:p w14:paraId="442F75C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5D0" w14:textId="77777777" w:rsidR="00CC25B5" w:rsidRDefault="00900968">
            <w:pPr>
              <w:jc w:val="center"/>
              <w:textAlignment w:val="bottom"/>
            </w:pPr>
            <w:r>
              <w:rPr>
                <w:rFonts w:ascii="Times New Roman" w:eastAsia="宋体" w:hAnsi="Times New Roman"/>
                <w:b/>
                <w:bCs/>
                <w:color w:val="000000"/>
                <w:sz w:val="16"/>
                <w:szCs w:val="16"/>
              </w:rPr>
              <w:t>Currency </w:t>
            </w:r>
            <w:r>
              <w:rPr>
                <w:rFonts w:ascii="Times New Roman" w:eastAsia="宋体" w:hAnsi="Times New Roman"/>
                <w:b/>
                <w:bCs/>
                <w:color w:val="000000"/>
                <w:sz w:val="16"/>
                <w:szCs w:val="16"/>
              </w:rPr>
              <w:br/>
              <w:t>Translation and Other</w:t>
            </w:r>
          </w:p>
        </w:tc>
        <w:tc>
          <w:tcPr>
            <w:tcW w:w="0" w:type="auto"/>
            <w:gridSpan w:val="3"/>
            <w:shd w:val="clear" w:color="auto" w:fill="auto"/>
            <w:tcMar>
              <w:top w:w="0" w:type="dxa"/>
              <w:left w:w="20" w:type="dxa"/>
              <w:bottom w:w="0" w:type="dxa"/>
              <w:right w:w="20" w:type="dxa"/>
            </w:tcMar>
            <w:vAlign w:val="bottom"/>
          </w:tcPr>
          <w:p w14:paraId="442F75D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5D2" w14:textId="77777777" w:rsidR="00CC25B5" w:rsidRDefault="00900968">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442F75D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5D4" w14:textId="77777777" w:rsidR="00CC25B5" w:rsidRDefault="00900968">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442F75D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5D6" w14:textId="77777777" w:rsidR="00CC25B5" w:rsidRDefault="00900968">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w:t>
            </w:r>
            <w:r>
              <w:rPr>
                <w:rFonts w:ascii="Times New Roman" w:eastAsia="宋体" w:hAnsi="Times New Roman"/>
                <w:b/>
                <w:bCs/>
                <w:color w:val="000000"/>
                <w:sz w:val="16"/>
                <w:szCs w:val="16"/>
              </w:rPr>
              <w:br/>
              <w:t>Liability</w:t>
            </w:r>
          </w:p>
        </w:tc>
        <w:tc>
          <w:tcPr>
            <w:tcW w:w="0" w:type="auto"/>
            <w:gridSpan w:val="3"/>
            <w:shd w:val="clear" w:color="auto" w:fill="auto"/>
            <w:tcMar>
              <w:top w:w="0" w:type="dxa"/>
              <w:left w:w="20" w:type="dxa"/>
              <w:bottom w:w="0" w:type="dxa"/>
              <w:right w:w="20" w:type="dxa"/>
            </w:tcMar>
            <w:vAlign w:val="bottom"/>
          </w:tcPr>
          <w:p w14:paraId="442F75D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5D8" w14:textId="77777777" w:rsidR="00CC25B5" w:rsidRDefault="00900968">
            <w:pPr>
              <w:jc w:val="center"/>
              <w:textAlignment w:val="bottom"/>
            </w:pPr>
            <w:r>
              <w:rPr>
                <w:rFonts w:ascii="Times New Roman" w:eastAsia="宋体" w:hAnsi="Times New Roman"/>
                <w:b/>
                <w:bCs/>
                <w:color w:val="000000"/>
                <w:sz w:val="16"/>
                <w:szCs w:val="16"/>
              </w:rPr>
              <w:t>Total</w:t>
            </w:r>
          </w:p>
        </w:tc>
      </w:tr>
      <w:tr w:rsidR="00CC25B5" w14:paraId="442F75EF" w14:textId="77777777">
        <w:tc>
          <w:tcPr>
            <w:tcW w:w="0" w:type="auto"/>
            <w:gridSpan w:val="3"/>
            <w:shd w:val="clear" w:color="auto" w:fill="CCEEFF"/>
            <w:tcMar>
              <w:top w:w="40" w:type="dxa"/>
              <w:left w:w="20" w:type="dxa"/>
              <w:bottom w:w="40" w:type="dxa"/>
              <w:right w:w="20" w:type="dxa"/>
            </w:tcMar>
            <w:vAlign w:val="bottom"/>
          </w:tcPr>
          <w:p w14:paraId="442F75DA" w14:textId="77777777" w:rsidR="00CC25B5" w:rsidRDefault="00900968">
            <w:pPr>
              <w:textAlignment w:val="bottom"/>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vAlign w:val="bottom"/>
          </w:tcPr>
          <w:p w14:paraId="442F75DB"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5DC"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5DD" w14:textId="77777777" w:rsidR="00CC25B5" w:rsidRDefault="00900968">
            <w:pPr>
              <w:jc w:val="right"/>
              <w:textAlignment w:val="bottom"/>
            </w:pPr>
            <w:r>
              <w:rPr>
                <w:rFonts w:ascii="Times New Roman" w:eastAsia="宋体" w:hAnsi="Times New Roman"/>
                <w:color w:val="000000"/>
                <w:sz w:val="16"/>
                <w:szCs w:val="16"/>
              </w:rPr>
              <w:t>(11,827)</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5D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DF"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5E0"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5E1" w14:textId="77777777" w:rsidR="00CC25B5" w:rsidRDefault="00900968">
            <w:pPr>
              <w:jc w:val="right"/>
              <w:textAlignment w:val="bottom"/>
            </w:pPr>
            <w:r>
              <w:rPr>
                <w:rFonts w:ascii="Times New Roman" w:eastAsia="宋体" w:hAnsi="Times New Roman"/>
                <w:color w:val="000000"/>
                <w:sz w:val="16"/>
                <w:szCs w:val="16"/>
              </w:rPr>
              <w:t>1,517 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5E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E3"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5E4"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5E5" w14:textId="77777777" w:rsidR="00CC25B5" w:rsidRDefault="00900968">
            <w:pPr>
              <w:jc w:val="right"/>
              <w:textAlignment w:val="bottom"/>
            </w:pPr>
            <w:r>
              <w:rPr>
                <w:rFonts w:ascii="Times New Roman" w:eastAsia="宋体" w:hAnsi="Times New Roman"/>
                <w:color w:val="000000"/>
                <w:sz w:val="16"/>
                <w:szCs w:val="16"/>
              </w:rPr>
              <w:t>(539)</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5E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E7"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5E8"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5E9" w14:textId="77777777" w:rsidR="00CC25B5" w:rsidRDefault="00900968">
            <w:pPr>
              <w:jc w:val="right"/>
              <w:textAlignment w:val="bottom"/>
            </w:pPr>
            <w:r>
              <w:rPr>
                <w:rFonts w:ascii="Times New Roman" w:eastAsia="宋体" w:hAnsi="Times New Roman"/>
                <w:color w:val="000000"/>
                <w:sz w:val="16"/>
                <w:szCs w:val="16"/>
              </w:rPr>
              <w:t>(1,956)</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5E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5EB"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5EC"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5ED" w14:textId="77777777" w:rsidR="00CC25B5" w:rsidRDefault="00900968">
            <w:pPr>
              <w:jc w:val="right"/>
              <w:textAlignment w:val="bottom"/>
            </w:pPr>
            <w:r>
              <w:rPr>
                <w:rFonts w:ascii="Times New Roman" w:eastAsia="宋体" w:hAnsi="Times New Roman"/>
                <w:color w:val="000000"/>
                <w:sz w:val="16"/>
                <w:szCs w:val="16"/>
              </w:rPr>
              <w:t>(12,805)</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5EE" w14:textId="77777777" w:rsidR="00CC25B5" w:rsidRDefault="00CC25B5">
            <w:pPr>
              <w:jc w:val="right"/>
              <w:rPr>
                <w:rFonts w:ascii="宋体"/>
              </w:rPr>
            </w:pPr>
          </w:p>
        </w:tc>
      </w:tr>
      <w:tr w:rsidR="00CC25B5" w14:paraId="442F7600" w14:textId="77777777">
        <w:tc>
          <w:tcPr>
            <w:tcW w:w="0" w:type="auto"/>
            <w:gridSpan w:val="3"/>
            <w:shd w:val="clear" w:color="auto" w:fill="FFFFFF"/>
            <w:tcMar>
              <w:top w:w="40" w:type="dxa"/>
              <w:left w:w="20" w:type="dxa"/>
              <w:bottom w:w="40" w:type="dxa"/>
              <w:right w:w="20" w:type="dxa"/>
            </w:tcMar>
            <w:vAlign w:val="bottom"/>
          </w:tcPr>
          <w:p w14:paraId="442F75F0" w14:textId="77777777" w:rsidR="00CC25B5" w:rsidRDefault="00900968">
            <w:pPr>
              <w:textAlignment w:val="bottom"/>
            </w:pPr>
            <w:r>
              <w:rPr>
                <w:rFonts w:ascii="Times New Roman" w:eastAsia="宋体" w:hAnsi="Times New Roman"/>
                <w:color w:val="000000"/>
                <w:sz w:val="16"/>
                <w:szCs w:val="16"/>
              </w:rPr>
              <w:t xml:space="preserve">Other comprehensive income </w:t>
            </w:r>
            <w:r>
              <w:rPr>
                <w:rFonts w:ascii="Times New Roman" w:eastAsia="宋体" w:hAnsi="Times New Roman"/>
                <w:color w:val="000000"/>
                <w:sz w:val="16"/>
                <w:szCs w:val="16"/>
              </w:rPr>
              <w:t>(loss) before reclassifications, net</w:t>
            </w:r>
          </w:p>
        </w:tc>
        <w:tc>
          <w:tcPr>
            <w:tcW w:w="0" w:type="auto"/>
            <w:gridSpan w:val="3"/>
            <w:shd w:val="clear" w:color="auto" w:fill="FFFFFF"/>
            <w:tcMar>
              <w:top w:w="0" w:type="dxa"/>
              <w:left w:w="20" w:type="dxa"/>
              <w:bottom w:w="0" w:type="dxa"/>
              <w:right w:w="20" w:type="dxa"/>
            </w:tcMar>
            <w:vAlign w:val="bottom"/>
          </w:tcPr>
          <w:p w14:paraId="442F75F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5F2" w14:textId="77777777" w:rsidR="00CC25B5" w:rsidRDefault="00900968">
            <w:pPr>
              <w:jc w:val="right"/>
              <w:textAlignment w:val="bottom"/>
            </w:pPr>
            <w:r>
              <w:rPr>
                <w:rFonts w:ascii="Times New Roman" w:eastAsia="宋体" w:hAnsi="Times New Roman"/>
                <w:color w:val="000000"/>
                <w:sz w:val="16"/>
                <w:szCs w:val="16"/>
              </w:rPr>
              <w:t>(3,256)</w:t>
            </w:r>
          </w:p>
        </w:tc>
        <w:tc>
          <w:tcPr>
            <w:tcW w:w="0" w:type="auto"/>
            <w:shd w:val="clear" w:color="auto" w:fill="FFFFFF"/>
            <w:tcMar>
              <w:top w:w="40" w:type="dxa"/>
              <w:left w:w="0" w:type="dxa"/>
              <w:bottom w:w="40" w:type="dxa"/>
              <w:right w:w="20" w:type="dxa"/>
            </w:tcMar>
            <w:vAlign w:val="bottom"/>
          </w:tcPr>
          <w:p w14:paraId="442F75F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F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5F5" w14:textId="77777777" w:rsidR="00CC25B5" w:rsidRDefault="00900968">
            <w:pPr>
              <w:jc w:val="right"/>
              <w:textAlignment w:val="bottom"/>
            </w:pPr>
            <w:r>
              <w:rPr>
                <w:rFonts w:ascii="Times New Roman" w:eastAsia="宋体" w:hAnsi="Times New Roman"/>
                <w:color w:val="000000"/>
                <w:sz w:val="16"/>
                <w:szCs w:val="16"/>
              </w:rPr>
              <w:t>157 </w:t>
            </w:r>
          </w:p>
        </w:tc>
        <w:tc>
          <w:tcPr>
            <w:tcW w:w="0" w:type="auto"/>
            <w:shd w:val="clear" w:color="auto" w:fill="FFFFFF"/>
            <w:tcMar>
              <w:top w:w="40" w:type="dxa"/>
              <w:left w:w="0" w:type="dxa"/>
              <w:bottom w:w="40" w:type="dxa"/>
              <w:right w:w="20" w:type="dxa"/>
            </w:tcMar>
            <w:vAlign w:val="bottom"/>
          </w:tcPr>
          <w:p w14:paraId="442F75F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F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5F8" w14:textId="77777777" w:rsidR="00CC25B5" w:rsidRDefault="00900968">
            <w:pPr>
              <w:jc w:val="right"/>
              <w:textAlignment w:val="bottom"/>
            </w:pPr>
            <w:r>
              <w:rPr>
                <w:rFonts w:ascii="Times New Roman" w:eastAsia="宋体" w:hAnsi="Times New Roman"/>
                <w:color w:val="000000"/>
                <w:sz w:val="16"/>
                <w:szCs w:val="16"/>
              </w:rPr>
              <w:t>(295)</w:t>
            </w:r>
          </w:p>
        </w:tc>
        <w:tc>
          <w:tcPr>
            <w:tcW w:w="0" w:type="auto"/>
            <w:shd w:val="clear" w:color="auto" w:fill="FFFFFF"/>
            <w:tcMar>
              <w:top w:w="40" w:type="dxa"/>
              <w:left w:w="0" w:type="dxa"/>
              <w:bottom w:w="40" w:type="dxa"/>
              <w:right w:w="20" w:type="dxa"/>
            </w:tcMar>
            <w:vAlign w:val="bottom"/>
          </w:tcPr>
          <w:p w14:paraId="442F75F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F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5FB" w14:textId="77777777" w:rsidR="00CC25B5" w:rsidRDefault="00900968">
            <w:pPr>
              <w:jc w:val="right"/>
              <w:textAlignment w:val="bottom"/>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bottom"/>
          </w:tcPr>
          <w:p w14:paraId="442F75F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5F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5FE" w14:textId="77777777" w:rsidR="00CC25B5" w:rsidRDefault="00900968">
            <w:pPr>
              <w:jc w:val="right"/>
              <w:textAlignment w:val="bottom"/>
            </w:pPr>
            <w:r>
              <w:rPr>
                <w:rFonts w:ascii="Times New Roman" w:eastAsia="宋体" w:hAnsi="Times New Roman"/>
                <w:color w:val="000000"/>
                <w:sz w:val="16"/>
                <w:szCs w:val="16"/>
              </w:rPr>
              <w:t>(3,398)</w:t>
            </w:r>
          </w:p>
        </w:tc>
        <w:tc>
          <w:tcPr>
            <w:tcW w:w="0" w:type="auto"/>
            <w:shd w:val="clear" w:color="auto" w:fill="FFFFFF"/>
            <w:tcMar>
              <w:top w:w="40" w:type="dxa"/>
              <w:left w:w="0" w:type="dxa"/>
              <w:bottom w:w="40" w:type="dxa"/>
              <w:right w:w="20" w:type="dxa"/>
            </w:tcMar>
            <w:vAlign w:val="bottom"/>
          </w:tcPr>
          <w:p w14:paraId="442F75FF" w14:textId="77777777" w:rsidR="00CC25B5" w:rsidRDefault="00CC25B5">
            <w:pPr>
              <w:jc w:val="right"/>
              <w:rPr>
                <w:rFonts w:ascii="宋体"/>
              </w:rPr>
            </w:pPr>
          </w:p>
        </w:tc>
      </w:tr>
      <w:tr w:rsidR="00CC25B5" w14:paraId="442F7611" w14:textId="77777777">
        <w:tc>
          <w:tcPr>
            <w:tcW w:w="0" w:type="auto"/>
            <w:gridSpan w:val="3"/>
            <w:shd w:val="clear" w:color="auto" w:fill="CCEEFF"/>
            <w:tcMar>
              <w:top w:w="40" w:type="dxa"/>
              <w:left w:w="20" w:type="dxa"/>
              <w:bottom w:w="40" w:type="dxa"/>
              <w:right w:w="20" w:type="dxa"/>
            </w:tcMar>
            <w:vAlign w:val="bottom"/>
          </w:tcPr>
          <w:p w14:paraId="442F7601" w14:textId="77777777" w:rsidR="00CC25B5" w:rsidRDefault="00900968">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CCEEFF"/>
            <w:tcMar>
              <w:top w:w="0" w:type="dxa"/>
              <w:left w:w="20" w:type="dxa"/>
              <w:bottom w:w="0" w:type="dxa"/>
              <w:right w:w="20" w:type="dxa"/>
            </w:tcMar>
            <w:vAlign w:val="bottom"/>
          </w:tcPr>
          <w:p w14:paraId="442F760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03" w14:textId="77777777" w:rsidR="00CC25B5" w:rsidRDefault="00900968">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42F760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0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06" w14:textId="77777777" w:rsidR="00CC25B5" w:rsidRDefault="00900968">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42F760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0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09" w14:textId="77777777" w:rsidR="00CC25B5" w:rsidRDefault="00900968">
            <w:pPr>
              <w:jc w:val="right"/>
              <w:textAlignment w:val="bottom"/>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bottom"/>
          </w:tcPr>
          <w:p w14:paraId="442F760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0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0C" w14:textId="77777777" w:rsidR="00CC25B5" w:rsidRDefault="00900968">
            <w:pPr>
              <w:jc w:val="right"/>
              <w:textAlignment w:val="bottom"/>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bottom"/>
          </w:tcPr>
          <w:p w14:paraId="442F760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0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0F" w14:textId="77777777" w:rsidR="00CC25B5" w:rsidRDefault="00900968">
            <w:pPr>
              <w:jc w:val="right"/>
              <w:textAlignment w:val="bottom"/>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bottom"/>
          </w:tcPr>
          <w:p w14:paraId="442F7610" w14:textId="77777777" w:rsidR="00CC25B5" w:rsidRDefault="00CC25B5">
            <w:pPr>
              <w:jc w:val="right"/>
              <w:rPr>
                <w:rFonts w:ascii="宋体"/>
              </w:rPr>
            </w:pPr>
          </w:p>
        </w:tc>
      </w:tr>
      <w:tr w:rsidR="00CC25B5" w14:paraId="442F7627" w14:textId="77777777">
        <w:tc>
          <w:tcPr>
            <w:tcW w:w="0" w:type="auto"/>
            <w:gridSpan w:val="3"/>
            <w:shd w:val="clear" w:color="auto" w:fill="FFFFFF"/>
            <w:tcMar>
              <w:top w:w="40" w:type="dxa"/>
              <w:left w:w="20" w:type="dxa"/>
              <w:bottom w:w="40" w:type="dxa"/>
              <w:right w:w="20" w:type="dxa"/>
            </w:tcMar>
            <w:vAlign w:val="bottom"/>
          </w:tcPr>
          <w:p w14:paraId="442F7612" w14:textId="77777777" w:rsidR="00CC25B5" w:rsidRDefault="00900968">
            <w:pPr>
              <w:textAlignment w:val="bottom"/>
            </w:pPr>
            <w:r>
              <w:rPr>
                <w:rFonts w:ascii="Times New Roman" w:eastAsia="宋体" w:hAnsi="Times New Roman"/>
                <w:b/>
                <w:bCs/>
                <w:color w:val="000000"/>
                <w:sz w:val="16"/>
                <w:szCs w:val="16"/>
              </w:rPr>
              <w:t>Balances as of April 30, 2020</w:t>
            </w:r>
          </w:p>
        </w:tc>
        <w:tc>
          <w:tcPr>
            <w:tcW w:w="0" w:type="auto"/>
            <w:gridSpan w:val="3"/>
            <w:shd w:val="clear" w:color="auto" w:fill="FFFFFF"/>
            <w:tcMar>
              <w:top w:w="0" w:type="dxa"/>
              <w:left w:w="20" w:type="dxa"/>
              <w:bottom w:w="0" w:type="dxa"/>
              <w:right w:w="20" w:type="dxa"/>
            </w:tcMar>
            <w:vAlign w:val="bottom"/>
          </w:tcPr>
          <w:p w14:paraId="442F7613"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61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615" w14:textId="77777777" w:rsidR="00CC25B5" w:rsidRDefault="00900968">
            <w:pPr>
              <w:jc w:val="right"/>
              <w:textAlignment w:val="center"/>
            </w:pPr>
            <w:r>
              <w:rPr>
                <w:rFonts w:ascii="Times New Roman" w:eastAsia="宋体" w:hAnsi="Times New Roman"/>
                <w:color w:val="000000"/>
                <w:sz w:val="16"/>
                <w:szCs w:val="16"/>
              </w:rPr>
              <w:t>(15,083)</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616" w14:textId="77777777" w:rsidR="00CC25B5" w:rsidRDefault="00CC25B5">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617"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61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619" w14:textId="77777777" w:rsidR="00CC25B5" w:rsidRDefault="00900968">
            <w:pPr>
              <w:jc w:val="right"/>
              <w:textAlignment w:val="center"/>
            </w:pPr>
            <w:r>
              <w:rPr>
                <w:rFonts w:ascii="Times New Roman" w:eastAsia="宋体" w:hAnsi="Times New Roman"/>
                <w:color w:val="000000"/>
                <w:sz w:val="16"/>
                <w:szCs w:val="16"/>
              </w:rPr>
              <w:t>1,674 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61A" w14:textId="77777777" w:rsidR="00CC25B5" w:rsidRDefault="00CC25B5">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61B"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61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61D" w14:textId="77777777" w:rsidR="00CC25B5" w:rsidRDefault="00900968">
            <w:pPr>
              <w:jc w:val="right"/>
              <w:textAlignment w:val="center"/>
            </w:pPr>
            <w:r>
              <w:rPr>
                <w:rFonts w:ascii="Times New Roman" w:eastAsia="宋体" w:hAnsi="Times New Roman"/>
                <w:color w:val="000000"/>
                <w:sz w:val="16"/>
                <w:szCs w:val="16"/>
              </w:rPr>
              <w:t>(818)</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61E" w14:textId="77777777" w:rsidR="00CC25B5" w:rsidRDefault="00CC25B5">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61F"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62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621" w14:textId="77777777" w:rsidR="00CC25B5" w:rsidRDefault="00900968">
            <w:pPr>
              <w:jc w:val="right"/>
              <w:textAlignment w:val="center"/>
            </w:pPr>
            <w:r>
              <w:rPr>
                <w:rFonts w:ascii="Times New Roman" w:eastAsia="宋体" w:hAnsi="Times New Roman"/>
                <w:color w:val="000000"/>
                <w:sz w:val="16"/>
                <w:szCs w:val="16"/>
              </w:rPr>
              <w:t>(1,941)</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622" w14:textId="77777777" w:rsidR="00CC25B5" w:rsidRDefault="00CC25B5">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623"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62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625" w14:textId="77777777" w:rsidR="00CC25B5" w:rsidRDefault="00900968">
            <w:pPr>
              <w:jc w:val="right"/>
              <w:textAlignment w:val="center"/>
            </w:pPr>
            <w:r>
              <w:rPr>
                <w:rFonts w:ascii="Times New Roman" w:eastAsia="宋体" w:hAnsi="Times New Roman"/>
                <w:color w:val="000000"/>
                <w:sz w:val="16"/>
                <w:szCs w:val="16"/>
              </w:rPr>
              <w:t>(16,168)</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626" w14:textId="77777777" w:rsidR="00CC25B5" w:rsidRDefault="00CC25B5">
            <w:pPr>
              <w:jc w:val="right"/>
              <w:rPr>
                <w:rFonts w:ascii="宋体"/>
              </w:rPr>
            </w:pPr>
          </w:p>
        </w:tc>
      </w:tr>
      <w:tr w:rsidR="00CC25B5" w14:paraId="442F7633" w14:textId="77777777">
        <w:trPr>
          <w:hidden/>
        </w:trPr>
        <w:tc>
          <w:tcPr>
            <w:tcW w:w="0" w:type="auto"/>
            <w:gridSpan w:val="3"/>
            <w:shd w:val="clear" w:color="auto" w:fill="auto"/>
            <w:vAlign w:val="bottom"/>
          </w:tcPr>
          <w:p w14:paraId="442F7628" w14:textId="77777777" w:rsidR="00CC25B5" w:rsidRDefault="00CC25B5">
            <w:pPr>
              <w:rPr>
                <w:rFonts w:ascii="宋体"/>
                <w:vanish/>
              </w:rPr>
            </w:pPr>
          </w:p>
        </w:tc>
        <w:tc>
          <w:tcPr>
            <w:tcW w:w="0" w:type="auto"/>
            <w:gridSpan w:val="3"/>
            <w:shd w:val="clear" w:color="auto" w:fill="auto"/>
            <w:vAlign w:val="bottom"/>
          </w:tcPr>
          <w:p w14:paraId="442F7629" w14:textId="77777777" w:rsidR="00CC25B5" w:rsidRDefault="00CC25B5">
            <w:pPr>
              <w:rPr>
                <w:rFonts w:ascii="宋体"/>
                <w:vanish/>
              </w:rPr>
            </w:pPr>
          </w:p>
        </w:tc>
        <w:tc>
          <w:tcPr>
            <w:tcW w:w="0" w:type="auto"/>
            <w:gridSpan w:val="3"/>
            <w:shd w:val="clear" w:color="auto" w:fill="auto"/>
            <w:vAlign w:val="bottom"/>
          </w:tcPr>
          <w:p w14:paraId="442F762A" w14:textId="77777777" w:rsidR="00CC25B5" w:rsidRDefault="00CC25B5">
            <w:pPr>
              <w:rPr>
                <w:rFonts w:ascii="宋体"/>
                <w:vanish/>
              </w:rPr>
            </w:pPr>
          </w:p>
        </w:tc>
        <w:tc>
          <w:tcPr>
            <w:tcW w:w="0" w:type="auto"/>
            <w:gridSpan w:val="3"/>
            <w:shd w:val="clear" w:color="auto" w:fill="auto"/>
            <w:vAlign w:val="bottom"/>
          </w:tcPr>
          <w:p w14:paraId="442F762B" w14:textId="77777777" w:rsidR="00CC25B5" w:rsidRDefault="00CC25B5">
            <w:pPr>
              <w:rPr>
                <w:rFonts w:ascii="宋体"/>
                <w:vanish/>
              </w:rPr>
            </w:pPr>
          </w:p>
        </w:tc>
        <w:tc>
          <w:tcPr>
            <w:tcW w:w="0" w:type="auto"/>
            <w:gridSpan w:val="3"/>
            <w:shd w:val="clear" w:color="auto" w:fill="auto"/>
            <w:vAlign w:val="bottom"/>
          </w:tcPr>
          <w:p w14:paraId="442F762C" w14:textId="77777777" w:rsidR="00CC25B5" w:rsidRDefault="00CC25B5">
            <w:pPr>
              <w:rPr>
                <w:rFonts w:ascii="宋体"/>
                <w:vanish/>
              </w:rPr>
            </w:pPr>
          </w:p>
        </w:tc>
        <w:tc>
          <w:tcPr>
            <w:tcW w:w="0" w:type="auto"/>
            <w:gridSpan w:val="3"/>
            <w:shd w:val="clear" w:color="auto" w:fill="auto"/>
            <w:vAlign w:val="bottom"/>
          </w:tcPr>
          <w:p w14:paraId="442F762D" w14:textId="77777777" w:rsidR="00CC25B5" w:rsidRDefault="00CC25B5">
            <w:pPr>
              <w:rPr>
                <w:rFonts w:ascii="宋体"/>
                <w:vanish/>
              </w:rPr>
            </w:pPr>
          </w:p>
        </w:tc>
        <w:tc>
          <w:tcPr>
            <w:tcW w:w="0" w:type="auto"/>
            <w:gridSpan w:val="3"/>
            <w:shd w:val="clear" w:color="auto" w:fill="auto"/>
            <w:vAlign w:val="bottom"/>
          </w:tcPr>
          <w:p w14:paraId="442F762E" w14:textId="77777777" w:rsidR="00CC25B5" w:rsidRDefault="00CC25B5">
            <w:pPr>
              <w:rPr>
                <w:rFonts w:ascii="宋体"/>
                <w:vanish/>
              </w:rPr>
            </w:pPr>
          </w:p>
        </w:tc>
        <w:tc>
          <w:tcPr>
            <w:tcW w:w="0" w:type="auto"/>
            <w:gridSpan w:val="3"/>
            <w:shd w:val="clear" w:color="auto" w:fill="auto"/>
            <w:vAlign w:val="bottom"/>
          </w:tcPr>
          <w:p w14:paraId="442F762F" w14:textId="77777777" w:rsidR="00CC25B5" w:rsidRDefault="00CC25B5">
            <w:pPr>
              <w:rPr>
                <w:rFonts w:ascii="宋体"/>
                <w:vanish/>
              </w:rPr>
            </w:pPr>
          </w:p>
        </w:tc>
        <w:tc>
          <w:tcPr>
            <w:tcW w:w="0" w:type="auto"/>
            <w:gridSpan w:val="3"/>
            <w:shd w:val="clear" w:color="auto" w:fill="auto"/>
            <w:vAlign w:val="bottom"/>
          </w:tcPr>
          <w:p w14:paraId="442F7630" w14:textId="77777777" w:rsidR="00CC25B5" w:rsidRDefault="00CC25B5">
            <w:pPr>
              <w:rPr>
                <w:rFonts w:ascii="宋体"/>
                <w:vanish/>
              </w:rPr>
            </w:pPr>
          </w:p>
        </w:tc>
        <w:tc>
          <w:tcPr>
            <w:tcW w:w="0" w:type="auto"/>
            <w:gridSpan w:val="3"/>
            <w:shd w:val="clear" w:color="auto" w:fill="auto"/>
            <w:vAlign w:val="bottom"/>
          </w:tcPr>
          <w:p w14:paraId="442F7631" w14:textId="77777777" w:rsidR="00CC25B5" w:rsidRDefault="00CC25B5">
            <w:pPr>
              <w:rPr>
                <w:rFonts w:ascii="宋体"/>
                <w:vanish/>
              </w:rPr>
            </w:pPr>
          </w:p>
        </w:tc>
        <w:tc>
          <w:tcPr>
            <w:tcW w:w="0" w:type="auto"/>
            <w:gridSpan w:val="3"/>
            <w:shd w:val="clear" w:color="auto" w:fill="auto"/>
            <w:vAlign w:val="bottom"/>
          </w:tcPr>
          <w:p w14:paraId="442F7632" w14:textId="77777777" w:rsidR="00CC25B5" w:rsidRDefault="00CC25B5">
            <w:pPr>
              <w:rPr>
                <w:rFonts w:ascii="宋体"/>
                <w:vanish/>
              </w:rPr>
            </w:pPr>
          </w:p>
        </w:tc>
      </w:tr>
      <w:tr w:rsidR="00CC25B5" w14:paraId="442F7644" w14:textId="77777777">
        <w:tc>
          <w:tcPr>
            <w:tcW w:w="0" w:type="auto"/>
            <w:gridSpan w:val="3"/>
            <w:shd w:val="clear" w:color="auto" w:fill="CCEEFF"/>
            <w:tcMar>
              <w:top w:w="40" w:type="dxa"/>
              <w:left w:w="20" w:type="dxa"/>
              <w:bottom w:w="40" w:type="dxa"/>
              <w:right w:w="20" w:type="dxa"/>
            </w:tcMar>
            <w:vAlign w:val="bottom"/>
          </w:tcPr>
          <w:p w14:paraId="442F7634" w14:textId="77777777" w:rsidR="00CC25B5" w:rsidRDefault="00900968">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comprehensive income (loss) before reclassifications, net</w:t>
            </w:r>
          </w:p>
        </w:tc>
        <w:tc>
          <w:tcPr>
            <w:tcW w:w="0" w:type="auto"/>
            <w:gridSpan w:val="3"/>
            <w:shd w:val="clear" w:color="auto" w:fill="CCEEFF"/>
            <w:tcMar>
              <w:top w:w="0" w:type="dxa"/>
              <w:left w:w="20" w:type="dxa"/>
              <w:bottom w:w="0" w:type="dxa"/>
              <w:right w:w="20" w:type="dxa"/>
            </w:tcMar>
            <w:vAlign w:val="bottom"/>
          </w:tcPr>
          <w:p w14:paraId="442F763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36" w14:textId="77777777" w:rsidR="00CC25B5" w:rsidRDefault="00900968">
            <w:pPr>
              <w:jc w:val="right"/>
              <w:textAlignment w:val="bottom"/>
            </w:pPr>
            <w:r>
              <w:rPr>
                <w:rFonts w:ascii="Times New Roman" w:eastAsia="宋体" w:hAnsi="Times New Roman"/>
                <w:color w:val="000000"/>
                <w:sz w:val="16"/>
                <w:szCs w:val="16"/>
              </w:rPr>
              <w:t>246 </w:t>
            </w:r>
          </w:p>
        </w:tc>
        <w:tc>
          <w:tcPr>
            <w:tcW w:w="0" w:type="auto"/>
            <w:shd w:val="clear" w:color="auto" w:fill="CCEEFF"/>
            <w:tcMar>
              <w:top w:w="40" w:type="dxa"/>
              <w:left w:w="0" w:type="dxa"/>
              <w:bottom w:w="40" w:type="dxa"/>
              <w:right w:w="20" w:type="dxa"/>
            </w:tcMar>
            <w:vAlign w:val="bottom"/>
          </w:tcPr>
          <w:p w14:paraId="442F763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3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39" w14:textId="77777777" w:rsidR="00CC25B5" w:rsidRDefault="00900968">
            <w:pPr>
              <w:jc w:val="right"/>
              <w:textAlignment w:val="bottom"/>
            </w:pPr>
            <w:r>
              <w:rPr>
                <w:rFonts w:ascii="Times New Roman" w:eastAsia="宋体" w:hAnsi="Times New Roman"/>
                <w:color w:val="000000"/>
                <w:sz w:val="16"/>
                <w:szCs w:val="16"/>
              </w:rPr>
              <w:t>(191)</w:t>
            </w:r>
          </w:p>
        </w:tc>
        <w:tc>
          <w:tcPr>
            <w:tcW w:w="0" w:type="auto"/>
            <w:shd w:val="clear" w:color="auto" w:fill="CCEEFF"/>
            <w:tcMar>
              <w:top w:w="40" w:type="dxa"/>
              <w:left w:w="0" w:type="dxa"/>
              <w:bottom w:w="40" w:type="dxa"/>
              <w:right w:w="20" w:type="dxa"/>
            </w:tcMar>
            <w:vAlign w:val="bottom"/>
          </w:tcPr>
          <w:p w14:paraId="442F763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3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3C" w14:textId="77777777" w:rsidR="00CC25B5" w:rsidRDefault="00900968">
            <w:pPr>
              <w:jc w:val="right"/>
              <w:textAlignment w:val="bottom"/>
            </w:pPr>
            <w:r>
              <w:rPr>
                <w:rFonts w:ascii="Times New Roman" w:eastAsia="宋体" w:hAnsi="Times New Roman"/>
                <w:color w:val="000000"/>
                <w:sz w:val="16"/>
                <w:szCs w:val="16"/>
              </w:rPr>
              <w:t>303 </w:t>
            </w:r>
          </w:p>
        </w:tc>
        <w:tc>
          <w:tcPr>
            <w:tcW w:w="0" w:type="auto"/>
            <w:shd w:val="clear" w:color="auto" w:fill="CCEEFF"/>
            <w:tcMar>
              <w:top w:w="40" w:type="dxa"/>
              <w:left w:w="0" w:type="dxa"/>
              <w:bottom w:w="40" w:type="dxa"/>
              <w:right w:w="20" w:type="dxa"/>
            </w:tcMar>
            <w:vAlign w:val="bottom"/>
          </w:tcPr>
          <w:p w14:paraId="442F763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3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3F" w14:textId="77777777" w:rsidR="00CC25B5" w:rsidRDefault="00900968">
            <w:pPr>
              <w:jc w:val="right"/>
              <w:textAlignment w:val="bottom"/>
            </w:pPr>
            <w:r>
              <w:rPr>
                <w:rFonts w:ascii="Times New Roman" w:eastAsia="宋体" w:hAnsi="Times New Roman"/>
                <w:color w:val="000000"/>
                <w:sz w:val="16"/>
                <w:szCs w:val="16"/>
              </w:rPr>
              <w:t>(2)</w:t>
            </w:r>
          </w:p>
        </w:tc>
        <w:tc>
          <w:tcPr>
            <w:tcW w:w="0" w:type="auto"/>
            <w:shd w:val="clear" w:color="auto" w:fill="CCEEFF"/>
            <w:tcMar>
              <w:top w:w="40" w:type="dxa"/>
              <w:left w:w="0" w:type="dxa"/>
              <w:bottom w:w="40" w:type="dxa"/>
              <w:right w:w="20" w:type="dxa"/>
            </w:tcMar>
            <w:vAlign w:val="bottom"/>
          </w:tcPr>
          <w:p w14:paraId="442F764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4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642" w14:textId="77777777" w:rsidR="00CC25B5" w:rsidRDefault="00900968">
            <w:pPr>
              <w:jc w:val="right"/>
              <w:textAlignment w:val="bottom"/>
            </w:pPr>
            <w:r>
              <w:rPr>
                <w:rFonts w:ascii="Times New Roman" w:eastAsia="宋体" w:hAnsi="Times New Roman"/>
                <w:color w:val="000000"/>
                <w:sz w:val="16"/>
                <w:szCs w:val="16"/>
              </w:rPr>
              <w:t>356 </w:t>
            </w:r>
          </w:p>
        </w:tc>
        <w:tc>
          <w:tcPr>
            <w:tcW w:w="0" w:type="auto"/>
            <w:shd w:val="clear" w:color="auto" w:fill="CCEEFF"/>
            <w:tcMar>
              <w:top w:w="40" w:type="dxa"/>
              <w:left w:w="0" w:type="dxa"/>
              <w:bottom w:w="40" w:type="dxa"/>
              <w:right w:w="20" w:type="dxa"/>
            </w:tcMar>
            <w:vAlign w:val="bottom"/>
          </w:tcPr>
          <w:p w14:paraId="442F7643" w14:textId="77777777" w:rsidR="00CC25B5" w:rsidRDefault="00CC25B5">
            <w:pPr>
              <w:jc w:val="right"/>
              <w:rPr>
                <w:rFonts w:ascii="宋体"/>
              </w:rPr>
            </w:pPr>
          </w:p>
        </w:tc>
      </w:tr>
      <w:tr w:rsidR="00CC25B5" w14:paraId="442F7655" w14:textId="77777777">
        <w:tc>
          <w:tcPr>
            <w:tcW w:w="0" w:type="auto"/>
            <w:gridSpan w:val="3"/>
            <w:shd w:val="clear" w:color="auto" w:fill="FFFFFF"/>
            <w:tcMar>
              <w:top w:w="40" w:type="dxa"/>
              <w:left w:w="20" w:type="dxa"/>
              <w:bottom w:w="40" w:type="dxa"/>
              <w:right w:w="20" w:type="dxa"/>
            </w:tcMar>
            <w:vAlign w:val="bottom"/>
          </w:tcPr>
          <w:p w14:paraId="442F7645" w14:textId="77777777" w:rsidR="00CC25B5" w:rsidRDefault="00900968">
            <w:pPr>
              <w:textAlignment w:val="bottom"/>
            </w:pPr>
            <w:r>
              <w:rPr>
                <w:rFonts w:ascii="Times New Roman" w:eastAsia="宋体" w:hAnsi="Times New Roman"/>
                <w:color w:val="000000"/>
                <w:sz w:val="16"/>
                <w:szCs w:val="16"/>
              </w:rPr>
              <w:t>Reclassifications to income, net</w:t>
            </w:r>
          </w:p>
        </w:tc>
        <w:tc>
          <w:tcPr>
            <w:tcW w:w="0" w:type="auto"/>
            <w:gridSpan w:val="3"/>
            <w:shd w:val="clear" w:color="auto" w:fill="FFFFFF"/>
            <w:tcMar>
              <w:top w:w="0" w:type="dxa"/>
              <w:left w:w="20" w:type="dxa"/>
              <w:bottom w:w="0" w:type="dxa"/>
              <w:right w:w="20" w:type="dxa"/>
            </w:tcMar>
            <w:vAlign w:val="bottom"/>
          </w:tcPr>
          <w:p w14:paraId="442F764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647" w14:textId="77777777" w:rsidR="00CC25B5" w:rsidRDefault="00900968">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42F764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4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64A" w14:textId="77777777" w:rsidR="00CC25B5" w:rsidRDefault="00900968">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42F764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4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64D" w14:textId="77777777" w:rsidR="00CC25B5" w:rsidRDefault="00900968">
            <w:pPr>
              <w:jc w:val="right"/>
              <w:textAlignment w:val="bottom"/>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bottom"/>
          </w:tcPr>
          <w:p w14:paraId="442F764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4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650" w14:textId="77777777" w:rsidR="00CC25B5" w:rsidRDefault="00900968">
            <w:pPr>
              <w:jc w:val="right"/>
              <w:textAlignment w:val="bottom"/>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bottom"/>
          </w:tcPr>
          <w:p w14:paraId="442F765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5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653" w14:textId="77777777" w:rsidR="00CC25B5" w:rsidRDefault="00900968">
            <w:pPr>
              <w:jc w:val="right"/>
              <w:textAlignment w:val="bottom"/>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bottom"/>
          </w:tcPr>
          <w:p w14:paraId="442F7654" w14:textId="77777777" w:rsidR="00CC25B5" w:rsidRDefault="00CC25B5">
            <w:pPr>
              <w:jc w:val="right"/>
              <w:rPr>
                <w:rFonts w:ascii="宋体"/>
              </w:rPr>
            </w:pPr>
          </w:p>
        </w:tc>
      </w:tr>
      <w:tr w:rsidR="00CC25B5" w14:paraId="442F766B" w14:textId="77777777">
        <w:tc>
          <w:tcPr>
            <w:tcW w:w="0" w:type="auto"/>
            <w:gridSpan w:val="3"/>
            <w:shd w:val="clear" w:color="auto" w:fill="CCEEFF"/>
            <w:tcMar>
              <w:top w:w="40" w:type="dxa"/>
              <w:left w:w="20" w:type="dxa"/>
              <w:bottom w:w="40" w:type="dxa"/>
              <w:right w:w="20" w:type="dxa"/>
            </w:tcMar>
            <w:vAlign w:val="bottom"/>
          </w:tcPr>
          <w:p w14:paraId="442F7656" w14:textId="77777777" w:rsidR="00CC25B5" w:rsidRDefault="00900968">
            <w:pPr>
              <w:textAlignment w:val="bottom"/>
            </w:pPr>
            <w:r>
              <w:rPr>
                <w:rFonts w:ascii="Times New Roman" w:eastAsia="宋体" w:hAnsi="Times New Roman"/>
                <w:b/>
                <w:bCs/>
                <w:color w:val="000000"/>
                <w:sz w:val="16"/>
                <w:szCs w:val="16"/>
              </w:rPr>
              <w:t>Balances as of July 31, 2020</w:t>
            </w:r>
          </w:p>
        </w:tc>
        <w:tc>
          <w:tcPr>
            <w:tcW w:w="0" w:type="auto"/>
            <w:gridSpan w:val="3"/>
            <w:shd w:val="clear" w:color="auto" w:fill="CCEEFF"/>
            <w:tcMar>
              <w:top w:w="0" w:type="dxa"/>
              <w:left w:w="20" w:type="dxa"/>
              <w:bottom w:w="0" w:type="dxa"/>
              <w:right w:w="20" w:type="dxa"/>
            </w:tcMar>
            <w:vAlign w:val="bottom"/>
          </w:tcPr>
          <w:p w14:paraId="442F7657"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658"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659" w14:textId="77777777" w:rsidR="00CC25B5" w:rsidRDefault="00900968">
            <w:pPr>
              <w:jc w:val="right"/>
              <w:textAlignment w:val="bottom"/>
            </w:pPr>
            <w:r>
              <w:rPr>
                <w:rFonts w:ascii="Times New Roman" w:eastAsia="宋体" w:hAnsi="Times New Roman"/>
                <w:color w:val="000000"/>
                <w:sz w:val="16"/>
                <w:szCs w:val="16"/>
              </w:rPr>
              <w:t>(14,837)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65A"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bottom"/>
          </w:tcPr>
          <w:p w14:paraId="442F765B"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65C"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65D" w14:textId="77777777" w:rsidR="00CC25B5" w:rsidRDefault="00900968">
            <w:pPr>
              <w:jc w:val="right"/>
              <w:textAlignment w:val="bottom"/>
            </w:pPr>
            <w:r>
              <w:rPr>
                <w:rFonts w:ascii="Times New Roman" w:eastAsia="宋体" w:hAnsi="Times New Roman"/>
                <w:color w:val="000000"/>
                <w:sz w:val="16"/>
                <w:szCs w:val="16"/>
              </w:rPr>
              <w:t>1,483 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65E"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bottom"/>
          </w:tcPr>
          <w:p w14:paraId="442F765F"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660"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661" w14:textId="77777777" w:rsidR="00CC25B5" w:rsidRDefault="00900968">
            <w:pPr>
              <w:jc w:val="right"/>
              <w:textAlignment w:val="bottom"/>
            </w:pPr>
            <w:r>
              <w:rPr>
                <w:rFonts w:ascii="Times New Roman" w:eastAsia="宋体" w:hAnsi="Times New Roman"/>
                <w:color w:val="000000"/>
                <w:sz w:val="16"/>
                <w:szCs w:val="16"/>
              </w:rPr>
              <w:t>(505)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662"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bottom"/>
          </w:tcPr>
          <w:p w14:paraId="442F7663"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664"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665" w14:textId="77777777" w:rsidR="00CC25B5" w:rsidRDefault="00900968">
            <w:pPr>
              <w:jc w:val="right"/>
              <w:textAlignment w:val="bottom"/>
            </w:pPr>
            <w:r>
              <w:rPr>
                <w:rFonts w:ascii="Times New Roman" w:eastAsia="宋体" w:hAnsi="Times New Roman"/>
                <w:color w:val="000000"/>
                <w:sz w:val="16"/>
                <w:szCs w:val="16"/>
              </w:rPr>
              <w:t>(1,925)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666" w14:textId="77777777" w:rsidR="00CC25B5" w:rsidRDefault="00CC25B5">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bottom"/>
          </w:tcPr>
          <w:p w14:paraId="442F7667"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668"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669" w14:textId="77777777" w:rsidR="00CC25B5" w:rsidRDefault="00900968">
            <w:pPr>
              <w:jc w:val="right"/>
              <w:textAlignment w:val="bottom"/>
            </w:pPr>
            <w:r>
              <w:rPr>
                <w:rFonts w:ascii="Times New Roman" w:eastAsia="宋体" w:hAnsi="Times New Roman"/>
                <w:color w:val="000000"/>
                <w:sz w:val="16"/>
                <w:szCs w:val="16"/>
              </w:rPr>
              <w:t>(15,784)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66A" w14:textId="77777777" w:rsidR="00CC25B5" w:rsidRDefault="00CC25B5">
            <w:pPr>
              <w:jc w:val="right"/>
              <w:rPr>
                <w:rFonts w:ascii="宋体"/>
              </w:rPr>
            </w:pPr>
          </w:p>
        </w:tc>
      </w:tr>
      <w:tr w:rsidR="00CC25B5" w14:paraId="442F7677" w14:textId="77777777">
        <w:trPr>
          <w:hidden/>
        </w:trPr>
        <w:tc>
          <w:tcPr>
            <w:tcW w:w="0" w:type="auto"/>
            <w:gridSpan w:val="3"/>
            <w:shd w:val="clear" w:color="auto" w:fill="auto"/>
            <w:vAlign w:val="bottom"/>
          </w:tcPr>
          <w:p w14:paraId="442F766C" w14:textId="77777777" w:rsidR="00CC25B5" w:rsidRDefault="00CC25B5">
            <w:pPr>
              <w:rPr>
                <w:rFonts w:ascii="宋体"/>
                <w:vanish/>
              </w:rPr>
            </w:pPr>
          </w:p>
        </w:tc>
        <w:tc>
          <w:tcPr>
            <w:tcW w:w="0" w:type="auto"/>
            <w:gridSpan w:val="3"/>
            <w:shd w:val="clear" w:color="auto" w:fill="auto"/>
            <w:vAlign w:val="bottom"/>
          </w:tcPr>
          <w:p w14:paraId="442F766D" w14:textId="77777777" w:rsidR="00CC25B5" w:rsidRDefault="00CC25B5">
            <w:pPr>
              <w:rPr>
                <w:rFonts w:ascii="宋体"/>
                <w:vanish/>
              </w:rPr>
            </w:pPr>
          </w:p>
        </w:tc>
        <w:tc>
          <w:tcPr>
            <w:tcW w:w="0" w:type="auto"/>
            <w:gridSpan w:val="3"/>
            <w:shd w:val="clear" w:color="auto" w:fill="auto"/>
            <w:vAlign w:val="bottom"/>
          </w:tcPr>
          <w:p w14:paraId="442F766E" w14:textId="77777777" w:rsidR="00CC25B5" w:rsidRDefault="00CC25B5">
            <w:pPr>
              <w:rPr>
                <w:rFonts w:ascii="宋体"/>
                <w:vanish/>
              </w:rPr>
            </w:pPr>
          </w:p>
        </w:tc>
        <w:tc>
          <w:tcPr>
            <w:tcW w:w="0" w:type="auto"/>
            <w:gridSpan w:val="3"/>
            <w:shd w:val="clear" w:color="auto" w:fill="auto"/>
            <w:vAlign w:val="bottom"/>
          </w:tcPr>
          <w:p w14:paraId="442F766F" w14:textId="77777777" w:rsidR="00CC25B5" w:rsidRDefault="00CC25B5">
            <w:pPr>
              <w:rPr>
                <w:rFonts w:ascii="宋体"/>
                <w:vanish/>
              </w:rPr>
            </w:pPr>
          </w:p>
        </w:tc>
        <w:tc>
          <w:tcPr>
            <w:tcW w:w="0" w:type="auto"/>
            <w:gridSpan w:val="3"/>
            <w:shd w:val="clear" w:color="auto" w:fill="auto"/>
            <w:vAlign w:val="bottom"/>
          </w:tcPr>
          <w:p w14:paraId="442F7670" w14:textId="77777777" w:rsidR="00CC25B5" w:rsidRDefault="00CC25B5">
            <w:pPr>
              <w:rPr>
                <w:rFonts w:ascii="宋体"/>
                <w:vanish/>
              </w:rPr>
            </w:pPr>
          </w:p>
        </w:tc>
        <w:tc>
          <w:tcPr>
            <w:tcW w:w="0" w:type="auto"/>
            <w:gridSpan w:val="3"/>
            <w:shd w:val="clear" w:color="auto" w:fill="auto"/>
            <w:vAlign w:val="bottom"/>
          </w:tcPr>
          <w:p w14:paraId="442F7671" w14:textId="77777777" w:rsidR="00CC25B5" w:rsidRDefault="00CC25B5">
            <w:pPr>
              <w:rPr>
                <w:rFonts w:ascii="宋体"/>
                <w:vanish/>
              </w:rPr>
            </w:pPr>
          </w:p>
        </w:tc>
        <w:tc>
          <w:tcPr>
            <w:tcW w:w="0" w:type="auto"/>
            <w:gridSpan w:val="3"/>
            <w:shd w:val="clear" w:color="auto" w:fill="auto"/>
            <w:vAlign w:val="bottom"/>
          </w:tcPr>
          <w:p w14:paraId="442F7672" w14:textId="77777777" w:rsidR="00CC25B5" w:rsidRDefault="00CC25B5">
            <w:pPr>
              <w:rPr>
                <w:rFonts w:ascii="宋体"/>
                <w:vanish/>
              </w:rPr>
            </w:pPr>
          </w:p>
        </w:tc>
        <w:tc>
          <w:tcPr>
            <w:tcW w:w="0" w:type="auto"/>
            <w:gridSpan w:val="3"/>
            <w:shd w:val="clear" w:color="auto" w:fill="auto"/>
            <w:vAlign w:val="bottom"/>
          </w:tcPr>
          <w:p w14:paraId="442F7673" w14:textId="77777777" w:rsidR="00CC25B5" w:rsidRDefault="00CC25B5">
            <w:pPr>
              <w:rPr>
                <w:rFonts w:ascii="宋体"/>
                <w:vanish/>
              </w:rPr>
            </w:pPr>
          </w:p>
        </w:tc>
        <w:tc>
          <w:tcPr>
            <w:tcW w:w="0" w:type="auto"/>
            <w:gridSpan w:val="3"/>
            <w:shd w:val="clear" w:color="auto" w:fill="auto"/>
            <w:vAlign w:val="bottom"/>
          </w:tcPr>
          <w:p w14:paraId="442F7674" w14:textId="77777777" w:rsidR="00CC25B5" w:rsidRDefault="00CC25B5">
            <w:pPr>
              <w:rPr>
                <w:rFonts w:ascii="宋体"/>
                <w:vanish/>
              </w:rPr>
            </w:pPr>
          </w:p>
        </w:tc>
        <w:tc>
          <w:tcPr>
            <w:tcW w:w="0" w:type="auto"/>
            <w:gridSpan w:val="3"/>
            <w:shd w:val="clear" w:color="auto" w:fill="auto"/>
            <w:vAlign w:val="bottom"/>
          </w:tcPr>
          <w:p w14:paraId="442F7675" w14:textId="77777777" w:rsidR="00CC25B5" w:rsidRDefault="00CC25B5">
            <w:pPr>
              <w:rPr>
                <w:rFonts w:ascii="宋体"/>
                <w:vanish/>
              </w:rPr>
            </w:pPr>
          </w:p>
        </w:tc>
        <w:tc>
          <w:tcPr>
            <w:tcW w:w="0" w:type="auto"/>
            <w:gridSpan w:val="3"/>
            <w:shd w:val="clear" w:color="auto" w:fill="auto"/>
            <w:vAlign w:val="bottom"/>
          </w:tcPr>
          <w:p w14:paraId="442F7676" w14:textId="77777777" w:rsidR="00CC25B5" w:rsidRDefault="00CC25B5">
            <w:pPr>
              <w:rPr>
                <w:rFonts w:ascii="宋体"/>
                <w:vanish/>
              </w:rPr>
            </w:pPr>
          </w:p>
        </w:tc>
      </w:tr>
      <w:tr w:rsidR="00CC25B5" w14:paraId="442F7683" w14:textId="77777777">
        <w:trPr>
          <w:hidden/>
        </w:trPr>
        <w:tc>
          <w:tcPr>
            <w:tcW w:w="0" w:type="auto"/>
            <w:gridSpan w:val="3"/>
            <w:shd w:val="clear" w:color="auto" w:fill="auto"/>
            <w:vAlign w:val="bottom"/>
          </w:tcPr>
          <w:p w14:paraId="442F7678" w14:textId="77777777" w:rsidR="00CC25B5" w:rsidRDefault="00CC25B5">
            <w:pPr>
              <w:rPr>
                <w:rFonts w:ascii="宋体"/>
                <w:vanish/>
              </w:rPr>
            </w:pPr>
          </w:p>
        </w:tc>
        <w:tc>
          <w:tcPr>
            <w:tcW w:w="0" w:type="auto"/>
            <w:gridSpan w:val="3"/>
            <w:shd w:val="clear" w:color="auto" w:fill="auto"/>
            <w:vAlign w:val="bottom"/>
          </w:tcPr>
          <w:p w14:paraId="442F7679" w14:textId="77777777" w:rsidR="00CC25B5" w:rsidRDefault="00CC25B5">
            <w:pPr>
              <w:rPr>
                <w:rFonts w:ascii="宋体"/>
                <w:vanish/>
              </w:rPr>
            </w:pPr>
          </w:p>
        </w:tc>
        <w:tc>
          <w:tcPr>
            <w:tcW w:w="0" w:type="auto"/>
            <w:gridSpan w:val="3"/>
            <w:shd w:val="clear" w:color="auto" w:fill="auto"/>
            <w:vAlign w:val="bottom"/>
          </w:tcPr>
          <w:p w14:paraId="442F767A" w14:textId="77777777" w:rsidR="00CC25B5" w:rsidRDefault="00CC25B5">
            <w:pPr>
              <w:rPr>
                <w:rFonts w:ascii="宋体"/>
                <w:vanish/>
              </w:rPr>
            </w:pPr>
          </w:p>
        </w:tc>
        <w:tc>
          <w:tcPr>
            <w:tcW w:w="0" w:type="auto"/>
            <w:gridSpan w:val="3"/>
            <w:shd w:val="clear" w:color="auto" w:fill="auto"/>
            <w:vAlign w:val="bottom"/>
          </w:tcPr>
          <w:p w14:paraId="442F767B" w14:textId="77777777" w:rsidR="00CC25B5" w:rsidRDefault="00CC25B5">
            <w:pPr>
              <w:rPr>
                <w:rFonts w:ascii="宋体"/>
                <w:vanish/>
              </w:rPr>
            </w:pPr>
          </w:p>
        </w:tc>
        <w:tc>
          <w:tcPr>
            <w:tcW w:w="0" w:type="auto"/>
            <w:gridSpan w:val="3"/>
            <w:shd w:val="clear" w:color="auto" w:fill="auto"/>
            <w:vAlign w:val="bottom"/>
          </w:tcPr>
          <w:p w14:paraId="442F767C" w14:textId="77777777" w:rsidR="00CC25B5" w:rsidRDefault="00CC25B5">
            <w:pPr>
              <w:rPr>
                <w:rFonts w:ascii="宋体"/>
                <w:vanish/>
              </w:rPr>
            </w:pPr>
          </w:p>
        </w:tc>
        <w:tc>
          <w:tcPr>
            <w:tcW w:w="0" w:type="auto"/>
            <w:gridSpan w:val="3"/>
            <w:shd w:val="clear" w:color="auto" w:fill="auto"/>
            <w:vAlign w:val="bottom"/>
          </w:tcPr>
          <w:p w14:paraId="442F767D" w14:textId="77777777" w:rsidR="00CC25B5" w:rsidRDefault="00CC25B5">
            <w:pPr>
              <w:rPr>
                <w:rFonts w:ascii="宋体"/>
                <w:vanish/>
              </w:rPr>
            </w:pPr>
          </w:p>
        </w:tc>
        <w:tc>
          <w:tcPr>
            <w:tcW w:w="0" w:type="auto"/>
            <w:gridSpan w:val="3"/>
            <w:shd w:val="clear" w:color="auto" w:fill="auto"/>
            <w:vAlign w:val="bottom"/>
          </w:tcPr>
          <w:p w14:paraId="442F767E" w14:textId="77777777" w:rsidR="00CC25B5" w:rsidRDefault="00CC25B5">
            <w:pPr>
              <w:rPr>
                <w:rFonts w:ascii="宋体"/>
                <w:vanish/>
              </w:rPr>
            </w:pPr>
          </w:p>
        </w:tc>
        <w:tc>
          <w:tcPr>
            <w:tcW w:w="0" w:type="auto"/>
            <w:gridSpan w:val="3"/>
            <w:shd w:val="clear" w:color="auto" w:fill="auto"/>
            <w:vAlign w:val="bottom"/>
          </w:tcPr>
          <w:p w14:paraId="442F767F" w14:textId="77777777" w:rsidR="00CC25B5" w:rsidRDefault="00CC25B5">
            <w:pPr>
              <w:rPr>
                <w:rFonts w:ascii="宋体"/>
                <w:vanish/>
              </w:rPr>
            </w:pPr>
          </w:p>
        </w:tc>
        <w:tc>
          <w:tcPr>
            <w:tcW w:w="0" w:type="auto"/>
            <w:gridSpan w:val="3"/>
            <w:shd w:val="clear" w:color="auto" w:fill="auto"/>
            <w:vAlign w:val="bottom"/>
          </w:tcPr>
          <w:p w14:paraId="442F7680" w14:textId="77777777" w:rsidR="00CC25B5" w:rsidRDefault="00CC25B5">
            <w:pPr>
              <w:rPr>
                <w:rFonts w:ascii="宋体"/>
                <w:vanish/>
              </w:rPr>
            </w:pPr>
          </w:p>
        </w:tc>
        <w:tc>
          <w:tcPr>
            <w:tcW w:w="0" w:type="auto"/>
            <w:gridSpan w:val="3"/>
            <w:shd w:val="clear" w:color="auto" w:fill="auto"/>
            <w:vAlign w:val="bottom"/>
          </w:tcPr>
          <w:p w14:paraId="442F7681" w14:textId="77777777" w:rsidR="00CC25B5" w:rsidRDefault="00CC25B5">
            <w:pPr>
              <w:rPr>
                <w:rFonts w:ascii="宋体"/>
                <w:vanish/>
              </w:rPr>
            </w:pPr>
          </w:p>
        </w:tc>
        <w:tc>
          <w:tcPr>
            <w:tcW w:w="0" w:type="auto"/>
            <w:gridSpan w:val="3"/>
            <w:shd w:val="clear" w:color="auto" w:fill="auto"/>
            <w:vAlign w:val="bottom"/>
          </w:tcPr>
          <w:p w14:paraId="442F7682" w14:textId="77777777" w:rsidR="00CC25B5" w:rsidRDefault="00CC25B5">
            <w:pPr>
              <w:rPr>
                <w:rFonts w:ascii="宋体"/>
                <w:vanish/>
              </w:rPr>
            </w:pPr>
          </w:p>
        </w:tc>
      </w:tr>
      <w:tr w:rsidR="00CC25B5" w14:paraId="442F768F" w14:textId="77777777">
        <w:trPr>
          <w:hidden/>
        </w:trPr>
        <w:tc>
          <w:tcPr>
            <w:tcW w:w="0" w:type="auto"/>
            <w:gridSpan w:val="3"/>
            <w:shd w:val="clear" w:color="auto" w:fill="auto"/>
            <w:vAlign w:val="bottom"/>
          </w:tcPr>
          <w:p w14:paraId="442F7684" w14:textId="77777777" w:rsidR="00CC25B5" w:rsidRDefault="00CC25B5">
            <w:pPr>
              <w:rPr>
                <w:rFonts w:ascii="宋体"/>
                <w:vanish/>
              </w:rPr>
            </w:pPr>
          </w:p>
        </w:tc>
        <w:tc>
          <w:tcPr>
            <w:tcW w:w="0" w:type="auto"/>
            <w:gridSpan w:val="3"/>
            <w:shd w:val="clear" w:color="auto" w:fill="auto"/>
            <w:vAlign w:val="bottom"/>
          </w:tcPr>
          <w:p w14:paraId="442F7685" w14:textId="77777777" w:rsidR="00CC25B5" w:rsidRDefault="00CC25B5">
            <w:pPr>
              <w:rPr>
                <w:rFonts w:ascii="宋体"/>
                <w:vanish/>
              </w:rPr>
            </w:pPr>
          </w:p>
        </w:tc>
        <w:tc>
          <w:tcPr>
            <w:tcW w:w="0" w:type="auto"/>
            <w:gridSpan w:val="3"/>
            <w:shd w:val="clear" w:color="auto" w:fill="auto"/>
            <w:vAlign w:val="bottom"/>
          </w:tcPr>
          <w:p w14:paraId="442F7686" w14:textId="77777777" w:rsidR="00CC25B5" w:rsidRDefault="00CC25B5">
            <w:pPr>
              <w:rPr>
                <w:rFonts w:ascii="宋体"/>
                <w:vanish/>
              </w:rPr>
            </w:pPr>
          </w:p>
        </w:tc>
        <w:tc>
          <w:tcPr>
            <w:tcW w:w="0" w:type="auto"/>
            <w:gridSpan w:val="3"/>
            <w:shd w:val="clear" w:color="auto" w:fill="auto"/>
            <w:vAlign w:val="bottom"/>
          </w:tcPr>
          <w:p w14:paraId="442F7687" w14:textId="77777777" w:rsidR="00CC25B5" w:rsidRDefault="00CC25B5">
            <w:pPr>
              <w:rPr>
                <w:rFonts w:ascii="宋体"/>
                <w:vanish/>
              </w:rPr>
            </w:pPr>
          </w:p>
        </w:tc>
        <w:tc>
          <w:tcPr>
            <w:tcW w:w="0" w:type="auto"/>
            <w:gridSpan w:val="3"/>
            <w:shd w:val="clear" w:color="auto" w:fill="auto"/>
            <w:vAlign w:val="bottom"/>
          </w:tcPr>
          <w:p w14:paraId="442F7688" w14:textId="77777777" w:rsidR="00CC25B5" w:rsidRDefault="00CC25B5">
            <w:pPr>
              <w:rPr>
                <w:rFonts w:ascii="宋体"/>
                <w:vanish/>
              </w:rPr>
            </w:pPr>
          </w:p>
        </w:tc>
        <w:tc>
          <w:tcPr>
            <w:tcW w:w="0" w:type="auto"/>
            <w:gridSpan w:val="3"/>
            <w:shd w:val="clear" w:color="auto" w:fill="auto"/>
            <w:vAlign w:val="bottom"/>
          </w:tcPr>
          <w:p w14:paraId="442F7689" w14:textId="77777777" w:rsidR="00CC25B5" w:rsidRDefault="00CC25B5">
            <w:pPr>
              <w:rPr>
                <w:rFonts w:ascii="宋体"/>
                <w:vanish/>
              </w:rPr>
            </w:pPr>
          </w:p>
        </w:tc>
        <w:tc>
          <w:tcPr>
            <w:tcW w:w="0" w:type="auto"/>
            <w:gridSpan w:val="3"/>
            <w:shd w:val="clear" w:color="auto" w:fill="auto"/>
            <w:vAlign w:val="bottom"/>
          </w:tcPr>
          <w:p w14:paraId="442F768A" w14:textId="77777777" w:rsidR="00CC25B5" w:rsidRDefault="00CC25B5">
            <w:pPr>
              <w:rPr>
                <w:rFonts w:ascii="宋体"/>
                <w:vanish/>
              </w:rPr>
            </w:pPr>
          </w:p>
        </w:tc>
        <w:tc>
          <w:tcPr>
            <w:tcW w:w="0" w:type="auto"/>
            <w:gridSpan w:val="3"/>
            <w:shd w:val="clear" w:color="auto" w:fill="auto"/>
            <w:vAlign w:val="bottom"/>
          </w:tcPr>
          <w:p w14:paraId="442F768B" w14:textId="77777777" w:rsidR="00CC25B5" w:rsidRDefault="00CC25B5">
            <w:pPr>
              <w:rPr>
                <w:rFonts w:ascii="宋体"/>
                <w:vanish/>
              </w:rPr>
            </w:pPr>
          </w:p>
        </w:tc>
        <w:tc>
          <w:tcPr>
            <w:tcW w:w="0" w:type="auto"/>
            <w:gridSpan w:val="3"/>
            <w:shd w:val="clear" w:color="auto" w:fill="auto"/>
            <w:vAlign w:val="bottom"/>
          </w:tcPr>
          <w:p w14:paraId="442F768C" w14:textId="77777777" w:rsidR="00CC25B5" w:rsidRDefault="00CC25B5">
            <w:pPr>
              <w:rPr>
                <w:rFonts w:ascii="宋体"/>
                <w:vanish/>
              </w:rPr>
            </w:pPr>
          </w:p>
        </w:tc>
        <w:tc>
          <w:tcPr>
            <w:tcW w:w="0" w:type="auto"/>
            <w:gridSpan w:val="3"/>
            <w:shd w:val="clear" w:color="auto" w:fill="auto"/>
            <w:vAlign w:val="bottom"/>
          </w:tcPr>
          <w:p w14:paraId="442F768D" w14:textId="77777777" w:rsidR="00CC25B5" w:rsidRDefault="00CC25B5">
            <w:pPr>
              <w:rPr>
                <w:rFonts w:ascii="宋体"/>
                <w:vanish/>
              </w:rPr>
            </w:pPr>
          </w:p>
        </w:tc>
        <w:tc>
          <w:tcPr>
            <w:tcW w:w="0" w:type="auto"/>
            <w:gridSpan w:val="3"/>
            <w:shd w:val="clear" w:color="auto" w:fill="auto"/>
            <w:vAlign w:val="bottom"/>
          </w:tcPr>
          <w:p w14:paraId="442F768E" w14:textId="77777777" w:rsidR="00CC25B5" w:rsidRDefault="00CC25B5">
            <w:pPr>
              <w:rPr>
                <w:rFonts w:ascii="宋体"/>
                <w:vanish/>
              </w:rPr>
            </w:pPr>
          </w:p>
        </w:tc>
      </w:tr>
    </w:tbl>
    <w:p w14:paraId="442F7690" w14:textId="77777777" w:rsidR="00CC25B5" w:rsidRDefault="00CC25B5">
      <w:pPr>
        <w:spacing w:before="80" w:after="100"/>
      </w:pPr>
    </w:p>
    <w:p w14:paraId="442F7691" w14:textId="77777777" w:rsidR="00CC25B5" w:rsidRDefault="00900968">
      <w:pPr>
        <w:jc w:val="center"/>
      </w:pPr>
      <w:r>
        <w:rPr>
          <w:rFonts w:ascii="Times New Roman" w:eastAsia="宋体" w:hAnsi="Times New Roman"/>
          <w:color w:val="000000"/>
          <w:sz w:val="20"/>
          <w:szCs w:val="20"/>
        </w:rPr>
        <w:t>9</w:t>
      </w:r>
    </w:p>
    <w:p w14:paraId="442F7692" w14:textId="77777777" w:rsidR="00CC25B5" w:rsidRDefault="00900968">
      <w:r>
        <w:pict w14:anchorId="442F85D2">
          <v:rect id="_x0000_i1033" style="width:415.3pt;height:1.5pt" o:hralign="center" o:hrstd="t" o:hr="t" fillcolor="#a0a0a0" stroked="f"/>
        </w:pict>
      </w:r>
    </w:p>
    <w:p w14:paraId="442F7693" w14:textId="77777777" w:rsidR="00CC25B5" w:rsidRDefault="00900968">
      <w:hyperlink r:id="rId49" w:anchor="ie1710166881948a18c44f48eaa2dcf00_7" w:history="1">
        <w:r>
          <w:rPr>
            <w:rStyle w:val="a5"/>
            <w:rFonts w:ascii="Times New Roman" w:eastAsia="宋体" w:hAnsi="Times New Roman"/>
            <w:sz w:val="20"/>
            <w:szCs w:val="20"/>
          </w:rPr>
          <w:t>Table of Contents</w:t>
        </w:r>
      </w:hyperlink>
    </w:p>
    <w:p w14:paraId="442F7694" w14:textId="77777777" w:rsidR="00CC25B5" w:rsidRDefault="00900968">
      <w:pPr>
        <w:spacing w:before="240"/>
      </w:pPr>
      <w:r>
        <w:rPr>
          <w:rFonts w:ascii="Times New Roman" w:eastAsia="宋体" w:hAnsi="Times New Roman"/>
          <w:b/>
          <w:bCs/>
          <w:color w:val="000000"/>
          <w:sz w:val="20"/>
          <w:szCs w:val="20"/>
        </w:rPr>
        <w:t>Note 4. Short-term Borrowings and Long-term Debt</w:t>
      </w:r>
    </w:p>
    <w:p w14:paraId="442F7695" w14:textId="77777777" w:rsidR="00CC25B5" w:rsidRDefault="00900968">
      <w:pPr>
        <w:spacing w:before="180" w:after="100"/>
      </w:pPr>
      <w:r>
        <w:rPr>
          <w:rFonts w:ascii="Times New Roman" w:eastAsia="宋体" w:hAnsi="Times New Roman"/>
          <w:color w:val="000000"/>
          <w:sz w:val="20"/>
          <w:szCs w:val="20"/>
        </w:rPr>
        <w:t>The Company has various committed lin</w:t>
      </w:r>
      <w:r>
        <w:rPr>
          <w:rFonts w:ascii="Times New Roman" w:eastAsia="宋体" w:hAnsi="Times New Roman"/>
          <w:color w:val="000000"/>
          <w:sz w:val="20"/>
          <w:szCs w:val="20"/>
        </w:rPr>
        <w:t>es of credit in the U.S. that are used to support its commercial paper program. In April 2021, the Company renewed and extended its existing 364-day revolving credit facility of $10.0 billion as well as its five-year credit facility of $5.0 billion. In tot</w:t>
      </w:r>
      <w:r>
        <w:rPr>
          <w:rFonts w:ascii="Times New Roman" w:eastAsia="宋体" w:hAnsi="Times New Roman"/>
          <w:color w:val="000000"/>
          <w:sz w:val="20"/>
          <w:szCs w:val="20"/>
        </w:rPr>
        <w:t>al, the Company had committed lines of credit in the U.S. of $15.0 billion at July 31, 2021 and January 31, 2021, all undrawn.</w:t>
      </w:r>
    </w:p>
    <w:p w14:paraId="442F7696" w14:textId="77777777" w:rsidR="00CC25B5" w:rsidRDefault="00900968">
      <w:pPr>
        <w:spacing w:before="100"/>
      </w:pPr>
      <w:r>
        <w:rPr>
          <w:rFonts w:ascii="Times New Roman" w:eastAsia="宋体" w:hAnsi="Times New Roman"/>
          <w:color w:val="000000"/>
          <w:sz w:val="20"/>
          <w:szCs w:val="20"/>
        </w:rPr>
        <w:t>The following table provides the changes in the Company's long-term debt for the six months ended July 31, 2021:</w:t>
      </w:r>
    </w:p>
    <w:tbl>
      <w:tblPr>
        <w:tblW w:w="4985" w:type="pct"/>
        <w:tblCellMar>
          <w:top w:w="15" w:type="dxa"/>
          <w:left w:w="15" w:type="dxa"/>
          <w:bottom w:w="15" w:type="dxa"/>
          <w:right w:w="15" w:type="dxa"/>
        </w:tblCellMar>
        <w:tblLook w:val="04A0" w:firstRow="1" w:lastRow="0" w:firstColumn="1" w:lastColumn="0" w:noHBand="0" w:noVBand="1"/>
      </w:tblPr>
      <w:tblGrid>
        <w:gridCol w:w="41"/>
        <w:gridCol w:w="4305"/>
        <w:gridCol w:w="38"/>
        <w:gridCol w:w="36"/>
        <w:gridCol w:w="36"/>
        <w:gridCol w:w="36"/>
        <w:gridCol w:w="101"/>
        <w:gridCol w:w="1063"/>
        <w:gridCol w:w="36"/>
        <w:gridCol w:w="36"/>
        <w:gridCol w:w="36"/>
        <w:gridCol w:w="36"/>
        <w:gridCol w:w="101"/>
        <w:gridCol w:w="1065"/>
        <w:gridCol w:w="36"/>
        <w:gridCol w:w="36"/>
        <w:gridCol w:w="36"/>
        <w:gridCol w:w="36"/>
        <w:gridCol w:w="100"/>
        <w:gridCol w:w="1065"/>
        <w:gridCol w:w="36"/>
      </w:tblGrid>
      <w:tr w:rsidR="00CC25B5" w14:paraId="442F76AC" w14:textId="77777777">
        <w:tc>
          <w:tcPr>
            <w:tcW w:w="50" w:type="pct"/>
            <w:shd w:val="clear" w:color="auto" w:fill="auto"/>
            <w:vAlign w:val="bottom"/>
          </w:tcPr>
          <w:p w14:paraId="442F7697" w14:textId="77777777" w:rsidR="00CC25B5" w:rsidRDefault="00CC25B5">
            <w:pPr>
              <w:rPr>
                <w:rFonts w:ascii="宋体"/>
              </w:rPr>
            </w:pPr>
          </w:p>
        </w:tc>
        <w:tc>
          <w:tcPr>
            <w:tcW w:w="2613" w:type="pct"/>
            <w:shd w:val="clear" w:color="auto" w:fill="auto"/>
            <w:vAlign w:val="bottom"/>
          </w:tcPr>
          <w:p w14:paraId="442F7698" w14:textId="77777777" w:rsidR="00CC25B5" w:rsidRDefault="00CC25B5">
            <w:pPr>
              <w:rPr>
                <w:rFonts w:ascii="宋体"/>
              </w:rPr>
            </w:pPr>
          </w:p>
        </w:tc>
        <w:tc>
          <w:tcPr>
            <w:tcW w:w="5" w:type="pct"/>
            <w:shd w:val="clear" w:color="auto" w:fill="auto"/>
            <w:vAlign w:val="bottom"/>
          </w:tcPr>
          <w:p w14:paraId="442F7699" w14:textId="77777777" w:rsidR="00CC25B5" w:rsidRDefault="00CC25B5">
            <w:pPr>
              <w:rPr>
                <w:rFonts w:ascii="宋体"/>
              </w:rPr>
            </w:pPr>
          </w:p>
        </w:tc>
        <w:tc>
          <w:tcPr>
            <w:tcW w:w="5" w:type="pct"/>
            <w:shd w:val="clear" w:color="auto" w:fill="auto"/>
            <w:vAlign w:val="bottom"/>
          </w:tcPr>
          <w:p w14:paraId="442F769A" w14:textId="77777777" w:rsidR="00CC25B5" w:rsidRDefault="00CC25B5">
            <w:pPr>
              <w:rPr>
                <w:rFonts w:ascii="宋体"/>
              </w:rPr>
            </w:pPr>
          </w:p>
        </w:tc>
        <w:tc>
          <w:tcPr>
            <w:tcW w:w="26" w:type="pct"/>
            <w:shd w:val="clear" w:color="auto" w:fill="auto"/>
            <w:vAlign w:val="bottom"/>
          </w:tcPr>
          <w:p w14:paraId="442F769B" w14:textId="77777777" w:rsidR="00CC25B5" w:rsidRDefault="00CC25B5">
            <w:pPr>
              <w:rPr>
                <w:rFonts w:ascii="宋体"/>
              </w:rPr>
            </w:pPr>
          </w:p>
        </w:tc>
        <w:tc>
          <w:tcPr>
            <w:tcW w:w="5" w:type="pct"/>
            <w:shd w:val="clear" w:color="auto" w:fill="auto"/>
            <w:vAlign w:val="bottom"/>
          </w:tcPr>
          <w:p w14:paraId="442F769C" w14:textId="77777777" w:rsidR="00CC25B5" w:rsidRDefault="00CC25B5">
            <w:pPr>
              <w:rPr>
                <w:rFonts w:ascii="宋体"/>
              </w:rPr>
            </w:pPr>
          </w:p>
        </w:tc>
        <w:tc>
          <w:tcPr>
            <w:tcW w:w="50" w:type="pct"/>
            <w:shd w:val="clear" w:color="auto" w:fill="auto"/>
            <w:vAlign w:val="bottom"/>
          </w:tcPr>
          <w:p w14:paraId="442F769D" w14:textId="77777777" w:rsidR="00CC25B5" w:rsidRDefault="00CC25B5">
            <w:pPr>
              <w:rPr>
                <w:rFonts w:ascii="宋体"/>
              </w:rPr>
            </w:pPr>
          </w:p>
        </w:tc>
        <w:tc>
          <w:tcPr>
            <w:tcW w:w="685" w:type="pct"/>
            <w:shd w:val="clear" w:color="auto" w:fill="auto"/>
            <w:vAlign w:val="bottom"/>
          </w:tcPr>
          <w:p w14:paraId="442F769E" w14:textId="77777777" w:rsidR="00CC25B5" w:rsidRDefault="00CC25B5">
            <w:pPr>
              <w:rPr>
                <w:rFonts w:ascii="宋体"/>
              </w:rPr>
            </w:pPr>
          </w:p>
        </w:tc>
        <w:tc>
          <w:tcPr>
            <w:tcW w:w="5" w:type="pct"/>
            <w:shd w:val="clear" w:color="auto" w:fill="auto"/>
            <w:vAlign w:val="bottom"/>
          </w:tcPr>
          <w:p w14:paraId="442F769F" w14:textId="77777777" w:rsidR="00CC25B5" w:rsidRDefault="00CC25B5">
            <w:pPr>
              <w:rPr>
                <w:rFonts w:ascii="宋体"/>
              </w:rPr>
            </w:pPr>
          </w:p>
        </w:tc>
        <w:tc>
          <w:tcPr>
            <w:tcW w:w="5" w:type="pct"/>
            <w:shd w:val="clear" w:color="auto" w:fill="auto"/>
            <w:vAlign w:val="bottom"/>
          </w:tcPr>
          <w:p w14:paraId="442F76A0" w14:textId="77777777" w:rsidR="00CC25B5" w:rsidRDefault="00CC25B5">
            <w:pPr>
              <w:rPr>
                <w:rFonts w:ascii="宋体"/>
              </w:rPr>
            </w:pPr>
          </w:p>
        </w:tc>
        <w:tc>
          <w:tcPr>
            <w:tcW w:w="26" w:type="pct"/>
            <w:shd w:val="clear" w:color="auto" w:fill="auto"/>
            <w:vAlign w:val="bottom"/>
          </w:tcPr>
          <w:p w14:paraId="442F76A1" w14:textId="77777777" w:rsidR="00CC25B5" w:rsidRDefault="00CC25B5">
            <w:pPr>
              <w:rPr>
                <w:rFonts w:ascii="宋体"/>
              </w:rPr>
            </w:pPr>
          </w:p>
        </w:tc>
        <w:tc>
          <w:tcPr>
            <w:tcW w:w="5" w:type="pct"/>
            <w:shd w:val="clear" w:color="auto" w:fill="auto"/>
            <w:vAlign w:val="bottom"/>
          </w:tcPr>
          <w:p w14:paraId="442F76A2" w14:textId="77777777" w:rsidR="00CC25B5" w:rsidRDefault="00CC25B5">
            <w:pPr>
              <w:rPr>
                <w:rFonts w:ascii="宋体"/>
              </w:rPr>
            </w:pPr>
          </w:p>
        </w:tc>
        <w:tc>
          <w:tcPr>
            <w:tcW w:w="50" w:type="pct"/>
            <w:shd w:val="clear" w:color="auto" w:fill="auto"/>
            <w:vAlign w:val="bottom"/>
          </w:tcPr>
          <w:p w14:paraId="442F76A3" w14:textId="77777777" w:rsidR="00CC25B5" w:rsidRDefault="00CC25B5">
            <w:pPr>
              <w:rPr>
                <w:rFonts w:ascii="宋体"/>
              </w:rPr>
            </w:pPr>
          </w:p>
        </w:tc>
        <w:tc>
          <w:tcPr>
            <w:tcW w:w="685" w:type="pct"/>
            <w:shd w:val="clear" w:color="auto" w:fill="auto"/>
            <w:vAlign w:val="bottom"/>
          </w:tcPr>
          <w:p w14:paraId="442F76A4" w14:textId="77777777" w:rsidR="00CC25B5" w:rsidRDefault="00CC25B5">
            <w:pPr>
              <w:rPr>
                <w:rFonts w:ascii="宋体"/>
              </w:rPr>
            </w:pPr>
          </w:p>
        </w:tc>
        <w:tc>
          <w:tcPr>
            <w:tcW w:w="5" w:type="pct"/>
            <w:shd w:val="clear" w:color="auto" w:fill="auto"/>
            <w:vAlign w:val="bottom"/>
          </w:tcPr>
          <w:p w14:paraId="442F76A5" w14:textId="77777777" w:rsidR="00CC25B5" w:rsidRDefault="00CC25B5">
            <w:pPr>
              <w:rPr>
                <w:rFonts w:ascii="宋体"/>
              </w:rPr>
            </w:pPr>
          </w:p>
        </w:tc>
        <w:tc>
          <w:tcPr>
            <w:tcW w:w="5" w:type="pct"/>
            <w:shd w:val="clear" w:color="auto" w:fill="auto"/>
            <w:vAlign w:val="bottom"/>
          </w:tcPr>
          <w:p w14:paraId="442F76A6" w14:textId="77777777" w:rsidR="00CC25B5" w:rsidRDefault="00CC25B5">
            <w:pPr>
              <w:rPr>
                <w:rFonts w:ascii="宋体"/>
              </w:rPr>
            </w:pPr>
          </w:p>
        </w:tc>
        <w:tc>
          <w:tcPr>
            <w:tcW w:w="26" w:type="pct"/>
            <w:shd w:val="clear" w:color="auto" w:fill="auto"/>
            <w:vAlign w:val="bottom"/>
          </w:tcPr>
          <w:p w14:paraId="442F76A7" w14:textId="77777777" w:rsidR="00CC25B5" w:rsidRDefault="00CC25B5">
            <w:pPr>
              <w:rPr>
                <w:rFonts w:ascii="宋体"/>
              </w:rPr>
            </w:pPr>
          </w:p>
        </w:tc>
        <w:tc>
          <w:tcPr>
            <w:tcW w:w="5" w:type="pct"/>
            <w:shd w:val="clear" w:color="auto" w:fill="auto"/>
            <w:vAlign w:val="bottom"/>
          </w:tcPr>
          <w:p w14:paraId="442F76A8" w14:textId="77777777" w:rsidR="00CC25B5" w:rsidRDefault="00CC25B5">
            <w:pPr>
              <w:rPr>
                <w:rFonts w:ascii="宋体"/>
              </w:rPr>
            </w:pPr>
          </w:p>
        </w:tc>
        <w:tc>
          <w:tcPr>
            <w:tcW w:w="50" w:type="pct"/>
            <w:shd w:val="clear" w:color="auto" w:fill="auto"/>
            <w:vAlign w:val="bottom"/>
          </w:tcPr>
          <w:p w14:paraId="442F76A9" w14:textId="77777777" w:rsidR="00CC25B5" w:rsidRDefault="00CC25B5">
            <w:pPr>
              <w:rPr>
                <w:rFonts w:ascii="宋体"/>
              </w:rPr>
            </w:pPr>
          </w:p>
        </w:tc>
        <w:tc>
          <w:tcPr>
            <w:tcW w:w="685" w:type="pct"/>
            <w:shd w:val="clear" w:color="auto" w:fill="auto"/>
            <w:vAlign w:val="bottom"/>
          </w:tcPr>
          <w:p w14:paraId="442F76AA" w14:textId="77777777" w:rsidR="00CC25B5" w:rsidRDefault="00CC25B5">
            <w:pPr>
              <w:rPr>
                <w:rFonts w:ascii="宋体"/>
              </w:rPr>
            </w:pPr>
          </w:p>
        </w:tc>
        <w:tc>
          <w:tcPr>
            <w:tcW w:w="5" w:type="pct"/>
            <w:shd w:val="clear" w:color="auto" w:fill="auto"/>
            <w:vAlign w:val="bottom"/>
          </w:tcPr>
          <w:p w14:paraId="442F76AB" w14:textId="77777777" w:rsidR="00CC25B5" w:rsidRDefault="00CC25B5">
            <w:pPr>
              <w:rPr>
                <w:rFonts w:ascii="宋体"/>
              </w:rPr>
            </w:pPr>
          </w:p>
        </w:tc>
      </w:tr>
      <w:tr w:rsidR="00CC25B5" w14:paraId="442F76B4" w14:textId="77777777">
        <w:tc>
          <w:tcPr>
            <w:tcW w:w="0" w:type="auto"/>
            <w:gridSpan w:val="3"/>
            <w:shd w:val="clear" w:color="auto" w:fill="auto"/>
            <w:tcMar>
              <w:top w:w="40" w:type="dxa"/>
              <w:left w:w="20" w:type="dxa"/>
              <w:bottom w:w="40" w:type="dxa"/>
              <w:right w:w="20" w:type="dxa"/>
            </w:tcMar>
            <w:vAlign w:val="bottom"/>
          </w:tcPr>
          <w:p w14:paraId="442F76AD"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6AE"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6AF" w14:textId="77777777" w:rsidR="00CC25B5" w:rsidRDefault="00900968">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442F76B0"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6B1" w14:textId="77777777" w:rsidR="00CC25B5" w:rsidRDefault="00900968">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442F76B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6B3" w14:textId="77777777" w:rsidR="00CC25B5" w:rsidRDefault="00900968">
            <w:pPr>
              <w:jc w:val="center"/>
              <w:textAlignment w:val="bottom"/>
            </w:pPr>
            <w:r>
              <w:rPr>
                <w:rFonts w:ascii="Times New Roman" w:eastAsia="宋体" w:hAnsi="Times New Roman"/>
                <w:b/>
                <w:bCs/>
                <w:color w:val="000000"/>
                <w:sz w:val="16"/>
                <w:szCs w:val="16"/>
              </w:rPr>
              <w:t>Total</w:t>
            </w:r>
          </w:p>
        </w:tc>
      </w:tr>
      <w:tr w:rsidR="00CC25B5" w14:paraId="442F76C2" w14:textId="77777777">
        <w:tc>
          <w:tcPr>
            <w:tcW w:w="0" w:type="auto"/>
            <w:gridSpan w:val="3"/>
            <w:shd w:val="clear" w:color="auto" w:fill="CCEEFF"/>
            <w:tcMar>
              <w:top w:w="40" w:type="dxa"/>
              <w:left w:w="20" w:type="dxa"/>
              <w:bottom w:w="40" w:type="dxa"/>
              <w:right w:w="20" w:type="dxa"/>
            </w:tcMar>
            <w:vAlign w:val="center"/>
          </w:tcPr>
          <w:p w14:paraId="442F76B5" w14:textId="77777777" w:rsidR="00CC25B5" w:rsidRDefault="00900968">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442F76B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6B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6B8" w14:textId="77777777" w:rsidR="00CC25B5" w:rsidRDefault="00900968">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6B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B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6B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6BC" w14:textId="77777777" w:rsidR="00CC25B5" w:rsidRDefault="00900968">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6B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B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6B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6C0" w14:textId="77777777" w:rsidR="00CC25B5" w:rsidRDefault="00900968">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6C1" w14:textId="77777777" w:rsidR="00CC25B5" w:rsidRDefault="00CC25B5">
            <w:pPr>
              <w:jc w:val="right"/>
              <w:rPr>
                <w:rFonts w:ascii="宋体"/>
              </w:rPr>
            </w:pPr>
          </w:p>
        </w:tc>
      </w:tr>
      <w:tr w:rsidR="00CC25B5" w14:paraId="442F76CA" w14:textId="77777777">
        <w:trPr>
          <w:hidden/>
        </w:trPr>
        <w:tc>
          <w:tcPr>
            <w:tcW w:w="0" w:type="auto"/>
            <w:gridSpan w:val="3"/>
            <w:shd w:val="clear" w:color="auto" w:fill="auto"/>
            <w:vAlign w:val="bottom"/>
          </w:tcPr>
          <w:p w14:paraId="442F76C3" w14:textId="77777777" w:rsidR="00CC25B5" w:rsidRDefault="00CC25B5">
            <w:pPr>
              <w:rPr>
                <w:rFonts w:ascii="宋体"/>
                <w:vanish/>
              </w:rPr>
            </w:pPr>
          </w:p>
        </w:tc>
        <w:tc>
          <w:tcPr>
            <w:tcW w:w="0" w:type="auto"/>
            <w:gridSpan w:val="3"/>
            <w:shd w:val="clear" w:color="auto" w:fill="auto"/>
            <w:vAlign w:val="bottom"/>
          </w:tcPr>
          <w:p w14:paraId="442F76C4" w14:textId="77777777" w:rsidR="00CC25B5" w:rsidRDefault="00CC25B5">
            <w:pPr>
              <w:rPr>
                <w:rFonts w:ascii="宋体"/>
                <w:vanish/>
              </w:rPr>
            </w:pPr>
          </w:p>
        </w:tc>
        <w:tc>
          <w:tcPr>
            <w:tcW w:w="0" w:type="auto"/>
            <w:gridSpan w:val="3"/>
            <w:shd w:val="clear" w:color="auto" w:fill="auto"/>
            <w:vAlign w:val="bottom"/>
          </w:tcPr>
          <w:p w14:paraId="442F76C5" w14:textId="77777777" w:rsidR="00CC25B5" w:rsidRDefault="00CC25B5">
            <w:pPr>
              <w:rPr>
                <w:rFonts w:ascii="宋体"/>
                <w:vanish/>
              </w:rPr>
            </w:pPr>
          </w:p>
        </w:tc>
        <w:tc>
          <w:tcPr>
            <w:tcW w:w="0" w:type="auto"/>
            <w:gridSpan w:val="3"/>
            <w:shd w:val="clear" w:color="auto" w:fill="auto"/>
            <w:vAlign w:val="bottom"/>
          </w:tcPr>
          <w:p w14:paraId="442F76C6" w14:textId="77777777" w:rsidR="00CC25B5" w:rsidRDefault="00CC25B5">
            <w:pPr>
              <w:rPr>
                <w:rFonts w:ascii="宋体"/>
                <w:vanish/>
              </w:rPr>
            </w:pPr>
          </w:p>
        </w:tc>
        <w:tc>
          <w:tcPr>
            <w:tcW w:w="0" w:type="auto"/>
            <w:gridSpan w:val="3"/>
            <w:shd w:val="clear" w:color="auto" w:fill="auto"/>
            <w:vAlign w:val="bottom"/>
          </w:tcPr>
          <w:p w14:paraId="442F76C7" w14:textId="77777777" w:rsidR="00CC25B5" w:rsidRDefault="00CC25B5">
            <w:pPr>
              <w:rPr>
                <w:rFonts w:ascii="宋体"/>
                <w:vanish/>
              </w:rPr>
            </w:pPr>
          </w:p>
        </w:tc>
        <w:tc>
          <w:tcPr>
            <w:tcW w:w="0" w:type="auto"/>
            <w:gridSpan w:val="3"/>
            <w:shd w:val="clear" w:color="auto" w:fill="auto"/>
            <w:vAlign w:val="bottom"/>
          </w:tcPr>
          <w:p w14:paraId="442F76C8" w14:textId="77777777" w:rsidR="00CC25B5" w:rsidRDefault="00CC25B5">
            <w:pPr>
              <w:rPr>
                <w:rFonts w:ascii="宋体"/>
                <w:vanish/>
              </w:rPr>
            </w:pPr>
          </w:p>
        </w:tc>
        <w:tc>
          <w:tcPr>
            <w:tcW w:w="0" w:type="auto"/>
            <w:gridSpan w:val="3"/>
            <w:shd w:val="clear" w:color="auto" w:fill="auto"/>
            <w:vAlign w:val="bottom"/>
          </w:tcPr>
          <w:p w14:paraId="442F76C9" w14:textId="77777777" w:rsidR="00CC25B5" w:rsidRDefault="00CC25B5">
            <w:pPr>
              <w:rPr>
                <w:rFonts w:ascii="宋体"/>
                <w:vanish/>
              </w:rPr>
            </w:pPr>
          </w:p>
        </w:tc>
      </w:tr>
      <w:tr w:rsidR="00CC25B5" w14:paraId="442F76D5" w14:textId="77777777">
        <w:tc>
          <w:tcPr>
            <w:tcW w:w="0" w:type="auto"/>
            <w:gridSpan w:val="3"/>
            <w:shd w:val="clear" w:color="auto" w:fill="FFFFFF"/>
            <w:tcMar>
              <w:top w:w="40" w:type="dxa"/>
              <w:left w:w="20" w:type="dxa"/>
              <w:bottom w:w="40" w:type="dxa"/>
              <w:right w:w="20" w:type="dxa"/>
            </w:tcMar>
            <w:vAlign w:val="center"/>
          </w:tcPr>
          <w:p w14:paraId="442F76CB" w14:textId="77777777" w:rsidR="00CC25B5" w:rsidRDefault="00900968">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442F76C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6CD" w14:textId="77777777" w:rsidR="00CC25B5" w:rsidRDefault="00900968">
            <w:pPr>
              <w:jc w:val="right"/>
              <w:textAlignment w:val="center"/>
            </w:pPr>
            <w:r>
              <w:rPr>
                <w:rFonts w:ascii="Times New Roman" w:eastAsia="宋体" w:hAnsi="Times New Roman"/>
                <w:color w:val="000000"/>
                <w:sz w:val="16"/>
                <w:szCs w:val="16"/>
              </w:rPr>
              <w:t>(3,010)</w:t>
            </w:r>
          </w:p>
        </w:tc>
        <w:tc>
          <w:tcPr>
            <w:tcW w:w="0" w:type="auto"/>
            <w:shd w:val="clear" w:color="auto" w:fill="FFFFFF"/>
            <w:tcMar>
              <w:top w:w="40" w:type="dxa"/>
              <w:left w:w="0" w:type="dxa"/>
              <w:bottom w:w="40" w:type="dxa"/>
              <w:right w:w="20" w:type="dxa"/>
            </w:tcMar>
            <w:vAlign w:val="center"/>
          </w:tcPr>
          <w:p w14:paraId="442F76C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C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6D0"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6D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D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6D3" w14:textId="77777777" w:rsidR="00CC25B5" w:rsidRDefault="00900968">
            <w:pPr>
              <w:jc w:val="right"/>
              <w:textAlignment w:val="center"/>
            </w:pPr>
            <w:r>
              <w:rPr>
                <w:rFonts w:ascii="Times New Roman" w:eastAsia="宋体" w:hAnsi="Times New Roman"/>
                <w:color w:val="000000"/>
                <w:sz w:val="16"/>
                <w:szCs w:val="16"/>
              </w:rPr>
              <w:t>(3,010)</w:t>
            </w:r>
          </w:p>
        </w:tc>
        <w:tc>
          <w:tcPr>
            <w:tcW w:w="0" w:type="auto"/>
            <w:shd w:val="clear" w:color="auto" w:fill="FFFFFF"/>
            <w:tcMar>
              <w:top w:w="40" w:type="dxa"/>
              <w:left w:w="0" w:type="dxa"/>
              <w:bottom w:w="40" w:type="dxa"/>
              <w:right w:w="20" w:type="dxa"/>
            </w:tcMar>
            <w:vAlign w:val="center"/>
          </w:tcPr>
          <w:p w14:paraId="442F76D4" w14:textId="77777777" w:rsidR="00CC25B5" w:rsidRDefault="00CC25B5">
            <w:pPr>
              <w:jc w:val="right"/>
              <w:rPr>
                <w:rFonts w:ascii="宋体"/>
              </w:rPr>
            </w:pPr>
          </w:p>
        </w:tc>
      </w:tr>
      <w:tr w:rsidR="00CC25B5" w14:paraId="442F76E0" w14:textId="77777777">
        <w:tc>
          <w:tcPr>
            <w:tcW w:w="0" w:type="auto"/>
            <w:gridSpan w:val="3"/>
            <w:shd w:val="clear" w:color="auto" w:fill="CCEEFF"/>
            <w:tcMar>
              <w:top w:w="40" w:type="dxa"/>
              <w:left w:w="20" w:type="dxa"/>
              <w:bottom w:w="40" w:type="dxa"/>
              <w:right w:w="20" w:type="dxa"/>
            </w:tcMar>
            <w:vAlign w:val="center"/>
          </w:tcPr>
          <w:p w14:paraId="442F76D6" w14:textId="77777777" w:rsidR="00CC25B5" w:rsidRDefault="00900968">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vAlign w:val="bottom"/>
          </w:tcPr>
          <w:p w14:paraId="442F76D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6D8" w14:textId="77777777" w:rsidR="00CC25B5" w:rsidRDefault="00900968">
            <w:pPr>
              <w:jc w:val="right"/>
              <w:textAlignment w:val="center"/>
            </w:pPr>
            <w:r>
              <w:rPr>
                <w:rFonts w:ascii="Times New Roman" w:eastAsia="宋体" w:hAnsi="Times New Roman"/>
                <w:color w:val="000000"/>
                <w:sz w:val="16"/>
                <w:szCs w:val="16"/>
              </w:rPr>
              <w:t>1,511 </w:t>
            </w:r>
          </w:p>
        </w:tc>
        <w:tc>
          <w:tcPr>
            <w:tcW w:w="0" w:type="auto"/>
            <w:shd w:val="clear" w:color="auto" w:fill="CCEEFF"/>
            <w:tcMar>
              <w:top w:w="40" w:type="dxa"/>
              <w:left w:w="0" w:type="dxa"/>
              <w:bottom w:w="40" w:type="dxa"/>
              <w:right w:w="20" w:type="dxa"/>
            </w:tcMar>
            <w:vAlign w:val="center"/>
          </w:tcPr>
          <w:p w14:paraId="442F76D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D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6DB" w14:textId="77777777" w:rsidR="00CC25B5" w:rsidRDefault="00900968">
            <w:pPr>
              <w:jc w:val="right"/>
              <w:textAlignment w:val="center"/>
            </w:pPr>
            <w:r>
              <w:rPr>
                <w:rFonts w:ascii="Times New Roman" w:eastAsia="宋体" w:hAnsi="Times New Roman"/>
                <w:color w:val="000000"/>
                <w:sz w:val="16"/>
                <w:szCs w:val="16"/>
              </w:rPr>
              <w:t>(1,511)</w:t>
            </w:r>
          </w:p>
        </w:tc>
        <w:tc>
          <w:tcPr>
            <w:tcW w:w="0" w:type="auto"/>
            <w:shd w:val="clear" w:color="auto" w:fill="CCEEFF"/>
            <w:tcMar>
              <w:top w:w="40" w:type="dxa"/>
              <w:left w:w="0" w:type="dxa"/>
              <w:bottom w:w="40" w:type="dxa"/>
              <w:right w:w="20" w:type="dxa"/>
            </w:tcMar>
            <w:vAlign w:val="center"/>
          </w:tcPr>
          <w:p w14:paraId="442F76D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D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6DE"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76DF" w14:textId="77777777" w:rsidR="00CC25B5" w:rsidRDefault="00CC25B5">
            <w:pPr>
              <w:jc w:val="right"/>
              <w:rPr>
                <w:rFonts w:ascii="宋体"/>
              </w:rPr>
            </w:pPr>
          </w:p>
        </w:tc>
      </w:tr>
      <w:tr w:rsidR="00CC25B5" w14:paraId="442F76EB" w14:textId="77777777">
        <w:tc>
          <w:tcPr>
            <w:tcW w:w="0" w:type="auto"/>
            <w:gridSpan w:val="3"/>
            <w:shd w:val="clear" w:color="auto" w:fill="FFFFFF"/>
            <w:tcMar>
              <w:top w:w="40" w:type="dxa"/>
              <w:left w:w="20" w:type="dxa"/>
              <w:bottom w:w="40" w:type="dxa"/>
              <w:right w:w="20" w:type="dxa"/>
            </w:tcMar>
            <w:vAlign w:val="bottom"/>
          </w:tcPr>
          <w:p w14:paraId="442F76E1" w14:textId="77777777" w:rsidR="00CC25B5" w:rsidRDefault="00900968">
            <w:pPr>
              <w:textAlignment w:val="bottom"/>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442F76E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6E3" w14:textId="77777777" w:rsidR="00CC25B5" w:rsidRDefault="00900968">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42F76E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E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6E6" w14:textId="77777777" w:rsidR="00CC25B5" w:rsidRDefault="00900968">
            <w:pPr>
              <w:jc w:val="right"/>
              <w:textAlignment w:val="center"/>
            </w:pPr>
            <w:r>
              <w:rPr>
                <w:rFonts w:ascii="Times New Roman" w:eastAsia="宋体" w:hAnsi="Times New Roman"/>
                <w:color w:val="000000"/>
                <w:sz w:val="16"/>
                <w:szCs w:val="16"/>
              </w:rPr>
              <w:t>(102)</w:t>
            </w:r>
          </w:p>
        </w:tc>
        <w:tc>
          <w:tcPr>
            <w:tcW w:w="0" w:type="auto"/>
            <w:shd w:val="clear" w:color="auto" w:fill="FFFFFF"/>
            <w:tcMar>
              <w:top w:w="40" w:type="dxa"/>
              <w:left w:w="0" w:type="dxa"/>
              <w:bottom w:w="40" w:type="dxa"/>
              <w:right w:w="20" w:type="dxa"/>
            </w:tcMar>
            <w:vAlign w:val="center"/>
          </w:tcPr>
          <w:p w14:paraId="442F76E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6E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6E9" w14:textId="77777777" w:rsidR="00CC25B5" w:rsidRDefault="00900968">
            <w:pPr>
              <w:jc w:val="right"/>
              <w:textAlignment w:val="center"/>
            </w:pPr>
            <w:r>
              <w:rPr>
                <w:rFonts w:ascii="Times New Roman" w:eastAsia="宋体" w:hAnsi="Times New Roman"/>
                <w:color w:val="000000"/>
                <w:sz w:val="16"/>
                <w:szCs w:val="16"/>
              </w:rPr>
              <w:t>(101)</w:t>
            </w:r>
          </w:p>
        </w:tc>
        <w:tc>
          <w:tcPr>
            <w:tcW w:w="0" w:type="auto"/>
            <w:shd w:val="clear" w:color="auto" w:fill="FFFFFF"/>
            <w:tcMar>
              <w:top w:w="40" w:type="dxa"/>
              <w:left w:w="0" w:type="dxa"/>
              <w:bottom w:w="40" w:type="dxa"/>
              <w:right w:w="20" w:type="dxa"/>
            </w:tcMar>
            <w:vAlign w:val="center"/>
          </w:tcPr>
          <w:p w14:paraId="442F76EA" w14:textId="77777777" w:rsidR="00CC25B5" w:rsidRDefault="00CC25B5">
            <w:pPr>
              <w:jc w:val="right"/>
              <w:rPr>
                <w:rFonts w:ascii="宋体"/>
              </w:rPr>
            </w:pPr>
          </w:p>
        </w:tc>
      </w:tr>
      <w:tr w:rsidR="00CC25B5" w14:paraId="442F76F9" w14:textId="77777777">
        <w:tc>
          <w:tcPr>
            <w:tcW w:w="0" w:type="auto"/>
            <w:gridSpan w:val="3"/>
            <w:shd w:val="clear" w:color="auto" w:fill="CCEEFF"/>
            <w:tcMar>
              <w:top w:w="40" w:type="dxa"/>
              <w:left w:w="20" w:type="dxa"/>
              <w:bottom w:w="40" w:type="dxa"/>
              <w:right w:w="20" w:type="dxa"/>
            </w:tcMar>
            <w:vAlign w:val="center"/>
          </w:tcPr>
          <w:p w14:paraId="442F76EC" w14:textId="77777777" w:rsidR="00CC25B5" w:rsidRDefault="00900968">
            <w:pPr>
              <w:textAlignment w:val="center"/>
            </w:pPr>
            <w:r>
              <w:rPr>
                <w:rFonts w:ascii="Times New Roman" w:eastAsia="宋体" w:hAnsi="Times New Roman"/>
                <w:b/>
                <w:bCs/>
                <w:color w:val="000000"/>
                <w:sz w:val="16"/>
                <w:szCs w:val="16"/>
              </w:rPr>
              <w:t>Balance</w:t>
            </w:r>
            <w:r>
              <w:rPr>
                <w:rFonts w:ascii="Times New Roman" w:eastAsia="宋体" w:hAnsi="Times New Roman"/>
                <w:b/>
                <w:bCs/>
                <w:color w:val="000000"/>
                <w:sz w:val="16"/>
                <w:szCs w:val="16"/>
              </w:rPr>
              <w:t>s as of July 31, 2021</w:t>
            </w:r>
          </w:p>
        </w:tc>
        <w:tc>
          <w:tcPr>
            <w:tcW w:w="0" w:type="auto"/>
            <w:gridSpan w:val="3"/>
            <w:shd w:val="clear" w:color="auto" w:fill="CCEEFF"/>
            <w:tcMar>
              <w:top w:w="0" w:type="dxa"/>
              <w:left w:w="20" w:type="dxa"/>
              <w:bottom w:w="0" w:type="dxa"/>
              <w:right w:w="20" w:type="dxa"/>
            </w:tcMar>
            <w:vAlign w:val="bottom"/>
          </w:tcPr>
          <w:p w14:paraId="442F76ED"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76EE"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6EF" w14:textId="77777777" w:rsidR="00CC25B5" w:rsidRDefault="00900968">
            <w:pPr>
              <w:jc w:val="right"/>
              <w:textAlignment w:val="center"/>
            </w:pPr>
            <w:r>
              <w:rPr>
                <w:rFonts w:ascii="Times New Roman" w:eastAsia="宋体" w:hAnsi="Times New Roman"/>
                <w:color w:val="000000"/>
                <w:sz w:val="16"/>
                <w:szCs w:val="16"/>
              </w:rPr>
              <w:t>1,617 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6F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F1"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76F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6F3" w14:textId="77777777" w:rsidR="00CC25B5" w:rsidRDefault="00900968">
            <w:pPr>
              <w:jc w:val="right"/>
              <w:textAlignment w:val="center"/>
            </w:pPr>
            <w:r>
              <w:rPr>
                <w:rFonts w:ascii="Times New Roman" w:eastAsia="宋体" w:hAnsi="Times New Roman"/>
                <w:color w:val="000000"/>
                <w:sz w:val="16"/>
                <w:szCs w:val="16"/>
              </w:rPr>
              <w:t>39,581 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6F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6F5"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76F6"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76F7" w14:textId="77777777" w:rsidR="00CC25B5" w:rsidRDefault="00900968">
            <w:pPr>
              <w:jc w:val="right"/>
              <w:textAlignment w:val="center"/>
            </w:pPr>
            <w:r>
              <w:rPr>
                <w:rFonts w:ascii="Times New Roman" w:eastAsia="宋体" w:hAnsi="Times New Roman"/>
                <w:color w:val="000000"/>
                <w:sz w:val="16"/>
                <w:szCs w:val="16"/>
              </w:rPr>
              <w:t>41,198 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76F8" w14:textId="77777777" w:rsidR="00CC25B5" w:rsidRDefault="00CC25B5">
            <w:pPr>
              <w:jc w:val="right"/>
              <w:rPr>
                <w:rFonts w:ascii="宋体"/>
              </w:rPr>
            </w:pPr>
          </w:p>
        </w:tc>
      </w:tr>
    </w:tbl>
    <w:p w14:paraId="442F76FA" w14:textId="77777777" w:rsidR="00CC25B5" w:rsidRDefault="00900968">
      <w:pPr>
        <w:spacing w:before="240"/>
      </w:pPr>
      <w:r>
        <w:rPr>
          <w:rFonts w:ascii="Times New Roman" w:eastAsia="宋体" w:hAnsi="Times New Roman"/>
          <w:b/>
          <w:bCs/>
          <w:color w:val="000000"/>
          <w:sz w:val="20"/>
          <w:szCs w:val="20"/>
        </w:rPr>
        <w:t>Note 5. Fair Value Measurements</w:t>
      </w:r>
    </w:p>
    <w:p w14:paraId="442F76FB" w14:textId="77777777" w:rsidR="00CC25B5" w:rsidRDefault="00900968">
      <w:pPr>
        <w:spacing w:before="180"/>
      </w:pPr>
      <w:r>
        <w:rPr>
          <w:rFonts w:ascii="Times New Roman" w:eastAsia="宋体" w:hAnsi="Times New Roman"/>
          <w:color w:val="000000"/>
          <w:sz w:val="20"/>
          <w:szCs w:val="20"/>
        </w:rPr>
        <w:t xml:space="preserve">Assets and liabilities recorded at fair value are measured using the fair </w:t>
      </w:r>
      <w:r>
        <w:rPr>
          <w:rFonts w:ascii="Times New Roman" w:eastAsia="宋体" w:hAnsi="Times New Roman"/>
          <w:color w:val="000000"/>
          <w:sz w:val="20"/>
          <w:szCs w:val="20"/>
        </w:rPr>
        <w:t>value hierarchy, which prioritizes the inputs used in measuring fair value. The levels of the fair value hierarchy are:</w:t>
      </w:r>
    </w:p>
    <w:p w14:paraId="442F76FC" w14:textId="77777777" w:rsidR="00CC25B5" w:rsidRDefault="00900968">
      <w:pPr>
        <w:spacing w:before="100"/>
        <w:ind w:hanging="360"/>
      </w:pPr>
      <w:r>
        <w:rPr>
          <w:rFonts w:ascii="Times New Roman" w:eastAsia="宋体" w:hAnsi="Times New Roman"/>
          <w:color w:val="000000"/>
          <w:sz w:val="20"/>
          <w:szCs w:val="20"/>
        </w:rPr>
        <w:t>•Level 1: observable inputs such as quoted prices in active markets;</w:t>
      </w:r>
    </w:p>
    <w:p w14:paraId="442F76FD" w14:textId="77777777" w:rsidR="00CC25B5" w:rsidRDefault="00900968">
      <w:pPr>
        <w:spacing w:before="100"/>
        <w:ind w:hanging="360"/>
      </w:pPr>
      <w:r>
        <w:rPr>
          <w:rFonts w:ascii="Times New Roman" w:eastAsia="宋体" w:hAnsi="Times New Roman"/>
          <w:color w:val="000000"/>
          <w:sz w:val="20"/>
          <w:szCs w:val="20"/>
        </w:rPr>
        <w:t xml:space="preserve">•Level 2: inputs other than quoted prices in active markets </w:t>
      </w:r>
      <w:r>
        <w:rPr>
          <w:rFonts w:ascii="Times New Roman" w:eastAsia="宋体" w:hAnsi="Times New Roman"/>
          <w:color w:val="000000"/>
          <w:sz w:val="20"/>
          <w:szCs w:val="20"/>
        </w:rPr>
        <w:t>that are either directly or indirectly observable; and</w:t>
      </w:r>
    </w:p>
    <w:p w14:paraId="442F76FE" w14:textId="77777777" w:rsidR="00CC25B5" w:rsidRDefault="00900968">
      <w:pPr>
        <w:spacing w:before="100"/>
        <w:ind w:hanging="360"/>
      </w:pPr>
      <w:r>
        <w:rPr>
          <w:rFonts w:ascii="Times New Roman" w:eastAsia="宋体" w:hAnsi="Times New Roman"/>
          <w:color w:val="000000"/>
          <w:sz w:val="20"/>
          <w:szCs w:val="20"/>
        </w:rPr>
        <w:t>•Level 3: unobservable inputs for which little or no market data exists, therefore requiring the Company to develop its own assumptions.</w:t>
      </w:r>
    </w:p>
    <w:p w14:paraId="442F76FF" w14:textId="77777777" w:rsidR="00CC25B5" w:rsidRDefault="00900968">
      <w:pPr>
        <w:spacing w:before="100"/>
      </w:pPr>
      <w:r>
        <w:rPr>
          <w:rFonts w:ascii="Times New Roman" w:eastAsia="宋体" w:hAnsi="Times New Roman"/>
          <w:color w:val="000000"/>
          <w:sz w:val="20"/>
          <w:szCs w:val="20"/>
        </w:rPr>
        <w:t xml:space="preserve">As described in </w:t>
      </w:r>
      <w:hyperlink r:id="rId50" w:anchor="ie1710166881948a18c44f48eaa2dcf00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the Company measures the fair value of certain equity investments on a recurring basis in the accompanying Condensed Consolidated Balance Sheet</w:t>
      </w:r>
      <w:r>
        <w:rPr>
          <w:rFonts w:ascii="Times New Roman" w:eastAsia="宋体" w:hAnsi="Times New Roman"/>
          <w:color w:val="000000"/>
          <w:sz w:val="20"/>
          <w:szCs w:val="20"/>
        </w:rPr>
        <w:t>s. The fair value of the Company's equity investments measured on a recurring basis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65"/>
        <w:gridCol w:w="37"/>
        <w:gridCol w:w="36"/>
        <w:gridCol w:w="36"/>
        <w:gridCol w:w="36"/>
        <w:gridCol w:w="36"/>
        <w:gridCol w:w="36"/>
        <w:gridCol w:w="36"/>
        <w:gridCol w:w="36"/>
        <w:gridCol w:w="36"/>
        <w:gridCol w:w="36"/>
        <w:gridCol w:w="100"/>
        <w:gridCol w:w="877"/>
        <w:gridCol w:w="36"/>
        <w:gridCol w:w="36"/>
        <w:gridCol w:w="36"/>
        <w:gridCol w:w="36"/>
        <w:gridCol w:w="36"/>
        <w:gridCol w:w="100"/>
        <w:gridCol w:w="879"/>
        <w:gridCol w:w="36"/>
      </w:tblGrid>
      <w:tr w:rsidR="00CC25B5" w14:paraId="442F7716" w14:textId="77777777">
        <w:trPr>
          <w:jc w:val="center"/>
        </w:trPr>
        <w:tc>
          <w:tcPr>
            <w:tcW w:w="50" w:type="pct"/>
            <w:shd w:val="clear" w:color="auto" w:fill="auto"/>
            <w:vAlign w:val="bottom"/>
          </w:tcPr>
          <w:p w14:paraId="442F7700" w14:textId="77777777" w:rsidR="00CC25B5" w:rsidRDefault="00CC25B5">
            <w:pPr>
              <w:rPr>
                <w:rFonts w:ascii="宋体"/>
              </w:rPr>
            </w:pPr>
          </w:p>
        </w:tc>
        <w:tc>
          <w:tcPr>
            <w:tcW w:w="3614" w:type="pct"/>
            <w:shd w:val="clear" w:color="auto" w:fill="auto"/>
            <w:vAlign w:val="bottom"/>
          </w:tcPr>
          <w:p w14:paraId="442F7701" w14:textId="77777777" w:rsidR="00CC25B5" w:rsidRDefault="00CC25B5">
            <w:pPr>
              <w:rPr>
                <w:rFonts w:ascii="宋体"/>
              </w:rPr>
            </w:pPr>
          </w:p>
        </w:tc>
        <w:tc>
          <w:tcPr>
            <w:tcW w:w="5" w:type="pct"/>
            <w:shd w:val="clear" w:color="auto" w:fill="auto"/>
            <w:vAlign w:val="bottom"/>
          </w:tcPr>
          <w:p w14:paraId="442F7702" w14:textId="77777777" w:rsidR="00CC25B5" w:rsidRDefault="00CC25B5">
            <w:pPr>
              <w:rPr>
                <w:rFonts w:ascii="宋体"/>
              </w:rPr>
            </w:pPr>
          </w:p>
        </w:tc>
        <w:tc>
          <w:tcPr>
            <w:tcW w:w="0" w:type="auto"/>
            <w:shd w:val="clear" w:color="auto" w:fill="auto"/>
            <w:vAlign w:val="bottom"/>
          </w:tcPr>
          <w:p w14:paraId="442F7703" w14:textId="77777777" w:rsidR="00CC25B5" w:rsidRDefault="00CC25B5">
            <w:pPr>
              <w:rPr>
                <w:rFonts w:ascii="宋体"/>
                <w:vanish/>
              </w:rPr>
            </w:pPr>
          </w:p>
        </w:tc>
        <w:tc>
          <w:tcPr>
            <w:tcW w:w="0" w:type="auto"/>
            <w:shd w:val="clear" w:color="auto" w:fill="auto"/>
            <w:vAlign w:val="bottom"/>
          </w:tcPr>
          <w:p w14:paraId="442F7704" w14:textId="77777777" w:rsidR="00CC25B5" w:rsidRDefault="00CC25B5">
            <w:pPr>
              <w:rPr>
                <w:rFonts w:ascii="宋体"/>
                <w:vanish/>
              </w:rPr>
            </w:pPr>
          </w:p>
        </w:tc>
        <w:tc>
          <w:tcPr>
            <w:tcW w:w="0" w:type="auto"/>
            <w:shd w:val="clear" w:color="auto" w:fill="auto"/>
            <w:vAlign w:val="bottom"/>
          </w:tcPr>
          <w:p w14:paraId="442F7705" w14:textId="77777777" w:rsidR="00CC25B5" w:rsidRDefault="00CC25B5">
            <w:pPr>
              <w:rPr>
                <w:rFonts w:ascii="宋体"/>
                <w:vanish/>
              </w:rPr>
            </w:pPr>
          </w:p>
        </w:tc>
        <w:tc>
          <w:tcPr>
            <w:tcW w:w="0" w:type="auto"/>
            <w:shd w:val="clear" w:color="auto" w:fill="auto"/>
            <w:vAlign w:val="bottom"/>
          </w:tcPr>
          <w:p w14:paraId="442F7706" w14:textId="77777777" w:rsidR="00CC25B5" w:rsidRDefault="00CC25B5">
            <w:pPr>
              <w:rPr>
                <w:rFonts w:ascii="宋体"/>
                <w:vanish/>
              </w:rPr>
            </w:pPr>
          </w:p>
        </w:tc>
        <w:tc>
          <w:tcPr>
            <w:tcW w:w="0" w:type="auto"/>
            <w:shd w:val="clear" w:color="auto" w:fill="auto"/>
            <w:vAlign w:val="bottom"/>
          </w:tcPr>
          <w:p w14:paraId="442F7707" w14:textId="77777777" w:rsidR="00CC25B5" w:rsidRDefault="00CC25B5">
            <w:pPr>
              <w:rPr>
                <w:rFonts w:ascii="宋体"/>
                <w:vanish/>
              </w:rPr>
            </w:pPr>
          </w:p>
        </w:tc>
        <w:tc>
          <w:tcPr>
            <w:tcW w:w="0" w:type="auto"/>
            <w:shd w:val="clear" w:color="auto" w:fill="auto"/>
            <w:vAlign w:val="bottom"/>
          </w:tcPr>
          <w:p w14:paraId="442F7708" w14:textId="77777777" w:rsidR="00CC25B5" w:rsidRDefault="00CC25B5">
            <w:pPr>
              <w:rPr>
                <w:rFonts w:ascii="宋体"/>
                <w:vanish/>
              </w:rPr>
            </w:pPr>
          </w:p>
        </w:tc>
        <w:tc>
          <w:tcPr>
            <w:tcW w:w="5" w:type="pct"/>
            <w:shd w:val="clear" w:color="auto" w:fill="auto"/>
            <w:vAlign w:val="bottom"/>
          </w:tcPr>
          <w:p w14:paraId="442F7709" w14:textId="77777777" w:rsidR="00CC25B5" w:rsidRDefault="00CC25B5">
            <w:pPr>
              <w:rPr>
                <w:rFonts w:ascii="宋体"/>
              </w:rPr>
            </w:pPr>
          </w:p>
        </w:tc>
        <w:tc>
          <w:tcPr>
            <w:tcW w:w="19" w:type="pct"/>
            <w:shd w:val="clear" w:color="auto" w:fill="auto"/>
            <w:vAlign w:val="bottom"/>
          </w:tcPr>
          <w:p w14:paraId="442F770A" w14:textId="77777777" w:rsidR="00CC25B5" w:rsidRDefault="00CC25B5">
            <w:pPr>
              <w:rPr>
                <w:rFonts w:ascii="宋体"/>
              </w:rPr>
            </w:pPr>
          </w:p>
        </w:tc>
        <w:tc>
          <w:tcPr>
            <w:tcW w:w="5" w:type="pct"/>
            <w:shd w:val="clear" w:color="auto" w:fill="auto"/>
            <w:vAlign w:val="bottom"/>
          </w:tcPr>
          <w:p w14:paraId="442F770B" w14:textId="77777777" w:rsidR="00CC25B5" w:rsidRDefault="00CC25B5">
            <w:pPr>
              <w:rPr>
                <w:rFonts w:ascii="宋体"/>
              </w:rPr>
            </w:pPr>
          </w:p>
        </w:tc>
        <w:tc>
          <w:tcPr>
            <w:tcW w:w="50" w:type="pct"/>
            <w:shd w:val="clear" w:color="auto" w:fill="auto"/>
            <w:vAlign w:val="bottom"/>
          </w:tcPr>
          <w:p w14:paraId="442F770C" w14:textId="77777777" w:rsidR="00CC25B5" w:rsidRDefault="00CC25B5">
            <w:pPr>
              <w:rPr>
                <w:rFonts w:ascii="宋体"/>
              </w:rPr>
            </w:pPr>
          </w:p>
        </w:tc>
        <w:tc>
          <w:tcPr>
            <w:tcW w:w="580" w:type="pct"/>
            <w:shd w:val="clear" w:color="auto" w:fill="auto"/>
            <w:vAlign w:val="bottom"/>
          </w:tcPr>
          <w:p w14:paraId="442F770D" w14:textId="77777777" w:rsidR="00CC25B5" w:rsidRDefault="00CC25B5">
            <w:pPr>
              <w:rPr>
                <w:rFonts w:ascii="宋体"/>
              </w:rPr>
            </w:pPr>
          </w:p>
        </w:tc>
        <w:tc>
          <w:tcPr>
            <w:tcW w:w="5" w:type="pct"/>
            <w:shd w:val="clear" w:color="auto" w:fill="auto"/>
            <w:vAlign w:val="bottom"/>
          </w:tcPr>
          <w:p w14:paraId="442F770E" w14:textId="77777777" w:rsidR="00CC25B5" w:rsidRDefault="00CC25B5">
            <w:pPr>
              <w:rPr>
                <w:rFonts w:ascii="宋体"/>
              </w:rPr>
            </w:pPr>
          </w:p>
        </w:tc>
        <w:tc>
          <w:tcPr>
            <w:tcW w:w="5" w:type="pct"/>
            <w:shd w:val="clear" w:color="auto" w:fill="auto"/>
            <w:vAlign w:val="bottom"/>
          </w:tcPr>
          <w:p w14:paraId="442F770F" w14:textId="77777777" w:rsidR="00CC25B5" w:rsidRDefault="00CC25B5">
            <w:pPr>
              <w:rPr>
                <w:rFonts w:ascii="宋体"/>
              </w:rPr>
            </w:pPr>
          </w:p>
        </w:tc>
        <w:tc>
          <w:tcPr>
            <w:tcW w:w="19" w:type="pct"/>
            <w:shd w:val="clear" w:color="auto" w:fill="auto"/>
            <w:vAlign w:val="bottom"/>
          </w:tcPr>
          <w:p w14:paraId="442F7710" w14:textId="77777777" w:rsidR="00CC25B5" w:rsidRDefault="00CC25B5">
            <w:pPr>
              <w:rPr>
                <w:rFonts w:ascii="宋体"/>
              </w:rPr>
            </w:pPr>
          </w:p>
        </w:tc>
        <w:tc>
          <w:tcPr>
            <w:tcW w:w="5" w:type="pct"/>
            <w:shd w:val="clear" w:color="auto" w:fill="auto"/>
            <w:vAlign w:val="bottom"/>
          </w:tcPr>
          <w:p w14:paraId="442F7711" w14:textId="77777777" w:rsidR="00CC25B5" w:rsidRDefault="00CC25B5">
            <w:pPr>
              <w:rPr>
                <w:rFonts w:ascii="宋体"/>
              </w:rPr>
            </w:pPr>
          </w:p>
        </w:tc>
        <w:tc>
          <w:tcPr>
            <w:tcW w:w="0" w:type="auto"/>
            <w:shd w:val="clear" w:color="auto" w:fill="auto"/>
            <w:vAlign w:val="bottom"/>
          </w:tcPr>
          <w:p w14:paraId="442F7712" w14:textId="77777777" w:rsidR="00CC25B5" w:rsidRDefault="00CC25B5">
            <w:pPr>
              <w:rPr>
                <w:rFonts w:ascii="宋体"/>
                <w:vanish/>
              </w:rPr>
            </w:pPr>
          </w:p>
        </w:tc>
        <w:tc>
          <w:tcPr>
            <w:tcW w:w="50" w:type="pct"/>
            <w:shd w:val="clear" w:color="auto" w:fill="auto"/>
            <w:vAlign w:val="bottom"/>
          </w:tcPr>
          <w:p w14:paraId="442F7713" w14:textId="77777777" w:rsidR="00CC25B5" w:rsidRDefault="00CC25B5">
            <w:pPr>
              <w:rPr>
                <w:rFonts w:ascii="宋体"/>
              </w:rPr>
            </w:pPr>
          </w:p>
        </w:tc>
        <w:tc>
          <w:tcPr>
            <w:tcW w:w="581" w:type="pct"/>
            <w:shd w:val="clear" w:color="auto" w:fill="auto"/>
            <w:vAlign w:val="bottom"/>
          </w:tcPr>
          <w:p w14:paraId="442F7714" w14:textId="77777777" w:rsidR="00CC25B5" w:rsidRDefault="00CC25B5">
            <w:pPr>
              <w:rPr>
                <w:rFonts w:ascii="宋体"/>
              </w:rPr>
            </w:pPr>
          </w:p>
        </w:tc>
        <w:tc>
          <w:tcPr>
            <w:tcW w:w="5" w:type="pct"/>
            <w:shd w:val="clear" w:color="auto" w:fill="auto"/>
            <w:vAlign w:val="bottom"/>
          </w:tcPr>
          <w:p w14:paraId="442F7715" w14:textId="77777777" w:rsidR="00CC25B5" w:rsidRDefault="00CC25B5">
            <w:pPr>
              <w:rPr>
                <w:rFonts w:ascii="宋体"/>
              </w:rPr>
            </w:pPr>
          </w:p>
        </w:tc>
      </w:tr>
      <w:tr w:rsidR="00CC25B5" w14:paraId="442F7723" w14:textId="77777777">
        <w:trPr>
          <w:jc w:val="center"/>
        </w:trPr>
        <w:tc>
          <w:tcPr>
            <w:tcW w:w="0" w:type="auto"/>
            <w:gridSpan w:val="3"/>
            <w:shd w:val="clear" w:color="auto" w:fill="auto"/>
            <w:tcMar>
              <w:top w:w="40" w:type="dxa"/>
              <w:left w:w="20" w:type="dxa"/>
              <w:bottom w:w="40" w:type="dxa"/>
              <w:right w:w="20" w:type="dxa"/>
            </w:tcMar>
            <w:vAlign w:val="bottom"/>
          </w:tcPr>
          <w:p w14:paraId="442F7717"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shd w:val="clear" w:color="auto" w:fill="auto"/>
            <w:vAlign w:val="bottom"/>
          </w:tcPr>
          <w:p w14:paraId="442F7718" w14:textId="77777777" w:rsidR="00CC25B5" w:rsidRDefault="00CC25B5">
            <w:pPr>
              <w:rPr>
                <w:rFonts w:ascii="宋体"/>
                <w:vanish/>
              </w:rPr>
            </w:pPr>
          </w:p>
        </w:tc>
        <w:tc>
          <w:tcPr>
            <w:tcW w:w="0" w:type="auto"/>
            <w:shd w:val="clear" w:color="auto" w:fill="auto"/>
            <w:vAlign w:val="bottom"/>
          </w:tcPr>
          <w:p w14:paraId="442F7719" w14:textId="77777777" w:rsidR="00CC25B5" w:rsidRDefault="00CC25B5">
            <w:pPr>
              <w:rPr>
                <w:rFonts w:ascii="宋体"/>
                <w:vanish/>
              </w:rPr>
            </w:pPr>
          </w:p>
        </w:tc>
        <w:tc>
          <w:tcPr>
            <w:tcW w:w="0" w:type="auto"/>
            <w:shd w:val="clear" w:color="auto" w:fill="auto"/>
            <w:vAlign w:val="bottom"/>
          </w:tcPr>
          <w:p w14:paraId="442F771A" w14:textId="77777777" w:rsidR="00CC25B5" w:rsidRDefault="00CC25B5">
            <w:pPr>
              <w:rPr>
                <w:rFonts w:ascii="宋体"/>
                <w:vanish/>
              </w:rPr>
            </w:pPr>
          </w:p>
        </w:tc>
        <w:tc>
          <w:tcPr>
            <w:tcW w:w="0" w:type="auto"/>
            <w:shd w:val="clear" w:color="auto" w:fill="auto"/>
            <w:vAlign w:val="bottom"/>
          </w:tcPr>
          <w:p w14:paraId="442F771B" w14:textId="77777777" w:rsidR="00CC25B5" w:rsidRDefault="00CC25B5">
            <w:pPr>
              <w:rPr>
                <w:rFonts w:ascii="宋体"/>
                <w:vanish/>
              </w:rPr>
            </w:pPr>
          </w:p>
        </w:tc>
        <w:tc>
          <w:tcPr>
            <w:tcW w:w="0" w:type="auto"/>
            <w:shd w:val="clear" w:color="auto" w:fill="auto"/>
            <w:vAlign w:val="bottom"/>
          </w:tcPr>
          <w:p w14:paraId="442F771C" w14:textId="77777777" w:rsidR="00CC25B5" w:rsidRDefault="00CC25B5">
            <w:pPr>
              <w:rPr>
                <w:rFonts w:ascii="宋体"/>
                <w:vanish/>
              </w:rPr>
            </w:pPr>
          </w:p>
        </w:tc>
        <w:tc>
          <w:tcPr>
            <w:tcW w:w="0" w:type="auto"/>
            <w:shd w:val="clear" w:color="auto" w:fill="auto"/>
            <w:vAlign w:val="bottom"/>
          </w:tcPr>
          <w:p w14:paraId="442F771D" w14:textId="77777777" w:rsidR="00CC25B5" w:rsidRDefault="00CC25B5">
            <w:pPr>
              <w:rPr>
                <w:rFonts w:ascii="宋体"/>
                <w:vanish/>
              </w:rPr>
            </w:pPr>
          </w:p>
        </w:tc>
        <w:tc>
          <w:tcPr>
            <w:tcW w:w="0" w:type="auto"/>
            <w:gridSpan w:val="3"/>
            <w:shd w:val="clear" w:color="auto" w:fill="auto"/>
            <w:tcMar>
              <w:top w:w="0" w:type="dxa"/>
              <w:left w:w="20" w:type="dxa"/>
              <w:bottom w:w="0" w:type="dxa"/>
              <w:right w:w="20" w:type="dxa"/>
            </w:tcMar>
            <w:vAlign w:val="bottom"/>
          </w:tcPr>
          <w:p w14:paraId="442F771E"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71F" w14:textId="77777777" w:rsidR="00CC25B5" w:rsidRDefault="00900968">
            <w:pPr>
              <w:jc w:val="center"/>
              <w:textAlignment w:val="bottom"/>
            </w:pPr>
            <w:r>
              <w:rPr>
                <w:rFonts w:ascii="Times New Roman" w:eastAsia="宋体" w:hAnsi="Times New Roman"/>
                <w:b/>
                <w:bCs/>
                <w:color w:val="000000"/>
                <w:sz w:val="16"/>
                <w:szCs w:val="16"/>
              </w:rPr>
              <w:t>Fair Value as of July 31, 2021</w:t>
            </w:r>
          </w:p>
        </w:tc>
        <w:tc>
          <w:tcPr>
            <w:tcW w:w="0" w:type="auto"/>
            <w:gridSpan w:val="3"/>
            <w:shd w:val="clear" w:color="auto" w:fill="auto"/>
            <w:tcMar>
              <w:top w:w="0" w:type="dxa"/>
              <w:left w:w="20" w:type="dxa"/>
              <w:bottom w:w="0" w:type="dxa"/>
              <w:right w:w="20" w:type="dxa"/>
            </w:tcMar>
            <w:vAlign w:val="bottom"/>
          </w:tcPr>
          <w:p w14:paraId="442F7720" w14:textId="77777777" w:rsidR="00CC25B5" w:rsidRDefault="00CC25B5">
            <w:pPr>
              <w:rPr>
                <w:rFonts w:ascii="宋体"/>
              </w:rPr>
            </w:pPr>
          </w:p>
        </w:tc>
        <w:tc>
          <w:tcPr>
            <w:tcW w:w="0" w:type="auto"/>
            <w:shd w:val="clear" w:color="auto" w:fill="auto"/>
            <w:vAlign w:val="bottom"/>
          </w:tcPr>
          <w:p w14:paraId="442F7721" w14:textId="77777777" w:rsidR="00CC25B5" w:rsidRDefault="00CC25B5">
            <w:pPr>
              <w:rPr>
                <w:rFonts w:ascii="宋体"/>
                <w:vanish/>
              </w:rPr>
            </w:pPr>
          </w:p>
        </w:tc>
        <w:tc>
          <w:tcPr>
            <w:tcW w:w="0" w:type="auto"/>
            <w:gridSpan w:val="3"/>
            <w:shd w:val="clear" w:color="auto" w:fill="auto"/>
            <w:tcMar>
              <w:top w:w="40" w:type="dxa"/>
              <w:left w:w="20" w:type="dxa"/>
              <w:bottom w:w="40" w:type="dxa"/>
              <w:right w:w="20" w:type="dxa"/>
            </w:tcMar>
            <w:vAlign w:val="bottom"/>
          </w:tcPr>
          <w:p w14:paraId="442F7722" w14:textId="77777777" w:rsidR="00CC25B5" w:rsidRDefault="00900968">
            <w:pPr>
              <w:jc w:val="center"/>
              <w:textAlignment w:val="bottom"/>
            </w:pPr>
            <w:r>
              <w:rPr>
                <w:rFonts w:ascii="Times New Roman" w:eastAsia="宋体" w:hAnsi="Times New Roman"/>
                <w:b/>
                <w:bCs/>
                <w:color w:val="000000"/>
                <w:sz w:val="16"/>
                <w:szCs w:val="16"/>
              </w:rPr>
              <w:t>Fair Value as of January 31, 2021</w:t>
            </w:r>
          </w:p>
        </w:tc>
      </w:tr>
      <w:tr w:rsidR="00CC25B5" w14:paraId="442F7734" w14:textId="77777777">
        <w:trPr>
          <w:jc w:val="center"/>
        </w:trPr>
        <w:tc>
          <w:tcPr>
            <w:tcW w:w="0" w:type="auto"/>
            <w:gridSpan w:val="3"/>
            <w:shd w:val="clear" w:color="auto" w:fill="CCEEFF"/>
            <w:tcMar>
              <w:top w:w="40" w:type="dxa"/>
              <w:left w:w="20" w:type="dxa"/>
              <w:bottom w:w="40" w:type="dxa"/>
              <w:right w:w="20" w:type="dxa"/>
            </w:tcMar>
            <w:vAlign w:val="bottom"/>
          </w:tcPr>
          <w:p w14:paraId="442F7724" w14:textId="77777777" w:rsidR="00CC25B5" w:rsidRDefault="00900968">
            <w:pPr>
              <w:textAlignment w:val="bottom"/>
            </w:pPr>
            <w:r>
              <w:rPr>
                <w:rFonts w:ascii="Times New Roman" w:eastAsia="宋体" w:hAnsi="Times New Roman"/>
                <w:color w:val="000000"/>
                <w:sz w:val="16"/>
                <w:szCs w:val="16"/>
              </w:rPr>
              <w:t xml:space="preserve">Equity investments measured </w:t>
            </w:r>
            <w:r>
              <w:rPr>
                <w:rFonts w:ascii="Times New Roman" w:eastAsia="宋体" w:hAnsi="Times New Roman"/>
                <w:color w:val="000000"/>
                <w:sz w:val="16"/>
                <w:szCs w:val="16"/>
              </w:rPr>
              <w:t>using Level 1 inputs</w:t>
            </w:r>
          </w:p>
        </w:tc>
        <w:tc>
          <w:tcPr>
            <w:tcW w:w="0" w:type="auto"/>
            <w:shd w:val="clear" w:color="auto" w:fill="auto"/>
            <w:vAlign w:val="bottom"/>
          </w:tcPr>
          <w:p w14:paraId="442F7725" w14:textId="77777777" w:rsidR="00CC25B5" w:rsidRDefault="00CC25B5">
            <w:pPr>
              <w:rPr>
                <w:rFonts w:ascii="宋体"/>
                <w:vanish/>
              </w:rPr>
            </w:pPr>
          </w:p>
        </w:tc>
        <w:tc>
          <w:tcPr>
            <w:tcW w:w="0" w:type="auto"/>
            <w:shd w:val="clear" w:color="auto" w:fill="auto"/>
            <w:vAlign w:val="bottom"/>
          </w:tcPr>
          <w:p w14:paraId="442F7726" w14:textId="77777777" w:rsidR="00CC25B5" w:rsidRDefault="00CC25B5">
            <w:pPr>
              <w:rPr>
                <w:rFonts w:ascii="宋体"/>
                <w:vanish/>
              </w:rPr>
            </w:pPr>
          </w:p>
        </w:tc>
        <w:tc>
          <w:tcPr>
            <w:tcW w:w="0" w:type="auto"/>
            <w:shd w:val="clear" w:color="auto" w:fill="auto"/>
            <w:vAlign w:val="bottom"/>
          </w:tcPr>
          <w:p w14:paraId="442F7727" w14:textId="77777777" w:rsidR="00CC25B5" w:rsidRDefault="00CC25B5">
            <w:pPr>
              <w:rPr>
                <w:rFonts w:ascii="宋体"/>
                <w:vanish/>
              </w:rPr>
            </w:pPr>
          </w:p>
        </w:tc>
        <w:tc>
          <w:tcPr>
            <w:tcW w:w="0" w:type="auto"/>
            <w:shd w:val="clear" w:color="auto" w:fill="auto"/>
            <w:vAlign w:val="bottom"/>
          </w:tcPr>
          <w:p w14:paraId="442F7728" w14:textId="77777777" w:rsidR="00CC25B5" w:rsidRDefault="00CC25B5">
            <w:pPr>
              <w:rPr>
                <w:rFonts w:ascii="宋体"/>
                <w:vanish/>
              </w:rPr>
            </w:pPr>
          </w:p>
        </w:tc>
        <w:tc>
          <w:tcPr>
            <w:tcW w:w="0" w:type="auto"/>
            <w:shd w:val="clear" w:color="auto" w:fill="auto"/>
            <w:vAlign w:val="bottom"/>
          </w:tcPr>
          <w:p w14:paraId="442F7729" w14:textId="77777777" w:rsidR="00CC25B5" w:rsidRDefault="00CC25B5">
            <w:pPr>
              <w:rPr>
                <w:rFonts w:ascii="宋体"/>
                <w:vanish/>
              </w:rPr>
            </w:pPr>
          </w:p>
        </w:tc>
        <w:tc>
          <w:tcPr>
            <w:tcW w:w="0" w:type="auto"/>
            <w:shd w:val="clear" w:color="auto" w:fill="auto"/>
            <w:vAlign w:val="bottom"/>
          </w:tcPr>
          <w:p w14:paraId="442F772A" w14:textId="77777777" w:rsidR="00CC25B5" w:rsidRDefault="00CC25B5">
            <w:pPr>
              <w:rPr>
                <w:rFonts w:ascii="宋体"/>
                <w:vanish/>
              </w:rPr>
            </w:pPr>
          </w:p>
        </w:tc>
        <w:tc>
          <w:tcPr>
            <w:tcW w:w="0" w:type="auto"/>
            <w:gridSpan w:val="3"/>
            <w:shd w:val="clear" w:color="auto" w:fill="CCEEFF"/>
            <w:tcMar>
              <w:top w:w="0" w:type="dxa"/>
              <w:left w:w="20" w:type="dxa"/>
              <w:bottom w:w="0" w:type="dxa"/>
              <w:right w:w="20" w:type="dxa"/>
            </w:tcMar>
            <w:vAlign w:val="bottom"/>
          </w:tcPr>
          <w:p w14:paraId="442F772B"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72C"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72D" w14:textId="77777777" w:rsidR="00CC25B5" w:rsidRDefault="00900968">
            <w:pPr>
              <w:jc w:val="right"/>
              <w:textAlignment w:val="bottom"/>
            </w:pPr>
            <w:r>
              <w:rPr>
                <w:rFonts w:ascii="Times New Roman" w:eastAsia="宋体" w:hAnsi="Times New Roman"/>
                <w:color w:val="000000"/>
                <w:sz w:val="16"/>
                <w:szCs w:val="16"/>
              </w:rPr>
              <w:t>5,567 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72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72F" w14:textId="77777777" w:rsidR="00CC25B5" w:rsidRDefault="00CC25B5">
            <w:pPr>
              <w:rPr>
                <w:rFonts w:ascii="宋体"/>
              </w:rPr>
            </w:pPr>
          </w:p>
        </w:tc>
        <w:tc>
          <w:tcPr>
            <w:tcW w:w="0" w:type="auto"/>
            <w:shd w:val="clear" w:color="auto" w:fill="auto"/>
            <w:vAlign w:val="bottom"/>
          </w:tcPr>
          <w:p w14:paraId="442F7730" w14:textId="77777777" w:rsidR="00CC25B5" w:rsidRDefault="00CC25B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731"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732" w14:textId="77777777" w:rsidR="00CC25B5" w:rsidRDefault="00900968">
            <w:pPr>
              <w:jc w:val="right"/>
              <w:textAlignment w:val="bottom"/>
            </w:pPr>
            <w:r>
              <w:rPr>
                <w:rFonts w:ascii="Times New Roman" w:eastAsia="宋体" w:hAnsi="Times New Roman"/>
                <w:color w:val="000000"/>
                <w:sz w:val="16"/>
                <w:szCs w:val="16"/>
              </w:rPr>
              <w:t>6,517 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733" w14:textId="77777777" w:rsidR="00CC25B5" w:rsidRDefault="00CC25B5">
            <w:pPr>
              <w:jc w:val="right"/>
              <w:rPr>
                <w:rFonts w:ascii="宋体"/>
              </w:rPr>
            </w:pPr>
          </w:p>
        </w:tc>
      </w:tr>
      <w:tr w:rsidR="00CC25B5" w14:paraId="442F7743" w14:textId="77777777">
        <w:trPr>
          <w:jc w:val="center"/>
        </w:trPr>
        <w:tc>
          <w:tcPr>
            <w:tcW w:w="0" w:type="auto"/>
            <w:gridSpan w:val="3"/>
            <w:shd w:val="clear" w:color="auto" w:fill="FFFFFF"/>
            <w:tcMar>
              <w:top w:w="40" w:type="dxa"/>
              <w:left w:w="20" w:type="dxa"/>
              <w:bottom w:w="40" w:type="dxa"/>
              <w:right w:w="20" w:type="dxa"/>
            </w:tcMar>
            <w:vAlign w:val="bottom"/>
          </w:tcPr>
          <w:p w14:paraId="442F7735" w14:textId="77777777" w:rsidR="00CC25B5" w:rsidRDefault="00900968">
            <w:pPr>
              <w:textAlignment w:val="bottom"/>
            </w:pPr>
            <w:r>
              <w:rPr>
                <w:rFonts w:ascii="Times New Roman" w:eastAsia="宋体" w:hAnsi="Times New Roman"/>
                <w:color w:val="000000"/>
                <w:sz w:val="16"/>
                <w:szCs w:val="16"/>
              </w:rPr>
              <w:t>Equity investments measured using Level 2 inputs</w:t>
            </w:r>
          </w:p>
        </w:tc>
        <w:tc>
          <w:tcPr>
            <w:tcW w:w="0" w:type="auto"/>
            <w:shd w:val="clear" w:color="auto" w:fill="auto"/>
            <w:vAlign w:val="bottom"/>
          </w:tcPr>
          <w:p w14:paraId="442F7736" w14:textId="77777777" w:rsidR="00CC25B5" w:rsidRDefault="00CC25B5">
            <w:pPr>
              <w:rPr>
                <w:rFonts w:ascii="宋体"/>
                <w:vanish/>
              </w:rPr>
            </w:pPr>
          </w:p>
        </w:tc>
        <w:tc>
          <w:tcPr>
            <w:tcW w:w="0" w:type="auto"/>
            <w:shd w:val="clear" w:color="auto" w:fill="auto"/>
            <w:vAlign w:val="bottom"/>
          </w:tcPr>
          <w:p w14:paraId="442F7737" w14:textId="77777777" w:rsidR="00CC25B5" w:rsidRDefault="00CC25B5">
            <w:pPr>
              <w:rPr>
                <w:rFonts w:ascii="宋体"/>
                <w:vanish/>
              </w:rPr>
            </w:pPr>
          </w:p>
        </w:tc>
        <w:tc>
          <w:tcPr>
            <w:tcW w:w="0" w:type="auto"/>
            <w:shd w:val="clear" w:color="auto" w:fill="auto"/>
            <w:vAlign w:val="bottom"/>
          </w:tcPr>
          <w:p w14:paraId="442F7738" w14:textId="77777777" w:rsidR="00CC25B5" w:rsidRDefault="00CC25B5">
            <w:pPr>
              <w:rPr>
                <w:rFonts w:ascii="宋体"/>
                <w:vanish/>
              </w:rPr>
            </w:pPr>
          </w:p>
        </w:tc>
        <w:tc>
          <w:tcPr>
            <w:tcW w:w="0" w:type="auto"/>
            <w:shd w:val="clear" w:color="auto" w:fill="auto"/>
            <w:vAlign w:val="bottom"/>
          </w:tcPr>
          <w:p w14:paraId="442F7739" w14:textId="77777777" w:rsidR="00CC25B5" w:rsidRDefault="00CC25B5">
            <w:pPr>
              <w:rPr>
                <w:rFonts w:ascii="宋体"/>
                <w:vanish/>
              </w:rPr>
            </w:pPr>
          </w:p>
        </w:tc>
        <w:tc>
          <w:tcPr>
            <w:tcW w:w="0" w:type="auto"/>
            <w:shd w:val="clear" w:color="auto" w:fill="auto"/>
            <w:vAlign w:val="bottom"/>
          </w:tcPr>
          <w:p w14:paraId="442F773A" w14:textId="77777777" w:rsidR="00CC25B5" w:rsidRDefault="00CC25B5">
            <w:pPr>
              <w:rPr>
                <w:rFonts w:ascii="宋体"/>
                <w:vanish/>
              </w:rPr>
            </w:pPr>
          </w:p>
        </w:tc>
        <w:tc>
          <w:tcPr>
            <w:tcW w:w="0" w:type="auto"/>
            <w:shd w:val="clear" w:color="auto" w:fill="auto"/>
            <w:vAlign w:val="bottom"/>
          </w:tcPr>
          <w:p w14:paraId="442F773B" w14:textId="77777777" w:rsidR="00CC25B5" w:rsidRDefault="00CC25B5">
            <w:pPr>
              <w:rPr>
                <w:rFonts w:ascii="宋体"/>
                <w:vanish/>
              </w:rPr>
            </w:pPr>
          </w:p>
        </w:tc>
        <w:tc>
          <w:tcPr>
            <w:tcW w:w="0" w:type="auto"/>
            <w:gridSpan w:val="3"/>
            <w:shd w:val="clear" w:color="auto" w:fill="FFFFFF"/>
            <w:tcMar>
              <w:top w:w="0" w:type="dxa"/>
              <w:left w:w="20" w:type="dxa"/>
              <w:bottom w:w="0" w:type="dxa"/>
              <w:right w:w="20" w:type="dxa"/>
            </w:tcMar>
            <w:vAlign w:val="bottom"/>
          </w:tcPr>
          <w:p w14:paraId="442F773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73D" w14:textId="77777777" w:rsidR="00CC25B5" w:rsidRDefault="00900968">
            <w:pPr>
              <w:jc w:val="right"/>
              <w:textAlignment w:val="bottom"/>
            </w:pPr>
            <w:r>
              <w:rPr>
                <w:rFonts w:ascii="Times New Roman" w:eastAsia="宋体" w:hAnsi="Times New Roman"/>
                <w:color w:val="000000"/>
                <w:sz w:val="16"/>
                <w:szCs w:val="16"/>
              </w:rPr>
              <w:t>5,730 </w:t>
            </w:r>
          </w:p>
        </w:tc>
        <w:tc>
          <w:tcPr>
            <w:tcW w:w="0" w:type="auto"/>
            <w:shd w:val="clear" w:color="auto" w:fill="FFFFFF"/>
            <w:tcMar>
              <w:top w:w="40" w:type="dxa"/>
              <w:left w:w="0" w:type="dxa"/>
              <w:bottom w:w="40" w:type="dxa"/>
              <w:right w:w="20" w:type="dxa"/>
            </w:tcMar>
            <w:vAlign w:val="bottom"/>
          </w:tcPr>
          <w:p w14:paraId="442F773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3F" w14:textId="77777777" w:rsidR="00CC25B5" w:rsidRDefault="00CC25B5">
            <w:pPr>
              <w:rPr>
                <w:rFonts w:ascii="宋体"/>
              </w:rPr>
            </w:pPr>
          </w:p>
        </w:tc>
        <w:tc>
          <w:tcPr>
            <w:tcW w:w="0" w:type="auto"/>
            <w:shd w:val="clear" w:color="auto" w:fill="auto"/>
            <w:vAlign w:val="bottom"/>
          </w:tcPr>
          <w:p w14:paraId="442F7740" w14:textId="77777777" w:rsidR="00CC25B5" w:rsidRDefault="00CC25B5">
            <w:pPr>
              <w:rPr>
                <w:rFonts w:ascii="宋体"/>
                <w:vanish/>
              </w:rPr>
            </w:pPr>
          </w:p>
        </w:tc>
        <w:tc>
          <w:tcPr>
            <w:tcW w:w="0" w:type="auto"/>
            <w:gridSpan w:val="2"/>
            <w:shd w:val="clear" w:color="auto" w:fill="FFFFFF"/>
            <w:tcMar>
              <w:top w:w="40" w:type="dxa"/>
              <w:left w:w="20" w:type="dxa"/>
              <w:bottom w:w="40" w:type="dxa"/>
              <w:right w:w="0" w:type="dxa"/>
            </w:tcMar>
            <w:vAlign w:val="bottom"/>
          </w:tcPr>
          <w:p w14:paraId="442F7741" w14:textId="77777777" w:rsidR="00CC25B5" w:rsidRDefault="00900968">
            <w:pPr>
              <w:jc w:val="right"/>
              <w:textAlignment w:val="bottom"/>
            </w:pPr>
            <w:r>
              <w:rPr>
                <w:rFonts w:ascii="Times New Roman" w:eastAsia="宋体" w:hAnsi="Times New Roman"/>
                <w:color w:val="000000"/>
                <w:sz w:val="16"/>
                <w:szCs w:val="16"/>
              </w:rPr>
              <w:t>7,905 </w:t>
            </w:r>
          </w:p>
        </w:tc>
        <w:tc>
          <w:tcPr>
            <w:tcW w:w="0" w:type="auto"/>
            <w:shd w:val="clear" w:color="auto" w:fill="FFFFFF"/>
            <w:tcMar>
              <w:top w:w="40" w:type="dxa"/>
              <w:left w:w="0" w:type="dxa"/>
              <w:bottom w:w="40" w:type="dxa"/>
              <w:right w:w="20" w:type="dxa"/>
            </w:tcMar>
            <w:vAlign w:val="bottom"/>
          </w:tcPr>
          <w:p w14:paraId="442F7742" w14:textId="77777777" w:rsidR="00CC25B5" w:rsidRDefault="00CC25B5">
            <w:pPr>
              <w:jc w:val="right"/>
              <w:rPr>
                <w:rFonts w:ascii="宋体"/>
              </w:rPr>
            </w:pPr>
          </w:p>
        </w:tc>
      </w:tr>
      <w:tr w:rsidR="00CC25B5" w14:paraId="442F7750" w14:textId="77777777">
        <w:trPr>
          <w:jc w:val="center"/>
          <w:hidden/>
        </w:trPr>
        <w:tc>
          <w:tcPr>
            <w:tcW w:w="0" w:type="auto"/>
            <w:gridSpan w:val="3"/>
            <w:shd w:val="clear" w:color="auto" w:fill="auto"/>
            <w:vAlign w:val="bottom"/>
          </w:tcPr>
          <w:p w14:paraId="442F7744" w14:textId="77777777" w:rsidR="00CC25B5" w:rsidRDefault="00CC25B5">
            <w:pPr>
              <w:rPr>
                <w:rFonts w:ascii="宋体"/>
                <w:vanish/>
              </w:rPr>
            </w:pPr>
          </w:p>
        </w:tc>
        <w:tc>
          <w:tcPr>
            <w:tcW w:w="0" w:type="auto"/>
            <w:shd w:val="clear" w:color="auto" w:fill="auto"/>
            <w:vAlign w:val="bottom"/>
          </w:tcPr>
          <w:p w14:paraId="442F7745" w14:textId="77777777" w:rsidR="00CC25B5" w:rsidRDefault="00CC25B5">
            <w:pPr>
              <w:rPr>
                <w:rFonts w:ascii="宋体"/>
                <w:vanish/>
              </w:rPr>
            </w:pPr>
          </w:p>
        </w:tc>
        <w:tc>
          <w:tcPr>
            <w:tcW w:w="0" w:type="auto"/>
            <w:shd w:val="clear" w:color="auto" w:fill="auto"/>
            <w:vAlign w:val="bottom"/>
          </w:tcPr>
          <w:p w14:paraId="442F7746" w14:textId="77777777" w:rsidR="00CC25B5" w:rsidRDefault="00CC25B5">
            <w:pPr>
              <w:rPr>
                <w:rFonts w:ascii="宋体"/>
                <w:vanish/>
              </w:rPr>
            </w:pPr>
          </w:p>
        </w:tc>
        <w:tc>
          <w:tcPr>
            <w:tcW w:w="0" w:type="auto"/>
            <w:shd w:val="clear" w:color="auto" w:fill="auto"/>
            <w:vAlign w:val="bottom"/>
          </w:tcPr>
          <w:p w14:paraId="442F7747" w14:textId="77777777" w:rsidR="00CC25B5" w:rsidRDefault="00CC25B5">
            <w:pPr>
              <w:rPr>
                <w:rFonts w:ascii="宋体"/>
                <w:vanish/>
              </w:rPr>
            </w:pPr>
          </w:p>
        </w:tc>
        <w:tc>
          <w:tcPr>
            <w:tcW w:w="0" w:type="auto"/>
            <w:shd w:val="clear" w:color="auto" w:fill="auto"/>
            <w:vAlign w:val="bottom"/>
          </w:tcPr>
          <w:p w14:paraId="442F7748" w14:textId="77777777" w:rsidR="00CC25B5" w:rsidRDefault="00CC25B5">
            <w:pPr>
              <w:rPr>
                <w:rFonts w:ascii="宋体"/>
                <w:vanish/>
              </w:rPr>
            </w:pPr>
          </w:p>
        </w:tc>
        <w:tc>
          <w:tcPr>
            <w:tcW w:w="0" w:type="auto"/>
            <w:shd w:val="clear" w:color="auto" w:fill="auto"/>
            <w:vAlign w:val="bottom"/>
          </w:tcPr>
          <w:p w14:paraId="442F7749" w14:textId="77777777" w:rsidR="00CC25B5" w:rsidRDefault="00CC25B5">
            <w:pPr>
              <w:rPr>
                <w:rFonts w:ascii="宋体"/>
                <w:vanish/>
              </w:rPr>
            </w:pPr>
          </w:p>
        </w:tc>
        <w:tc>
          <w:tcPr>
            <w:tcW w:w="0" w:type="auto"/>
            <w:shd w:val="clear" w:color="auto" w:fill="auto"/>
            <w:vAlign w:val="bottom"/>
          </w:tcPr>
          <w:p w14:paraId="442F774A" w14:textId="77777777" w:rsidR="00CC25B5" w:rsidRDefault="00CC25B5">
            <w:pPr>
              <w:rPr>
                <w:rFonts w:ascii="宋体"/>
                <w:vanish/>
              </w:rPr>
            </w:pPr>
          </w:p>
        </w:tc>
        <w:tc>
          <w:tcPr>
            <w:tcW w:w="0" w:type="auto"/>
            <w:gridSpan w:val="3"/>
            <w:shd w:val="clear" w:color="auto" w:fill="auto"/>
            <w:vAlign w:val="bottom"/>
          </w:tcPr>
          <w:p w14:paraId="442F774B" w14:textId="77777777" w:rsidR="00CC25B5" w:rsidRDefault="00CC25B5">
            <w:pPr>
              <w:rPr>
                <w:rFonts w:ascii="宋体"/>
                <w:vanish/>
              </w:rPr>
            </w:pPr>
          </w:p>
        </w:tc>
        <w:tc>
          <w:tcPr>
            <w:tcW w:w="0" w:type="auto"/>
            <w:gridSpan w:val="3"/>
            <w:shd w:val="clear" w:color="auto" w:fill="auto"/>
            <w:vAlign w:val="bottom"/>
          </w:tcPr>
          <w:p w14:paraId="442F774C" w14:textId="77777777" w:rsidR="00CC25B5" w:rsidRDefault="00CC25B5">
            <w:pPr>
              <w:rPr>
                <w:rFonts w:ascii="宋体"/>
                <w:vanish/>
              </w:rPr>
            </w:pPr>
          </w:p>
        </w:tc>
        <w:tc>
          <w:tcPr>
            <w:tcW w:w="0" w:type="auto"/>
            <w:gridSpan w:val="3"/>
            <w:shd w:val="clear" w:color="auto" w:fill="auto"/>
            <w:vAlign w:val="bottom"/>
          </w:tcPr>
          <w:p w14:paraId="442F774D" w14:textId="77777777" w:rsidR="00CC25B5" w:rsidRDefault="00CC25B5">
            <w:pPr>
              <w:rPr>
                <w:rFonts w:ascii="宋体"/>
                <w:vanish/>
              </w:rPr>
            </w:pPr>
          </w:p>
        </w:tc>
        <w:tc>
          <w:tcPr>
            <w:tcW w:w="0" w:type="auto"/>
            <w:shd w:val="clear" w:color="auto" w:fill="auto"/>
            <w:vAlign w:val="bottom"/>
          </w:tcPr>
          <w:p w14:paraId="442F774E" w14:textId="77777777" w:rsidR="00CC25B5" w:rsidRDefault="00CC25B5">
            <w:pPr>
              <w:rPr>
                <w:rFonts w:ascii="宋体"/>
                <w:vanish/>
              </w:rPr>
            </w:pPr>
          </w:p>
        </w:tc>
        <w:tc>
          <w:tcPr>
            <w:tcW w:w="0" w:type="auto"/>
            <w:gridSpan w:val="3"/>
            <w:shd w:val="clear" w:color="auto" w:fill="auto"/>
            <w:vAlign w:val="bottom"/>
          </w:tcPr>
          <w:p w14:paraId="442F774F" w14:textId="77777777" w:rsidR="00CC25B5" w:rsidRDefault="00CC25B5">
            <w:pPr>
              <w:rPr>
                <w:rFonts w:ascii="宋体"/>
                <w:vanish/>
              </w:rPr>
            </w:pPr>
          </w:p>
        </w:tc>
      </w:tr>
      <w:tr w:rsidR="00CC25B5" w14:paraId="442F7761" w14:textId="77777777">
        <w:trPr>
          <w:jc w:val="center"/>
        </w:trPr>
        <w:tc>
          <w:tcPr>
            <w:tcW w:w="0" w:type="auto"/>
            <w:gridSpan w:val="3"/>
            <w:shd w:val="clear" w:color="auto" w:fill="CCEEFF"/>
            <w:tcMar>
              <w:top w:w="40" w:type="dxa"/>
              <w:left w:w="20" w:type="dxa"/>
              <w:bottom w:w="40" w:type="dxa"/>
              <w:right w:w="20" w:type="dxa"/>
            </w:tcMar>
          </w:tcPr>
          <w:p w14:paraId="442F7751" w14:textId="77777777" w:rsidR="00CC25B5" w:rsidRDefault="00900968">
            <w:pPr>
              <w:textAlignment w:val="top"/>
            </w:pPr>
            <w:r>
              <w:rPr>
                <w:rFonts w:ascii="Times New Roman" w:eastAsia="宋体" w:hAnsi="Times New Roman"/>
                <w:b/>
                <w:bCs/>
                <w:color w:val="000000"/>
                <w:sz w:val="16"/>
                <w:szCs w:val="16"/>
              </w:rPr>
              <w:t>Total</w:t>
            </w:r>
          </w:p>
        </w:tc>
        <w:tc>
          <w:tcPr>
            <w:tcW w:w="0" w:type="auto"/>
            <w:shd w:val="clear" w:color="auto" w:fill="auto"/>
            <w:vAlign w:val="bottom"/>
          </w:tcPr>
          <w:p w14:paraId="442F7752" w14:textId="77777777" w:rsidR="00CC25B5" w:rsidRDefault="00CC25B5">
            <w:pPr>
              <w:rPr>
                <w:rFonts w:ascii="宋体"/>
                <w:vanish/>
              </w:rPr>
            </w:pPr>
          </w:p>
        </w:tc>
        <w:tc>
          <w:tcPr>
            <w:tcW w:w="0" w:type="auto"/>
            <w:shd w:val="clear" w:color="auto" w:fill="auto"/>
            <w:vAlign w:val="bottom"/>
          </w:tcPr>
          <w:p w14:paraId="442F7753" w14:textId="77777777" w:rsidR="00CC25B5" w:rsidRDefault="00CC25B5">
            <w:pPr>
              <w:rPr>
                <w:rFonts w:ascii="宋体"/>
                <w:vanish/>
              </w:rPr>
            </w:pPr>
          </w:p>
        </w:tc>
        <w:tc>
          <w:tcPr>
            <w:tcW w:w="0" w:type="auto"/>
            <w:shd w:val="clear" w:color="auto" w:fill="auto"/>
            <w:vAlign w:val="bottom"/>
          </w:tcPr>
          <w:p w14:paraId="442F7754" w14:textId="77777777" w:rsidR="00CC25B5" w:rsidRDefault="00CC25B5">
            <w:pPr>
              <w:rPr>
                <w:rFonts w:ascii="宋体"/>
                <w:vanish/>
              </w:rPr>
            </w:pPr>
          </w:p>
        </w:tc>
        <w:tc>
          <w:tcPr>
            <w:tcW w:w="0" w:type="auto"/>
            <w:shd w:val="clear" w:color="auto" w:fill="auto"/>
            <w:vAlign w:val="bottom"/>
          </w:tcPr>
          <w:p w14:paraId="442F7755" w14:textId="77777777" w:rsidR="00CC25B5" w:rsidRDefault="00CC25B5">
            <w:pPr>
              <w:rPr>
                <w:rFonts w:ascii="宋体"/>
                <w:vanish/>
              </w:rPr>
            </w:pPr>
          </w:p>
        </w:tc>
        <w:tc>
          <w:tcPr>
            <w:tcW w:w="0" w:type="auto"/>
            <w:shd w:val="clear" w:color="auto" w:fill="auto"/>
            <w:vAlign w:val="bottom"/>
          </w:tcPr>
          <w:p w14:paraId="442F7756" w14:textId="77777777" w:rsidR="00CC25B5" w:rsidRDefault="00CC25B5">
            <w:pPr>
              <w:rPr>
                <w:rFonts w:ascii="宋体"/>
                <w:vanish/>
              </w:rPr>
            </w:pPr>
          </w:p>
        </w:tc>
        <w:tc>
          <w:tcPr>
            <w:tcW w:w="0" w:type="auto"/>
            <w:shd w:val="clear" w:color="auto" w:fill="auto"/>
            <w:vAlign w:val="bottom"/>
          </w:tcPr>
          <w:p w14:paraId="442F7757" w14:textId="77777777" w:rsidR="00CC25B5" w:rsidRDefault="00CC25B5">
            <w:pPr>
              <w:rPr>
                <w:rFonts w:ascii="宋体"/>
                <w:vanish/>
              </w:rPr>
            </w:pPr>
          </w:p>
        </w:tc>
        <w:tc>
          <w:tcPr>
            <w:tcW w:w="0" w:type="auto"/>
            <w:gridSpan w:val="3"/>
            <w:shd w:val="clear" w:color="auto" w:fill="CCEEFF"/>
            <w:tcMar>
              <w:top w:w="0" w:type="dxa"/>
              <w:left w:w="20" w:type="dxa"/>
              <w:bottom w:w="0" w:type="dxa"/>
              <w:right w:w="20" w:type="dxa"/>
            </w:tcMar>
            <w:vAlign w:val="bottom"/>
          </w:tcPr>
          <w:p w14:paraId="442F7758"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759"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75A" w14:textId="77777777" w:rsidR="00CC25B5" w:rsidRDefault="00900968">
            <w:pPr>
              <w:jc w:val="right"/>
              <w:textAlignment w:val="bottom"/>
            </w:pPr>
            <w:r>
              <w:rPr>
                <w:rFonts w:ascii="Times New Roman" w:eastAsia="宋体" w:hAnsi="Times New Roman"/>
                <w:color w:val="000000"/>
                <w:sz w:val="16"/>
                <w:szCs w:val="16"/>
              </w:rPr>
              <w:t>11,297 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75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75C" w14:textId="77777777" w:rsidR="00CC25B5" w:rsidRDefault="00CC25B5">
            <w:pPr>
              <w:rPr>
                <w:rFonts w:ascii="宋体"/>
              </w:rPr>
            </w:pPr>
          </w:p>
        </w:tc>
        <w:tc>
          <w:tcPr>
            <w:tcW w:w="0" w:type="auto"/>
            <w:shd w:val="clear" w:color="auto" w:fill="auto"/>
            <w:vAlign w:val="bottom"/>
          </w:tcPr>
          <w:p w14:paraId="442F775D" w14:textId="77777777" w:rsidR="00CC25B5" w:rsidRDefault="00CC25B5">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75E"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75F" w14:textId="77777777" w:rsidR="00CC25B5" w:rsidRDefault="00900968">
            <w:pPr>
              <w:jc w:val="right"/>
              <w:textAlignment w:val="bottom"/>
            </w:pPr>
            <w:r>
              <w:rPr>
                <w:rFonts w:ascii="Times New Roman" w:eastAsia="宋体" w:hAnsi="Times New Roman"/>
                <w:color w:val="000000"/>
                <w:sz w:val="16"/>
                <w:szCs w:val="16"/>
              </w:rPr>
              <w:t>14,422 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760" w14:textId="77777777" w:rsidR="00CC25B5" w:rsidRDefault="00CC25B5">
            <w:pPr>
              <w:jc w:val="right"/>
              <w:rPr>
                <w:rFonts w:ascii="宋体"/>
              </w:rPr>
            </w:pPr>
          </w:p>
        </w:tc>
      </w:tr>
    </w:tbl>
    <w:p w14:paraId="442F7762" w14:textId="77777777" w:rsidR="00CC25B5" w:rsidRDefault="00900968">
      <w:pPr>
        <w:spacing w:before="80"/>
      </w:pPr>
      <w:r>
        <w:rPr>
          <w:rFonts w:ascii="Times New Roman" w:eastAsia="宋体" w:hAnsi="Times New Roman"/>
          <w:i/>
          <w:iCs/>
          <w:color w:val="000000"/>
          <w:sz w:val="20"/>
          <w:szCs w:val="20"/>
        </w:rPr>
        <w:t>Derivatives</w:t>
      </w:r>
    </w:p>
    <w:p w14:paraId="442F7763" w14:textId="77777777" w:rsidR="00CC25B5" w:rsidRDefault="00900968">
      <w:pPr>
        <w:spacing w:before="100"/>
      </w:pPr>
      <w:r>
        <w:rPr>
          <w:rFonts w:ascii="Times New Roman" w:eastAsia="宋体" w:hAnsi="Times New Roman"/>
          <w:color w:val="000000"/>
          <w:sz w:val="20"/>
          <w:szCs w:val="20"/>
        </w:rPr>
        <w:t>The Company also has derivatives recorded at fair value. Derivative fair values are the estimated amounts the Company would receive or pay upon termination of the related derivative agreements as of the reporting dates. T</w:t>
      </w:r>
      <w:r>
        <w:rPr>
          <w:rFonts w:ascii="Times New Roman" w:eastAsia="宋体" w:hAnsi="Times New Roman"/>
          <w:color w:val="000000"/>
          <w:sz w:val="20"/>
          <w:szCs w:val="20"/>
        </w:rPr>
        <w:t>he fair values have been measured using the income approach and Level 2 inputs, which include the relevant interest rate and foreign currency forward curves. As of July 31, 2021 and January 31, 2021, the notional amounts and fair values of these derivative</w:t>
      </w:r>
      <w:r>
        <w:rPr>
          <w:rFonts w:ascii="Times New Roman" w:eastAsia="宋体" w:hAnsi="Times New Roman"/>
          <w:color w:val="000000"/>
          <w:sz w:val="20"/>
          <w:szCs w:val="20"/>
        </w:rPr>
        <w: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33"/>
        <w:gridCol w:w="38"/>
        <w:gridCol w:w="101"/>
        <w:gridCol w:w="537"/>
        <w:gridCol w:w="36"/>
        <w:gridCol w:w="36"/>
        <w:gridCol w:w="36"/>
        <w:gridCol w:w="36"/>
        <w:gridCol w:w="100"/>
        <w:gridCol w:w="463"/>
        <w:gridCol w:w="36"/>
        <w:gridCol w:w="37"/>
        <w:gridCol w:w="144"/>
        <w:gridCol w:w="36"/>
        <w:gridCol w:w="101"/>
        <w:gridCol w:w="534"/>
        <w:gridCol w:w="36"/>
        <w:gridCol w:w="36"/>
        <w:gridCol w:w="36"/>
        <w:gridCol w:w="36"/>
        <w:gridCol w:w="101"/>
        <w:gridCol w:w="494"/>
        <w:gridCol w:w="37"/>
        <w:gridCol w:w="37"/>
        <w:gridCol w:w="144"/>
        <w:gridCol w:w="36"/>
      </w:tblGrid>
      <w:tr w:rsidR="00CC25B5" w14:paraId="442F777F" w14:textId="77777777">
        <w:tc>
          <w:tcPr>
            <w:tcW w:w="50" w:type="pct"/>
            <w:shd w:val="clear" w:color="auto" w:fill="auto"/>
            <w:vAlign w:val="bottom"/>
          </w:tcPr>
          <w:p w14:paraId="442F7764" w14:textId="77777777" w:rsidR="00CC25B5" w:rsidRDefault="00CC25B5">
            <w:pPr>
              <w:rPr>
                <w:rFonts w:ascii="宋体"/>
              </w:rPr>
            </w:pPr>
          </w:p>
        </w:tc>
        <w:tc>
          <w:tcPr>
            <w:tcW w:w="3051" w:type="pct"/>
            <w:shd w:val="clear" w:color="auto" w:fill="auto"/>
            <w:vAlign w:val="bottom"/>
          </w:tcPr>
          <w:p w14:paraId="442F7765" w14:textId="77777777" w:rsidR="00CC25B5" w:rsidRDefault="00CC25B5">
            <w:pPr>
              <w:rPr>
                <w:rFonts w:ascii="宋体"/>
              </w:rPr>
            </w:pPr>
          </w:p>
        </w:tc>
        <w:tc>
          <w:tcPr>
            <w:tcW w:w="5" w:type="pct"/>
            <w:shd w:val="clear" w:color="auto" w:fill="auto"/>
            <w:vAlign w:val="bottom"/>
          </w:tcPr>
          <w:p w14:paraId="442F7766" w14:textId="77777777" w:rsidR="00CC25B5" w:rsidRDefault="00CC25B5">
            <w:pPr>
              <w:rPr>
                <w:rFonts w:ascii="宋体"/>
              </w:rPr>
            </w:pPr>
          </w:p>
        </w:tc>
        <w:tc>
          <w:tcPr>
            <w:tcW w:w="50" w:type="pct"/>
            <w:shd w:val="clear" w:color="auto" w:fill="auto"/>
            <w:vAlign w:val="bottom"/>
          </w:tcPr>
          <w:p w14:paraId="442F7767" w14:textId="77777777" w:rsidR="00CC25B5" w:rsidRDefault="00CC25B5">
            <w:pPr>
              <w:rPr>
                <w:rFonts w:ascii="宋体"/>
              </w:rPr>
            </w:pPr>
          </w:p>
        </w:tc>
        <w:tc>
          <w:tcPr>
            <w:tcW w:w="332" w:type="pct"/>
            <w:shd w:val="clear" w:color="auto" w:fill="auto"/>
            <w:vAlign w:val="bottom"/>
          </w:tcPr>
          <w:p w14:paraId="442F7768" w14:textId="77777777" w:rsidR="00CC25B5" w:rsidRDefault="00CC25B5">
            <w:pPr>
              <w:rPr>
                <w:rFonts w:ascii="宋体"/>
              </w:rPr>
            </w:pPr>
          </w:p>
        </w:tc>
        <w:tc>
          <w:tcPr>
            <w:tcW w:w="5" w:type="pct"/>
            <w:shd w:val="clear" w:color="auto" w:fill="auto"/>
            <w:vAlign w:val="bottom"/>
          </w:tcPr>
          <w:p w14:paraId="442F7769" w14:textId="77777777" w:rsidR="00CC25B5" w:rsidRDefault="00CC25B5">
            <w:pPr>
              <w:rPr>
                <w:rFonts w:ascii="宋体"/>
              </w:rPr>
            </w:pPr>
          </w:p>
        </w:tc>
        <w:tc>
          <w:tcPr>
            <w:tcW w:w="5" w:type="pct"/>
            <w:shd w:val="clear" w:color="auto" w:fill="auto"/>
            <w:vAlign w:val="bottom"/>
          </w:tcPr>
          <w:p w14:paraId="442F776A" w14:textId="77777777" w:rsidR="00CC25B5" w:rsidRDefault="00CC25B5">
            <w:pPr>
              <w:rPr>
                <w:rFonts w:ascii="宋体"/>
              </w:rPr>
            </w:pPr>
          </w:p>
        </w:tc>
        <w:tc>
          <w:tcPr>
            <w:tcW w:w="26" w:type="pct"/>
            <w:shd w:val="clear" w:color="auto" w:fill="auto"/>
            <w:vAlign w:val="bottom"/>
          </w:tcPr>
          <w:p w14:paraId="442F776B" w14:textId="77777777" w:rsidR="00CC25B5" w:rsidRDefault="00CC25B5">
            <w:pPr>
              <w:rPr>
                <w:rFonts w:ascii="宋体"/>
              </w:rPr>
            </w:pPr>
          </w:p>
        </w:tc>
        <w:tc>
          <w:tcPr>
            <w:tcW w:w="5" w:type="pct"/>
            <w:shd w:val="clear" w:color="auto" w:fill="auto"/>
            <w:vAlign w:val="bottom"/>
          </w:tcPr>
          <w:p w14:paraId="442F776C" w14:textId="77777777" w:rsidR="00CC25B5" w:rsidRDefault="00CC25B5">
            <w:pPr>
              <w:rPr>
                <w:rFonts w:ascii="宋体"/>
              </w:rPr>
            </w:pPr>
          </w:p>
        </w:tc>
        <w:tc>
          <w:tcPr>
            <w:tcW w:w="50" w:type="pct"/>
            <w:shd w:val="clear" w:color="auto" w:fill="auto"/>
            <w:vAlign w:val="bottom"/>
          </w:tcPr>
          <w:p w14:paraId="442F776D" w14:textId="77777777" w:rsidR="00CC25B5" w:rsidRDefault="00CC25B5">
            <w:pPr>
              <w:rPr>
                <w:rFonts w:ascii="宋体"/>
              </w:rPr>
            </w:pPr>
          </w:p>
        </w:tc>
        <w:tc>
          <w:tcPr>
            <w:tcW w:w="354" w:type="pct"/>
            <w:shd w:val="clear" w:color="auto" w:fill="auto"/>
            <w:vAlign w:val="bottom"/>
          </w:tcPr>
          <w:p w14:paraId="442F776E" w14:textId="77777777" w:rsidR="00CC25B5" w:rsidRDefault="00CC25B5">
            <w:pPr>
              <w:rPr>
                <w:rFonts w:ascii="宋体"/>
              </w:rPr>
            </w:pPr>
          </w:p>
        </w:tc>
        <w:tc>
          <w:tcPr>
            <w:tcW w:w="5" w:type="pct"/>
            <w:shd w:val="clear" w:color="auto" w:fill="auto"/>
            <w:vAlign w:val="bottom"/>
          </w:tcPr>
          <w:p w14:paraId="442F776F" w14:textId="77777777" w:rsidR="00CC25B5" w:rsidRDefault="00CC25B5">
            <w:pPr>
              <w:rPr>
                <w:rFonts w:ascii="宋体"/>
              </w:rPr>
            </w:pPr>
          </w:p>
        </w:tc>
        <w:tc>
          <w:tcPr>
            <w:tcW w:w="5" w:type="pct"/>
            <w:shd w:val="clear" w:color="auto" w:fill="auto"/>
            <w:vAlign w:val="bottom"/>
          </w:tcPr>
          <w:p w14:paraId="442F7770" w14:textId="77777777" w:rsidR="00CC25B5" w:rsidRDefault="00CC25B5">
            <w:pPr>
              <w:rPr>
                <w:rFonts w:ascii="宋体"/>
              </w:rPr>
            </w:pPr>
          </w:p>
        </w:tc>
        <w:tc>
          <w:tcPr>
            <w:tcW w:w="106" w:type="pct"/>
            <w:shd w:val="clear" w:color="auto" w:fill="auto"/>
            <w:vAlign w:val="bottom"/>
          </w:tcPr>
          <w:p w14:paraId="442F7771" w14:textId="77777777" w:rsidR="00CC25B5" w:rsidRDefault="00CC25B5">
            <w:pPr>
              <w:rPr>
                <w:rFonts w:ascii="宋体"/>
              </w:rPr>
            </w:pPr>
          </w:p>
        </w:tc>
        <w:tc>
          <w:tcPr>
            <w:tcW w:w="5" w:type="pct"/>
            <w:shd w:val="clear" w:color="auto" w:fill="auto"/>
            <w:vAlign w:val="bottom"/>
          </w:tcPr>
          <w:p w14:paraId="442F7772" w14:textId="77777777" w:rsidR="00CC25B5" w:rsidRDefault="00CC25B5">
            <w:pPr>
              <w:rPr>
                <w:rFonts w:ascii="宋体"/>
              </w:rPr>
            </w:pPr>
          </w:p>
        </w:tc>
        <w:tc>
          <w:tcPr>
            <w:tcW w:w="50" w:type="pct"/>
            <w:shd w:val="clear" w:color="auto" w:fill="auto"/>
            <w:vAlign w:val="bottom"/>
          </w:tcPr>
          <w:p w14:paraId="442F7773" w14:textId="77777777" w:rsidR="00CC25B5" w:rsidRDefault="00CC25B5">
            <w:pPr>
              <w:rPr>
                <w:rFonts w:ascii="宋体"/>
              </w:rPr>
            </w:pPr>
          </w:p>
        </w:tc>
        <w:tc>
          <w:tcPr>
            <w:tcW w:w="317" w:type="pct"/>
            <w:shd w:val="clear" w:color="auto" w:fill="auto"/>
            <w:vAlign w:val="bottom"/>
          </w:tcPr>
          <w:p w14:paraId="442F7774" w14:textId="77777777" w:rsidR="00CC25B5" w:rsidRDefault="00CC25B5">
            <w:pPr>
              <w:rPr>
                <w:rFonts w:ascii="宋体"/>
              </w:rPr>
            </w:pPr>
          </w:p>
        </w:tc>
        <w:tc>
          <w:tcPr>
            <w:tcW w:w="5" w:type="pct"/>
            <w:shd w:val="clear" w:color="auto" w:fill="auto"/>
            <w:vAlign w:val="bottom"/>
          </w:tcPr>
          <w:p w14:paraId="442F7775" w14:textId="77777777" w:rsidR="00CC25B5" w:rsidRDefault="00CC25B5">
            <w:pPr>
              <w:rPr>
                <w:rFonts w:ascii="宋体"/>
              </w:rPr>
            </w:pPr>
          </w:p>
        </w:tc>
        <w:tc>
          <w:tcPr>
            <w:tcW w:w="5" w:type="pct"/>
            <w:shd w:val="clear" w:color="auto" w:fill="auto"/>
            <w:vAlign w:val="bottom"/>
          </w:tcPr>
          <w:p w14:paraId="442F7776" w14:textId="77777777" w:rsidR="00CC25B5" w:rsidRDefault="00CC25B5">
            <w:pPr>
              <w:rPr>
                <w:rFonts w:ascii="宋体"/>
              </w:rPr>
            </w:pPr>
          </w:p>
        </w:tc>
        <w:tc>
          <w:tcPr>
            <w:tcW w:w="26" w:type="pct"/>
            <w:shd w:val="clear" w:color="auto" w:fill="auto"/>
            <w:vAlign w:val="bottom"/>
          </w:tcPr>
          <w:p w14:paraId="442F7777" w14:textId="77777777" w:rsidR="00CC25B5" w:rsidRDefault="00CC25B5">
            <w:pPr>
              <w:rPr>
                <w:rFonts w:ascii="宋体"/>
              </w:rPr>
            </w:pPr>
          </w:p>
        </w:tc>
        <w:tc>
          <w:tcPr>
            <w:tcW w:w="5" w:type="pct"/>
            <w:shd w:val="clear" w:color="auto" w:fill="auto"/>
            <w:vAlign w:val="bottom"/>
          </w:tcPr>
          <w:p w14:paraId="442F7778" w14:textId="77777777" w:rsidR="00CC25B5" w:rsidRDefault="00CC25B5">
            <w:pPr>
              <w:rPr>
                <w:rFonts w:ascii="宋体"/>
              </w:rPr>
            </w:pPr>
          </w:p>
        </w:tc>
        <w:tc>
          <w:tcPr>
            <w:tcW w:w="50" w:type="pct"/>
            <w:shd w:val="clear" w:color="auto" w:fill="auto"/>
            <w:vAlign w:val="bottom"/>
          </w:tcPr>
          <w:p w14:paraId="442F7779" w14:textId="77777777" w:rsidR="00CC25B5" w:rsidRDefault="00CC25B5">
            <w:pPr>
              <w:rPr>
                <w:rFonts w:ascii="宋体"/>
              </w:rPr>
            </w:pPr>
          </w:p>
        </w:tc>
        <w:tc>
          <w:tcPr>
            <w:tcW w:w="361" w:type="pct"/>
            <w:shd w:val="clear" w:color="auto" w:fill="auto"/>
            <w:vAlign w:val="bottom"/>
          </w:tcPr>
          <w:p w14:paraId="442F777A" w14:textId="77777777" w:rsidR="00CC25B5" w:rsidRDefault="00CC25B5">
            <w:pPr>
              <w:rPr>
                <w:rFonts w:ascii="宋体"/>
              </w:rPr>
            </w:pPr>
          </w:p>
        </w:tc>
        <w:tc>
          <w:tcPr>
            <w:tcW w:w="5" w:type="pct"/>
            <w:shd w:val="clear" w:color="auto" w:fill="auto"/>
            <w:vAlign w:val="bottom"/>
          </w:tcPr>
          <w:p w14:paraId="442F777B" w14:textId="77777777" w:rsidR="00CC25B5" w:rsidRDefault="00CC25B5">
            <w:pPr>
              <w:rPr>
                <w:rFonts w:ascii="宋体"/>
              </w:rPr>
            </w:pPr>
          </w:p>
        </w:tc>
        <w:tc>
          <w:tcPr>
            <w:tcW w:w="5" w:type="pct"/>
            <w:shd w:val="clear" w:color="auto" w:fill="auto"/>
            <w:vAlign w:val="bottom"/>
          </w:tcPr>
          <w:p w14:paraId="442F777C" w14:textId="77777777" w:rsidR="00CC25B5" w:rsidRDefault="00CC25B5">
            <w:pPr>
              <w:rPr>
                <w:rFonts w:ascii="宋体"/>
              </w:rPr>
            </w:pPr>
          </w:p>
        </w:tc>
        <w:tc>
          <w:tcPr>
            <w:tcW w:w="107" w:type="pct"/>
            <w:shd w:val="clear" w:color="auto" w:fill="auto"/>
            <w:vAlign w:val="bottom"/>
          </w:tcPr>
          <w:p w14:paraId="442F777D" w14:textId="77777777" w:rsidR="00CC25B5" w:rsidRDefault="00CC25B5">
            <w:pPr>
              <w:rPr>
                <w:rFonts w:ascii="宋体"/>
              </w:rPr>
            </w:pPr>
          </w:p>
        </w:tc>
        <w:tc>
          <w:tcPr>
            <w:tcW w:w="5" w:type="pct"/>
            <w:shd w:val="clear" w:color="auto" w:fill="auto"/>
            <w:vAlign w:val="bottom"/>
          </w:tcPr>
          <w:p w14:paraId="442F777E" w14:textId="77777777" w:rsidR="00CC25B5" w:rsidRDefault="00CC25B5">
            <w:pPr>
              <w:rPr>
                <w:rFonts w:ascii="宋体"/>
              </w:rPr>
            </w:pPr>
          </w:p>
        </w:tc>
      </w:tr>
      <w:tr w:rsidR="00CC25B5" w14:paraId="442F7785" w14:textId="77777777">
        <w:tc>
          <w:tcPr>
            <w:tcW w:w="0" w:type="auto"/>
            <w:gridSpan w:val="3"/>
            <w:shd w:val="clear" w:color="auto" w:fill="auto"/>
            <w:tcMar>
              <w:top w:w="40" w:type="dxa"/>
              <w:left w:w="20" w:type="dxa"/>
              <w:bottom w:w="40" w:type="dxa"/>
              <w:right w:w="20" w:type="dxa"/>
            </w:tcMar>
            <w:vAlign w:val="bottom"/>
          </w:tcPr>
          <w:p w14:paraId="442F7780" w14:textId="77777777" w:rsidR="00CC25B5" w:rsidRDefault="00900968">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F7781" w14:textId="77777777" w:rsidR="00CC25B5" w:rsidRDefault="00900968">
            <w:pPr>
              <w:jc w:val="center"/>
              <w:textAlignment w:val="bottom"/>
            </w:pPr>
            <w:r>
              <w:rPr>
                <w:rFonts w:ascii="Times New Roman" w:eastAsia="宋体" w:hAnsi="Times New Roman"/>
                <w:b/>
                <w:bCs/>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442F7782"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783" w14:textId="77777777" w:rsidR="00CC25B5" w:rsidRDefault="00900968">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vAlign w:val="bottom"/>
          </w:tcPr>
          <w:p w14:paraId="442F7784" w14:textId="77777777" w:rsidR="00CC25B5" w:rsidRDefault="00CC25B5">
            <w:pPr>
              <w:rPr>
                <w:rFonts w:ascii="宋体"/>
              </w:rPr>
            </w:pPr>
          </w:p>
        </w:tc>
      </w:tr>
      <w:tr w:rsidR="00CC25B5" w14:paraId="442F778F" w14:textId="77777777">
        <w:tc>
          <w:tcPr>
            <w:tcW w:w="0" w:type="auto"/>
            <w:gridSpan w:val="3"/>
            <w:shd w:val="clear" w:color="auto" w:fill="auto"/>
            <w:tcMar>
              <w:top w:w="40" w:type="dxa"/>
              <w:left w:w="20" w:type="dxa"/>
              <w:bottom w:w="40" w:type="dxa"/>
              <w:right w:w="20" w:type="dxa"/>
            </w:tcMar>
            <w:vAlign w:val="bottom"/>
          </w:tcPr>
          <w:p w14:paraId="442F7786"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787" w14:textId="77777777" w:rsidR="00CC25B5" w:rsidRDefault="00900968">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788"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789" w14:textId="77777777" w:rsidR="00CC25B5" w:rsidRDefault="00900968">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42F778A"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78B" w14:textId="77777777" w:rsidR="00CC25B5" w:rsidRDefault="00900968">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78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78D" w14:textId="77777777" w:rsidR="00CC25B5" w:rsidRDefault="00900968">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42F778E" w14:textId="77777777" w:rsidR="00CC25B5" w:rsidRDefault="00CC25B5">
            <w:pPr>
              <w:rPr>
                <w:rFonts w:ascii="宋体"/>
              </w:rPr>
            </w:pPr>
          </w:p>
        </w:tc>
      </w:tr>
      <w:tr w:rsidR="00CC25B5" w14:paraId="442F77A1" w14:textId="77777777">
        <w:tc>
          <w:tcPr>
            <w:tcW w:w="0" w:type="auto"/>
            <w:gridSpan w:val="3"/>
            <w:shd w:val="clear" w:color="auto" w:fill="CCEEFF"/>
            <w:tcMar>
              <w:top w:w="40" w:type="dxa"/>
              <w:left w:w="20" w:type="dxa"/>
              <w:bottom w:w="40" w:type="dxa"/>
              <w:right w:w="20" w:type="dxa"/>
            </w:tcMar>
            <w:vAlign w:val="center"/>
          </w:tcPr>
          <w:p w14:paraId="442F7790" w14:textId="77777777" w:rsidR="00CC25B5" w:rsidRDefault="00900968">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442F779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792" w14:textId="77777777" w:rsidR="00CC25B5" w:rsidRDefault="00900968">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79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794"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79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796" w14:textId="77777777" w:rsidR="00CC25B5" w:rsidRDefault="00900968">
            <w:pPr>
              <w:jc w:val="right"/>
              <w:textAlignment w:val="center"/>
            </w:pPr>
            <w:r>
              <w:rPr>
                <w:rFonts w:ascii="Times New Roman" w:eastAsia="宋体" w:hAnsi="Times New Roman"/>
                <w:color w:val="000000"/>
                <w:sz w:val="16"/>
                <w:szCs w:val="16"/>
              </w:rPr>
              <w:t>133 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797" w14:textId="77777777" w:rsidR="00CC25B5" w:rsidRDefault="00CC25B5">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42F7798" w14:textId="77777777" w:rsidR="00CC25B5" w:rsidRDefault="00900968">
            <w:pPr>
              <w:textAlignment w:val="center"/>
            </w:pPr>
            <w:r>
              <w:rPr>
                <w:rFonts w:ascii="Times New Roman" w:eastAsia="宋体" w:hAnsi="Times New Roman"/>
                <w:color w:val="000000"/>
                <w:sz w:val="10"/>
                <w:szCs w:val="10"/>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442F779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79A" w14:textId="77777777" w:rsidR="00CC25B5" w:rsidRDefault="00900968">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79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79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79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79E" w14:textId="77777777" w:rsidR="00CC25B5" w:rsidRDefault="00900968">
            <w:pPr>
              <w:jc w:val="right"/>
              <w:textAlignment w:val="center"/>
            </w:pPr>
            <w:r>
              <w:rPr>
                <w:rFonts w:ascii="Times New Roman" w:eastAsia="宋体" w:hAnsi="Times New Roman"/>
                <w:color w:val="000000"/>
                <w:sz w:val="16"/>
                <w:szCs w:val="16"/>
              </w:rPr>
              <w:t>166 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79F" w14:textId="77777777" w:rsidR="00CC25B5" w:rsidRDefault="00CC25B5">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42F77A0" w14:textId="77777777" w:rsidR="00CC25B5" w:rsidRDefault="00900968">
            <w:pPr>
              <w:textAlignment w:val="center"/>
            </w:pPr>
            <w:r>
              <w:rPr>
                <w:rFonts w:ascii="Times New Roman" w:eastAsia="宋体" w:hAnsi="Times New Roman"/>
                <w:color w:val="000000"/>
                <w:sz w:val="10"/>
                <w:szCs w:val="10"/>
              </w:rPr>
              <w:t>(1)</w:t>
            </w:r>
          </w:p>
        </w:tc>
      </w:tr>
      <w:tr w:rsidR="00CC25B5" w14:paraId="442F77AF" w14:textId="77777777">
        <w:tc>
          <w:tcPr>
            <w:tcW w:w="0" w:type="auto"/>
            <w:gridSpan w:val="3"/>
            <w:shd w:val="clear" w:color="auto" w:fill="FFFFFF"/>
            <w:tcMar>
              <w:top w:w="40" w:type="dxa"/>
              <w:left w:w="20" w:type="dxa"/>
              <w:bottom w:w="40" w:type="dxa"/>
              <w:right w:w="20" w:type="dxa"/>
            </w:tcMar>
            <w:vAlign w:val="center"/>
          </w:tcPr>
          <w:p w14:paraId="442F77A2" w14:textId="77777777" w:rsidR="00CC25B5" w:rsidRDefault="00900968">
            <w:pPr>
              <w:textAlignment w:val="center"/>
            </w:pPr>
            <w:r>
              <w:rPr>
                <w:rFonts w:ascii="Times New Roman" w:eastAsia="宋体" w:hAnsi="Times New Roman"/>
                <w:color w:val="000000"/>
                <w:sz w:val="16"/>
                <w:szCs w:val="16"/>
              </w:rPr>
              <w:t>Receive fixed-rate, pay fixed-rate cross-currency swaps designated as net investment hedges</w:t>
            </w:r>
          </w:p>
        </w:tc>
        <w:tc>
          <w:tcPr>
            <w:tcW w:w="0" w:type="auto"/>
            <w:gridSpan w:val="2"/>
            <w:shd w:val="clear" w:color="auto" w:fill="FFFFFF"/>
            <w:tcMar>
              <w:top w:w="40" w:type="dxa"/>
              <w:left w:w="20" w:type="dxa"/>
              <w:bottom w:w="40" w:type="dxa"/>
              <w:right w:w="0" w:type="dxa"/>
            </w:tcMar>
            <w:vAlign w:val="center"/>
          </w:tcPr>
          <w:p w14:paraId="442F77A3"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7A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A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7A6"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77A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A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7A9" w14:textId="77777777" w:rsidR="00CC25B5" w:rsidRDefault="00900968">
            <w:pPr>
              <w:jc w:val="right"/>
              <w:textAlignment w:val="center"/>
            </w:pPr>
            <w:r>
              <w:rPr>
                <w:rFonts w:ascii="Times New Roman" w:eastAsia="宋体" w:hAnsi="Times New Roman"/>
                <w:color w:val="000000"/>
                <w:sz w:val="16"/>
                <w:szCs w:val="16"/>
              </w:rPr>
              <w:t>1,250 </w:t>
            </w:r>
          </w:p>
        </w:tc>
        <w:tc>
          <w:tcPr>
            <w:tcW w:w="0" w:type="auto"/>
            <w:shd w:val="clear" w:color="auto" w:fill="FFFFFF"/>
            <w:tcMar>
              <w:top w:w="40" w:type="dxa"/>
              <w:left w:w="0" w:type="dxa"/>
              <w:bottom w:w="40" w:type="dxa"/>
              <w:right w:w="20" w:type="dxa"/>
            </w:tcMar>
            <w:vAlign w:val="center"/>
          </w:tcPr>
          <w:p w14:paraId="442F77A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A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7AC" w14:textId="77777777" w:rsidR="00CC25B5" w:rsidRDefault="00900968">
            <w:pPr>
              <w:jc w:val="right"/>
              <w:textAlignment w:val="center"/>
            </w:pPr>
            <w:r>
              <w:rPr>
                <w:rFonts w:ascii="Times New Roman" w:eastAsia="宋体" w:hAnsi="Times New Roman"/>
                <w:color w:val="000000"/>
                <w:sz w:val="16"/>
                <w:szCs w:val="16"/>
              </w:rPr>
              <w:t>311 </w:t>
            </w:r>
          </w:p>
        </w:tc>
        <w:tc>
          <w:tcPr>
            <w:tcW w:w="0" w:type="auto"/>
            <w:shd w:val="clear" w:color="auto" w:fill="FFFFFF"/>
            <w:tcMar>
              <w:top w:w="40" w:type="dxa"/>
              <w:left w:w="0" w:type="dxa"/>
              <w:bottom w:w="40" w:type="dxa"/>
              <w:right w:w="20" w:type="dxa"/>
            </w:tcMar>
            <w:vAlign w:val="center"/>
          </w:tcPr>
          <w:p w14:paraId="442F77AD" w14:textId="77777777" w:rsidR="00CC25B5" w:rsidRDefault="00CC25B5">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42F77AE" w14:textId="77777777" w:rsidR="00CC25B5" w:rsidRDefault="00900968">
            <w:pPr>
              <w:textAlignment w:val="center"/>
            </w:pPr>
            <w:r>
              <w:rPr>
                <w:rFonts w:ascii="Times New Roman" w:eastAsia="宋体" w:hAnsi="Times New Roman"/>
                <w:color w:val="000000"/>
                <w:sz w:val="10"/>
                <w:szCs w:val="10"/>
              </w:rPr>
              <w:t>(1)</w:t>
            </w:r>
          </w:p>
        </w:tc>
      </w:tr>
      <w:tr w:rsidR="00CC25B5" w14:paraId="442F77BD" w14:textId="77777777">
        <w:tc>
          <w:tcPr>
            <w:tcW w:w="0" w:type="auto"/>
            <w:gridSpan w:val="3"/>
            <w:shd w:val="clear" w:color="auto" w:fill="CCEEFF"/>
            <w:tcMar>
              <w:top w:w="40" w:type="dxa"/>
              <w:left w:w="20" w:type="dxa"/>
              <w:bottom w:w="40" w:type="dxa"/>
              <w:right w:w="20" w:type="dxa"/>
            </w:tcMar>
            <w:vAlign w:val="center"/>
          </w:tcPr>
          <w:p w14:paraId="442F77B0" w14:textId="77777777" w:rsidR="00CC25B5" w:rsidRDefault="00900968">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CCEEFF"/>
            <w:tcMar>
              <w:top w:w="40" w:type="dxa"/>
              <w:left w:w="20" w:type="dxa"/>
              <w:bottom w:w="40" w:type="dxa"/>
              <w:right w:w="0" w:type="dxa"/>
            </w:tcMar>
            <w:vAlign w:val="center"/>
          </w:tcPr>
          <w:p w14:paraId="442F77B1" w14:textId="77777777" w:rsidR="00CC25B5" w:rsidRDefault="00900968">
            <w:pPr>
              <w:jc w:val="right"/>
              <w:textAlignment w:val="center"/>
            </w:pPr>
            <w:r>
              <w:rPr>
                <w:rFonts w:ascii="Times New Roman" w:eastAsia="宋体" w:hAnsi="Times New Roman"/>
                <w:color w:val="000000"/>
                <w:sz w:val="16"/>
                <w:szCs w:val="16"/>
              </w:rPr>
              <w:t>8,243 </w:t>
            </w:r>
          </w:p>
        </w:tc>
        <w:tc>
          <w:tcPr>
            <w:tcW w:w="0" w:type="auto"/>
            <w:shd w:val="clear" w:color="auto" w:fill="CCEEFF"/>
            <w:tcMar>
              <w:top w:w="40" w:type="dxa"/>
              <w:left w:w="0" w:type="dxa"/>
              <w:bottom w:w="40" w:type="dxa"/>
              <w:right w:w="20" w:type="dxa"/>
            </w:tcMar>
            <w:vAlign w:val="center"/>
          </w:tcPr>
          <w:p w14:paraId="442F77B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7B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7B4" w14:textId="77777777" w:rsidR="00CC25B5" w:rsidRDefault="00900968">
            <w:pPr>
              <w:jc w:val="right"/>
              <w:textAlignment w:val="center"/>
            </w:pPr>
            <w:r>
              <w:rPr>
                <w:rFonts w:ascii="Times New Roman" w:eastAsia="宋体" w:hAnsi="Times New Roman"/>
                <w:color w:val="000000"/>
                <w:sz w:val="16"/>
                <w:szCs w:val="16"/>
              </w:rPr>
              <w:t>(616)</w:t>
            </w:r>
          </w:p>
        </w:tc>
        <w:tc>
          <w:tcPr>
            <w:tcW w:w="0" w:type="auto"/>
            <w:shd w:val="clear" w:color="auto" w:fill="CCEEFF"/>
            <w:tcMar>
              <w:top w:w="40" w:type="dxa"/>
              <w:left w:w="0" w:type="dxa"/>
              <w:bottom w:w="40" w:type="dxa"/>
              <w:right w:w="20" w:type="dxa"/>
            </w:tcMar>
            <w:vAlign w:val="center"/>
          </w:tcPr>
          <w:p w14:paraId="442F77B5" w14:textId="77777777" w:rsidR="00CC25B5" w:rsidRDefault="00CC25B5">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42F77B6" w14:textId="77777777" w:rsidR="00CC25B5" w:rsidRDefault="00900968">
            <w:pPr>
              <w:textAlignment w:val="center"/>
            </w:pPr>
            <w:r>
              <w:rPr>
                <w:rFonts w:ascii="Times New Roman" w:eastAsia="宋体" w:hAnsi="Times New Roman"/>
                <w:color w:val="000000"/>
                <w:sz w:val="10"/>
                <w:szCs w:val="10"/>
              </w:rPr>
              <w:t>(2)</w:t>
            </w:r>
          </w:p>
        </w:tc>
        <w:tc>
          <w:tcPr>
            <w:tcW w:w="0" w:type="auto"/>
            <w:gridSpan w:val="2"/>
            <w:shd w:val="clear" w:color="auto" w:fill="CCEEFF"/>
            <w:tcMar>
              <w:top w:w="40" w:type="dxa"/>
              <w:left w:w="20" w:type="dxa"/>
              <w:bottom w:w="40" w:type="dxa"/>
              <w:right w:w="0" w:type="dxa"/>
            </w:tcMar>
            <w:vAlign w:val="center"/>
          </w:tcPr>
          <w:p w14:paraId="442F77B7" w14:textId="77777777" w:rsidR="00CC25B5" w:rsidRDefault="00900968">
            <w:pPr>
              <w:jc w:val="right"/>
              <w:textAlignment w:val="center"/>
            </w:pPr>
            <w:r>
              <w:rPr>
                <w:rFonts w:ascii="Times New Roman" w:eastAsia="宋体" w:hAnsi="Times New Roman"/>
                <w:color w:val="000000"/>
                <w:sz w:val="16"/>
                <w:szCs w:val="16"/>
              </w:rPr>
              <w:t>5,073 </w:t>
            </w:r>
          </w:p>
        </w:tc>
        <w:tc>
          <w:tcPr>
            <w:tcW w:w="0" w:type="auto"/>
            <w:shd w:val="clear" w:color="auto" w:fill="CCEEFF"/>
            <w:tcMar>
              <w:top w:w="40" w:type="dxa"/>
              <w:left w:w="0" w:type="dxa"/>
              <w:bottom w:w="40" w:type="dxa"/>
              <w:right w:w="20" w:type="dxa"/>
            </w:tcMar>
            <w:vAlign w:val="center"/>
          </w:tcPr>
          <w:p w14:paraId="442F77B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7B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7BA" w14:textId="77777777" w:rsidR="00CC25B5" w:rsidRDefault="00900968">
            <w:pPr>
              <w:jc w:val="right"/>
              <w:textAlignment w:val="center"/>
            </w:pPr>
            <w:r>
              <w:rPr>
                <w:rFonts w:ascii="Times New Roman" w:eastAsia="宋体" w:hAnsi="Times New Roman"/>
                <w:color w:val="000000"/>
                <w:sz w:val="16"/>
                <w:szCs w:val="16"/>
              </w:rPr>
              <w:t>(394)</w:t>
            </w:r>
          </w:p>
        </w:tc>
        <w:tc>
          <w:tcPr>
            <w:tcW w:w="0" w:type="auto"/>
            <w:shd w:val="clear" w:color="auto" w:fill="CCEEFF"/>
            <w:tcMar>
              <w:top w:w="40" w:type="dxa"/>
              <w:left w:w="0" w:type="dxa"/>
              <w:bottom w:w="40" w:type="dxa"/>
              <w:right w:w="20" w:type="dxa"/>
            </w:tcMar>
            <w:vAlign w:val="center"/>
          </w:tcPr>
          <w:p w14:paraId="442F77BB" w14:textId="77777777" w:rsidR="00CC25B5" w:rsidRDefault="00CC25B5">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42F77BC" w14:textId="77777777" w:rsidR="00CC25B5" w:rsidRDefault="00900968">
            <w:pPr>
              <w:textAlignment w:val="center"/>
            </w:pPr>
            <w:r>
              <w:rPr>
                <w:rFonts w:ascii="Times New Roman" w:eastAsia="宋体" w:hAnsi="Times New Roman"/>
                <w:color w:val="000000"/>
                <w:sz w:val="10"/>
                <w:szCs w:val="10"/>
              </w:rPr>
              <w:t>(2)</w:t>
            </w:r>
          </w:p>
        </w:tc>
      </w:tr>
      <w:tr w:rsidR="00CC25B5" w14:paraId="442F77C7" w14:textId="77777777">
        <w:trPr>
          <w:hidden/>
        </w:trPr>
        <w:tc>
          <w:tcPr>
            <w:tcW w:w="0" w:type="auto"/>
            <w:gridSpan w:val="3"/>
            <w:shd w:val="clear" w:color="auto" w:fill="auto"/>
            <w:vAlign w:val="bottom"/>
          </w:tcPr>
          <w:p w14:paraId="442F77BE" w14:textId="77777777" w:rsidR="00CC25B5" w:rsidRDefault="00CC25B5">
            <w:pPr>
              <w:rPr>
                <w:rFonts w:ascii="宋体"/>
                <w:vanish/>
              </w:rPr>
            </w:pPr>
          </w:p>
        </w:tc>
        <w:tc>
          <w:tcPr>
            <w:tcW w:w="0" w:type="auto"/>
            <w:gridSpan w:val="3"/>
            <w:shd w:val="clear" w:color="auto" w:fill="auto"/>
            <w:vAlign w:val="bottom"/>
          </w:tcPr>
          <w:p w14:paraId="442F77BF" w14:textId="77777777" w:rsidR="00CC25B5" w:rsidRDefault="00CC25B5">
            <w:pPr>
              <w:rPr>
                <w:rFonts w:ascii="宋体"/>
                <w:vanish/>
              </w:rPr>
            </w:pPr>
          </w:p>
        </w:tc>
        <w:tc>
          <w:tcPr>
            <w:tcW w:w="0" w:type="auto"/>
            <w:gridSpan w:val="3"/>
            <w:shd w:val="clear" w:color="auto" w:fill="auto"/>
            <w:vAlign w:val="bottom"/>
          </w:tcPr>
          <w:p w14:paraId="442F77C0" w14:textId="77777777" w:rsidR="00CC25B5" w:rsidRDefault="00CC25B5">
            <w:pPr>
              <w:rPr>
                <w:rFonts w:ascii="宋体"/>
                <w:vanish/>
              </w:rPr>
            </w:pPr>
          </w:p>
        </w:tc>
        <w:tc>
          <w:tcPr>
            <w:tcW w:w="0" w:type="auto"/>
            <w:gridSpan w:val="3"/>
            <w:shd w:val="clear" w:color="auto" w:fill="auto"/>
            <w:vAlign w:val="bottom"/>
          </w:tcPr>
          <w:p w14:paraId="442F77C1" w14:textId="77777777" w:rsidR="00CC25B5" w:rsidRDefault="00CC25B5">
            <w:pPr>
              <w:rPr>
                <w:rFonts w:ascii="宋体"/>
                <w:vanish/>
              </w:rPr>
            </w:pPr>
          </w:p>
        </w:tc>
        <w:tc>
          <w:tcPr>
            <w:tcW w:w="0" w:type="auto"/>
            <w:gridSpan w:val="3"/>
            <w:shd w:val="clear" w:color="auto" w:fill="auto"/>
            <w:vAlign w:val="bottom"/>
          </w:tcPr>
          <w:p w14:paraId="442F77C2" w14:textId="77777777" w:rsidR="00CC25B5" w:rsidRDefault="00CC25B5">
            <w:pPr>
              <w:rPr>
                <w:rFonts w:ascii="宋体"/>
                <w:vanish/>
              </w:rPr>
            </w:pPr>
          </w:p>
        </w:tc>
        <w:tc>
          <w:tcPr>
            <w:tcW w:w="0" w:type="auto"/>
            <w:gridSpan w:val="3"/>
            <w:shd w:val="clear" w:color="auto" w:fill="auto"/>
            <w:vAlign w:val="bottom"/>
          </w:tcPr>
          <w:p w14:paraId="442F77C3" w14:textId="77777777" w:rsidR="00CC25B5" w:rsidRDefault="00CC25B5">
            <w:pPr>
              <w:rPr>
                <w:rFonts w:ascii="宋体"/>
                <w:vanish/>
              </w:rPr>
            </w:pPr>
          </w:p>
        </w:tc>
        <w:tc>
          <w:tcPr>
            <w:tcW w:w="0" w:type="auto"/>
            <w:gridSpan w:val="3"/>
            <w:shd w:val="clear" w:color="auto" w:fill="auto"/>
            <w:vAlign w:val="bottom"/>
          </w:tcPr>
          <w:p w14:paraId="442F77C4" w14:textId="77777777" w:rsidR="00CC25B5" w:rsidRDefault="00CC25B5">
            <w:pPr>
              <w:rPr>
                <w:rFonts w:ascii="宋体"/>
                <w:vanish/>
              </w:rPr>
            </w:pPr>
          </w:p>
        </w:tc>
        <w:tc>
          <w:tcPr>
            <w:tcW w:w="0" w:type="auto"/>
            <w:gridSpan w:val="3"/>
            <w:shd w:val="clear" w:color="auto" w:fill="auto"/>
            <w:vAlign w:val="bottom"/>
          </w:tcPr>
          <w:p w14:paraId="442F77C5" w14:textId="77777777" w:rsidR="00CC25B5" w:rsidRDefault="00CC25B5">
            <w:pPr>
              <w:rPr>
                <w:rFonts w:ascii="宋体"/>
                <w:vanish/>
              </w:rPr>
            </w:pPr>
          </w:p>
        </w:tc>
        <w:tc>
          <w:tcPr>
            <w:tcW w:w="0" w:type="auto"/>
            <w:gridSpan w:val="3"/>
            <w:shd w:val="clear" w:color="auto" w:fill="auto"/>
            <w:vAlign w:val="bottom"/>
          </w:tcPr>
          <w:p w14:paraId="442F77C6" w14:textId="77777777" w:rsidR="00CC25B5" w:rsidRDefault="00CC25B5">
            <w:pPr>
              <w:rPr>
                <w:rFonts w:ascii="宋体"/>
                <w:vanish/>
              </w:rPr>
            </w:pPr>
          </w:p>
        </w:tc>
      </w:tr>
      <w:tr w:rsidR="00CC25B5" w14:paraId="442F77D9" w14:textId="77777777">
        <w:tc>
          <w:tcPr>
            <w:tcW w:w="0" w:type="auto"/>
            <w:gridSpan w:val="3"/>
            <w:shd w:val="clear" w:color="auto" w:fill="FFFFFF"/>
            <w:tcMar>
              <w:top w:w="40" w:type="dxa"/>
              <w:left w:w="20" w:type="dxa"/>
              <w:bottom w:w="40" w:type="dxa"/>
              <w:right w:w="20" w:type="dxa"/>
            </w:tcMar>
            <w:vAlign w:val="center"/>
          </w:tcPr>
          <w:p w14:paraId="442F77C8" w14:textId="77777777" w:rsidR="00CC25B5" w:rsidRDefault="00900968">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7C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7CA" w14:textId="77777777" w:rsidR="00CC25B5" w:rsidRDefault="00900968">
            <w:pPr>
              <w:jc w:val="right"/>
              <w:textAlignment w:val="center"/>
            </w:pPr>
            <w:r>
              <w:rPr>
                <w:rFonts w:ascii="Times New Roman" w:eastAsia="宋体" w:hAnsi="Times New Roman"/>
                <w:color w:val="000000"/>
                <w:sz w:val="16"/>
                <w:szCs w:val="16"/>
              </w:rPr>
              <w:t>11,493 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7C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CC"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7C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7CE" w14:textId="77777777" w:rsidR="00CC25B5" w:rsidRDefault="00900968">
            <w:pPr>
              <w:jc w:val="right"/>
              <w:textAlignment w:val="center"/>
            </w:pPr>
            <w:r>
              <w:rPr>
                <w:rFonts w:ascii="Times New Roman" w:eastAsia="宋体" w:hAnsi="Times New Roman"/>
                <w:color w:val="000000"/>
                <w:sz w:val="16"/>
                <w:szCs w:val="16"/>
              </w:rPr>
              <w:t>(483)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7C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D0"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7D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7D2" w14:textId="77777777" w:rsidR="00CC25B5" w:rsidRDefault="00900968">
            <w:pPr>
              <w:jc w:val="right"/>
              <w:textAlignment w:val="center"/>
            </w:pPr>
            <w:r>
              <w:rPr>
                <w:rFonts w:ascii="Times New Roman" w:eastAsia="宋体" w:hAnsi="Times New Roman"/>
                <w:color w:val="000000"/>
                <w:sz w:val="16"/>
                <w:szCs w:val="16"/>
              </w:rPr>
              <w:t>9,573 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7D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D4"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7D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7D6" w14:textId="77777777" w:rsidR="00CC25B5" w:rsidRDefault="00900968">
            <w:pPr>
              <w:jc w:val="right"/>
              <w:textAlignment w:val="center"/>
            </w:pPr>
            <w:r>
              <w:rPr>
                <w:rFonts w:ascii="Times New Roman" w:eastAsia="宋体" w:hAnsi="Times New Roman"/>
                <w:color w:val="000000"/>
                <w:sz w:val="16"/>
                <w:szCs w:val="16"/>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7D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7D8" w14:textId="77777777" w:rsidR="00CC25B5" w:rsidRDefault="00CC25B5">
            <w:pPr>
              <w:rPr>
                <w:rFonts w:ascii="宋体"/>
              </w:rPr>
            </w:pPr>
          </w:p>
        </w:tc>
      </w:tr>
    </w:tbl>
    <w:p w14:paraId="442F77DA" w14:textId="77777777" w:rsidR="00CC25B5" w:rsidRDefault="00900968">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in other long-term assets within the Company's Condensed Co</w:t>
      </w:r>
      <w:r>
        <w:rPr>
          <w:rFonts w:ascii="Times New Roman" w:eastAsia="宋体" w:hAnsi="Times New Roman"/>
          <w:color w:val="000000"/>
          <w:sz w:val="16"/>
          <w:szCs w:val="16"/>
        </w:rPr>
        <w:t>nsolidated Balance Sheets.</w:t>
      </w:r>
    </w:p>
    <w:p w14:paraId="442F77DB" w14:textId="77777777" w:rsidR="00CC25B5" w:rsidRDefault="00900968">
      <w:pPr>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Classified primarily in deferred income taxes and other within the Company's Condensed Consolidated Balance Sheets.</w:t>
      </w:r>
    </w:p>
    <w:p w14:paraId="442F77DC" w14:textId="77777777" w:rsidR="00CC25B5" w:rsidRDefault="00900968">
      <w:pPr>
        <w:spacing w:before="180"/>
      </w:pPr>
      <w:r>
        <w:rPr>
          <w:rFonts w:ascii="Times New Roman" w:eastAsia="宋体" w:hAnsi="Times New Roman"/>
          <w:i/>
          <w:iCs/>
          <w:color w:val="000000"/>
          <w:sz w:val="20"/>
          <w:szCs w:val="20"/>
        </w:rPr>
        <w:t>Nonrecurring Fair Value Measurements</w:t>
      </w:r>
    </w:p>
    <w:p w14:paraId="442F77DD" w14:textId="77777777" w:rsidR="00CC25B5" w:rsidRDefault="00900968">
      <w:pPr>
        <w:spacing w:before="100"/>
      </w:pPr>
      <w:r>
        <w:rPr>
          <w:rFonts w:ascii="Times New Roman" w:eastAsia="宋体" w:hAnsi="Times New Roman"/>
          <w:color w:val="000000"/>
          <w:sz w:val="20"/>
          <w:szCs w:val="20"/>
        </w:rPr>
        <w:t>In addition to assets and liabilities recorded at fair value on a recurri</w:t>
      </w:r>
      <w:r>
        <w:rPr>
          <w:rFonts w:ascii="Times New Roman" w:eastAsia="宋体" w:hAnsi="Times New Roman"/>
          <w:color w:val="000000"/>
          <w:sz w:val="20"/>
          <w:szCs w:val="20"/>
        </w:rPr>
        <w:t xml:space="preserve">ng basis, the Company's assets and liabilities are also subject to nonrecurring fair value measurements. Generally, assets are recorded at fair value on a nonrecurring basis as a result of impairment charges. </w:t>
      </w:r>
    </w:p>
    <w:p w14:paraId="442F77DE" w14:textId="77777777" w:rsidR="00CC25B5" w:rsidRDefault="00900968">
      <w:pPr>
        <w:jc w:val="center"/>
      </w:pPr>
      <w:r>
        <w:rPr>
          <w:rFonts w:ascii="Times New Roman" w:eastAsia="宋体" w:hAnsi="Times New Roman"/>
          <w:color w:val="000000"/>
          <w:sz w:val="20"/>
          <w:szCs w:val="20"/>
        </w:rPr>
        <w:t>10</w:t>
      </w:r>
    </w:p>
    <w:p w14:paraId="442F77DF" w14:textId="77777777" w:rsidR="00CC25B5" w:rsidRDefault="00900968">
      <w:r>
        <w:pict w14:anchorId="442F85D3">
          <v:rect id="_x0000_i1034" style="width:415.3pt;height:1.5pt" o:hralign="center" o:hrstd="t" o:hr="t" fillcolor="#a0a0a0" stroked="f"/>
        </w:pict>
      </w:r>
    </w:p>
    <w:p w14:paraId="442F77E0" w14:textId="77777777" w:rsidR="00CC25B5" w:rsidRDefault="00900968">
      <w:hyperlink r:id="rId51" w:anchor="ie1710166881948a18c44f48eaa2dcf00_7" w:history="1">
        <w:r>
          <w:rPr>
            <w:rStyle w:val="a5"/>
            <w:rFonts w:ascii="Times New Roman" w:eastAsia="宋体" w:hAnsi="Times New Roman"/>
            <w:sz w:val="20"/>
            <w:szCs w:val="20"/>
          </w:rPr>
          <w:t>Table of Contents</w:t>
        </w:r>
      </w:hyperlink>
    </w:p>
    <w:p w14:paraId="442F77E1" w14:textId="77777777" w:rsidR="00CC25B5" w:rsidRDefault="00900968">
      <w:pPr>
        <w:spacing w:before="100"/>
      </w:pPr>
      <w:r>
        <w:rPr>
          <w:rFonts w:ascii="Times New Roman" w:eastAsia="宋体" w:hAnsi="Times New Roman"/>
          <w:color w:val="000000"/>
          <w:sz w:val="20"/>
          <w:szCs w:val="20"/>
        </w:rPr>
        <w:t>As of January 31, 2021, the Company's operations in the U.K. ("Asda") and operations i</w:t>
      </w:r>
      <w:r>
        <w:rPr>
          <w:rFonts w:ascii="Times New Roman" w:eastAsia="宋体" w:hAnsi="Times New Roman"/>
          <w:color w:val="000000"/>
          <w:sz w:val="20"/>
          <w:szCs w:val="20"/>
        </w:rPr>
        <w:t>n Japan ("Seiyu") met the held for sale criteria, and as a result the Company recorded non-recurring impairment charges in the fourth quarter of fiscal 2021 as the carrying value of the disposal groups exceeded their fair value, less costs to sell. Upon co</w:t>
      </w:r>
      <w:r>
        <w:rPr>
          <w:rFonts w:ascii="Times New Roman" w:eastAsia="宋体" w:hAnsi="Times New Roman"/>
          <w:color w:val="000000"/>
          <w:sz w:val="20"/>
          <w:szCs w:val="20"/>
        </w:rPr>
        <w:t>mpleting the sales of Asda in February 2021 and Seiyu in March 2021, the Company recorded incremental non-recurring impairment charges of $0.4 billion in the first quarter of fiscal 2022 within other gains and losses in the Condensed Consolidated Statement</w:t>
      </w:r>
      <w:r>
        <w:rPr>
          <w:rFonts w:ascii="Times New Roman" w:eastAsia="宋体" w:hAnsi="Times New Roman"/>
          <w:color w:val="000000"/>
          <w:sz w:val="20"/>
          <w:szCs w:val="20"/>
        </w:rPr>
        <w:t xml:space="preserve">s of Income. Refer to </w:t>
      </w:r>
      <w:hyperlink r:id="rId52" w:anchor="ie1710166881948a18c44f48eaa2dcf00_55"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The Company did not have other material assets or liabilities resulting i</w:t>
      </w:r>
      <w:r>
        <w:rPr>
          <w:rFonts w:ascii="Times New Roman" w:eastAsia="宋体" w:hAnsi="Times New Roman"/>
          <w:color w:val="000000"/>
          <w:sz w:val="20"/>
          <w:szCs w:val="20"/>
        </w:rPr>
        <w:t xml:space="preserve">n nonrecurring fair value measurements as of July 31, 2021. </w:t>
      </w:r>
    </w:p>
    <w:p w14:paraId="442F77E2" w14:textId="77777777" w:rsidR="00CC25B5" w:rsidRDefault="00900968">
      <w:pPr>
        <w:spacing w:before="100"/>
      </w:pPr>
      <w:r>
        <w:rPr>
          <w:rFonts w:ascii="Times New Roman" w:eastAsia="宋体" w:hAnsi="Times New Roman"/>
          <w:i/>
          <w:iCs/>
          <w:color w:val="000000"/>
          <w:sz w:val="20"/>
          <w:szCs w:val="20"/>
        </w:rPr>
        <w:t>Other Fair Value Disclosures</w:t>
      </w:r>
    </w:p>
    <w:p w14:paraId="442F77E3" w14:textId="77777777" w:rsidR="00CC25B5" w:rsidRDefault="00900968">
      <w:pPr>
        <w:spacing w:before="100"/>
      </w:pPr>
      <w:r>
        <w:rPr>
          <w:rFonts w:ascii="Times New Roman" w:eastAsia="宋体" w:hAnsi="Times New Roman"/>
          <w:color w:val="000000"/>
          <w:sz w:val="20"/>
          <w:szCs w:val="20"/>
        </w:rPr>
        <w:t>The Company records cash and cash equivalents, restricted cash, and short-term borrowings at cost. The carrying values of these instruments approximate their fair val</w:t>
      </w:r>
      <w:r>
        <w:rPr>
          <w:rFonts w:ascii="Times New Roman" w:eastAsia="宋体" w:hAnsi="Times New Roman"/>
          <w:color w:val="000000"/>
          <w:sz w:val="20"/>
          <w:szCs w:val="20"/>
        </w:rPr>
        <w:t xml:space="preserve">ue due to their short-term maturities. </w:t>
      </w:r>
    </w:p>
    <w:p w14:paraId="442F77E4" w14:textId="77777777" w:rsidR="00CC25B5" w:rsidRDefault="00900968">
      <w:pPr>
        <w:spacing w:before="100"/>
      </w:pPr>
      <w:r>
        <w:rPr>
          <w:rFonts w:ascii="Times New Roman" w:eastAsia="宋体" w:hAnsi="Times New Roman"/>
          <w:color w:val="000000"/>
          <w:sz w:val="20"/>
          <w:szCs w:val="20"/>
        </w:rPr>
        <w:t>The Company's long-term debt is also recorded at cost. The fair value is estimated using Level 2 inputs based on the Company's current incremental borrowing rate for similar types of borrowing arrangements. The carry</w:t>
      </w:r>
      <w:r>
        <w:rPr>
          <w:rFonts w:ascii="Times New Roman" w:eastAsia="宋体" w:hAnsi="Times New Roman"/>
          <w:color w:val="000000"/>
          <w:sz w:val="20"/>
          <w:szCs w:val="20"/>
        </w:rPr>
        <w:t>ing value and fair value of the Company's long-term debt as of July 31, 2021 and January 31, 2021, are as follows: </w:t>
      </w:r>
    </w:p>
    <w:tbl>
      <w:tblPr>
        <w:tblW w:w="4993" w:type="pct"/>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CC25B5" w14:paraId="442F7800" w14:textId="77777777">
        <w:tc>
          <w:tcPr>
            <w:tcW w:w="50" w:type="pct"/>
            <w:shd w:val="clear" w:color="auto" w:fill="auto"/>
            <w:vAlign w:val="bottom"/>
          </w:tcPr>
          <w:p w14:paraId="442F77E5" w14:textId="77777777" w:rsidR="00CC25B5" w:rsidRDefault="00CC25B5">
            <w:pPr>
              <w:rPr>
                <w:rFonts w:ascii="宋体"/>
              </w:rPr>
            </w:pPr>
          </w:p>
        </w:tc>
        <w:tc>
          <w:tcPr>
            <w:tcW w:w="2455" w:type="pct"/>
            <w:shd w:val="clear" w:color="auto" w:fill="auto"/>
            <w:vAlign w:val="bottom"/>
          </w:tcPr>
          <w:p w14:paraId="442F77E6" w14:textId="77777777" w:rsidR="00CC25B5" w:rsidRDefault="00CC25B5">
            <w:pPr>
              <w:rPr>
                <w:rFonts w:ascii="宋体"/>
              </w:rPr>
            </w:pPr>
          </w:p>
        </w:tc>
        <w:tc>
          <w:tcPr>
            <w:tcW w:w="5" w:type="pct"/>
            <w:shd w:val="clear" w:color="auto" w:fill="auto"/>
            <w:vAlign w:val="bottom"/>
          </w:tcPr>
          <w:p w14:paraId="442F77E7" w14:textId="77777777" w:rsidR="00CC25B5" w:rsidRDefault="00CC25B5">
            <w:pPr>
              <w:rPr>
                <w:rFonts w:ascii="宋体"/>
              </w:rPr>
            </w:pPr>
          </w:p>
        </w:tc>
        <w:tc>
          <w:tcPr>
            <w:tcW w:w="5" w:type="pct"/>
            <w:shd w:val="clear" w:color="auto" w:fill="auto"/>
            <w:vAlign w:val="bottom"/>
          </w:tcPr>
          <w:p w14:paraId="442F77E8" w14:textId="77777777" w:rsidR="00CC25B5" w:rsidRDefault="00CC25B5">
            <w:pPr>
              <w:rPr>
                <w:rFonts w:ascii="宋体"/>
              </w:rPr>
            </w:pPr>
          </w:p>
        </w:tc>
        <w:tc>
          <w:tcPr>
            <w:tcW w:w="26" w:type="pct"/>
            <w:shd w:val="clear" w:color="auto" w:fill="auto"/>
            <w:vAlign w:val="bottom"/>
          </w:tcPr>
          <w:p w14:paraId="442F77E9" w14:textId="77777777" w:rsidR="00CC25B5" w:rsidRDefault="00CC25B5">
            <w:pPr>
              <w:rPr>
                <w:rFonts w:ascii="宋体"/>
              </w:rPr>
            </w:pPr>
          </w:p>
        </w:tc>
        <w:tc>
          <w:tcPr>
            <w:tcW w:w="5" w:type="pct"/>
            <w:shd w:val="clear" w:color="auto" w:fill="auto"/>
            <w:vAlign w:val="bottom"/>
          </w:tcPr>
          <w:p w14:paraId="442F77EA" w14:textId="77777777" w:rsidR="00CC25B5" w:rsidRDefault="00CC25B5">
            <w:pPr>
              <w:rPr>
                <w:rFonts w:ascii="宋体"/>
              </w:rPr>
            </w:pPr>
          </w:p>
        </w:tc>
        <w:tc>
          <w:tcPr>
            <w:tcW w:w="50" w:type="pct"/>
            <w:shd w:val="clear" w:color="auto" w:fill="auto"/>
            <w:vAlign w:val="bottom"/>
          </w:tcPr>
          <w:p w14:paraId="442F77EB" w14:textId="77777777" w:rsidR="00CC25B5" w:rsidRDefault="00CC25B5">
            <w:pPr>
              <w:rPr>
                <w:rFonts w:ascii="宋体"/>
              </w:rPr>
            </w:pPr>
          </w:p>
        </w:tc>
        <w:tc>
          <w:tcPr>
            <w:tcW w:w="530" w:type="pct"/>
            <w:shd w:val="clear" w:color="auto" w:fill="auto"/>
            <w:vAlign w:val="bottom"/>
          </w:tcPr>
          <w:p w14:paraId="442F77EC" w14:textId="77777777" w:rsidR="00CC25B5" w:rsidRDefault="00CC25B5">
            <w:pPr>
              <w:rPr>
                <w:rFonts w:ascii="宋体"/>
              </w:rPr>
            </w:pPr>
          </w:p>
        </w:tc>
        <w:tc>
          <w:tcPr>
            <w:tcW w:w="5" w:type="pct"/>
            <w:shd w:val="clear" w:color="auto" w:fill="auto"/>
            <w:vAlign w:val="bottom"/>
          </w:tcPr>
          <w:p w14:paraId="442F77ED" w14:textId="77777777" w:rsidR="00CC25B5" w:rsidRDefault="00CC25B5">
            <w:pPr>
              <w:rPr>
                <w:rFonts w:ascii="宋体"/>
              </w:rPr>
            </w:pPr>
          </w:p>
        </w:tc>
        <w:tc>
          <w:tcPr>
            <w:tcW w:w="5" w:type="pct"/>
            <w:shd w:val="clear" w:color="auto" w:fill="auto"/>
            <w:vAlign w:val="bottom"/>
          </w:tcPr>
          <w:p w14:paraId="442F77EE" w14:textId="77777777" w:rsidR="00CC25B5" w:rsidRDefault="00CC25B5">
            <w:pPr>
              <w:rPr>
                <w:rFonts w:ascii="宋体"/>
              </w:rPr>
            </w:pPr>
          </w:p>
        </w:tc>
        <w:tc>
          <w:tcPr>
            <w:tcW w:w="26" w:type="pct"/>
            <w:shd w:val="clear" w:color="auto" w:fill="auto"/>
            <w:vAlign w:val="bottom"/>
          </w:tcPr>
          <w:p w14:paraId="442F77EF" w14:textId="77777777" w:rsidR="00CC25B5" w:rsidRDefault="00CC25B5">
            <w:pPr>
              <w:rPr>
                <w:rFonts w:ascii="宋体"/>
              </w:rPr>
            </w:pPr>
          </w:p>
        </w:tc>
        <w:tc>
          <w:tcPr>
            <w:tcW w:w="5" w:type="pct"/>
            <w:shd w:val="clear" w:color="auto" w:fill="auto"/>
            <w:vAlign w:val="bottom"/>
          </w:tcPr>
          <w:p w14:paraId="442F77F0" w14:textId="77777777" w:rsidR="00CC25B5" w:rsidRDefault="00CC25B5">
            <w:pPr>
              <w:rPr>
                <w:rFonts w:ascii="宋体"/>
              </w:rPr>
            </w:pPr>
          </w:p>
        </w:tc>
        <w:tc>
          <w:tcPr>
            <w:tcW w:w="50" w:type="pct"/>
            <w:shd w:val="clear" w:color="auto" w:fill="auto"/>
            <w:vAlign w:val="bottom"/>
          </w:tcPr>
          <w:p w14:paraId="442F77F1" w14:textId="77777777" w:rsidR="00CC25B5" w:rsidRDefault="00CC25B5">
            <w:pPr>
              <w:rPr>
                <w:rFonts w:ascii="宋体"/>
              </w:rPr>
            </w:pPr>
          </w:p>
        </w:tc>
        <w:tc>
          <w:tcPr>
            <w:tcW w:w="530" w:type="pct"/>
            <w:shd w:val="clear" w:color="auto" w:fill="auto"/>
            <w:vAlign w:val="bottom"/>
          </w:tcPr>
          <w:p w14:paraId="442F77F2" w14:textId="77777777" w:rsidR="00CC25B5" w:rsidRDefault="00CC25B5">
            <w:pPr>
              <w:rPr>
                <w:rFonts w:ascii="宋体"/>
              </w:rPr>
            </w:pPr>
          </w:p>
        </w:tc>
        <w:tc>
          <w:tcPr>
            <w:tcW w:w="5" w:type="pct"/>
            <w:shd w:val="clear" w:color="auto" w:fill="auto"/>
            <w:vAlign w:val="bottom"/>
          </w:tcPr>
          <w:p w14:paraId="442F77F3" w14:textId="77777777" w:rsidR="00CC25B5" w:rsidRDefault="00CC25B5">
            <w:pPr>
              <w:rPr>
                <w:rFonts w:ascii="宋体"/>
              </w:rPr>
            </w:pPr>
          </w:p>
        </w:tc>
        <w:tc>
          <w:tcPr>
            <w:tcW w:w="5" w:type="pct"/>
            <w:shd w:val="clear" w:color="auto" w:fill="auto"/>
            <w:vAlign w:val="bottom"/>
          </w:tcPr>
          <w:p w14:paraId="442F77F4" w14:textId="77777777" w:rsidR="00CC25B5" w:rsidRDefault="00CC25B5">
            <w:pPr>
              <w:rPr>
                <w:rFonts w:ascii="宋体"/>
              </w:rPr>
            </w:pPr>
          </w:p>
        </w:tc>
        <w:tc>
          <w:tcPr>
            <w:tcW w:w="26" w:type="pct"/>
            <w:shd w:val="clear" w:color="auto" w:fill="auto"/>
            <w:vAlign w:val="bottom"/>
          </w:tcPr>
          <w:p w14:paraId="442F77F5" w14:textId="77777777" w:rsidR="00CC25B5" w:rsidRDefault="00CC25B5">
            <w:pPr>
              <w:rPr>
                <w:rFonts w:ascii="宋体"/>
              </w:rPr>
            </w:pPr>
          </w:p>
        </w:tc>
        <w:tc>
          <w:tcPr>
            <w:tcW w:w="5" w:type="pct"/>
            <w:shd w:val="clear" w:color="auto" w:fill="auto"/>
            <w:vAlign w:val="bottom"/>
          </w:tcPr>
          <w:p w14:paraId="442F77F6" w14:textId="77777777" w:rsidR="00CC25B5" w:rsidRDefault="00CC25B5">
            <w:pPr>
              <w:rPr>
                <w:rFonts w:ascii="宋体"/>
              </w:rPr>
            </w:pPr>
          </w:p>
        </w:tc>
        <w:tc>
          <w:tcPr>
            <w:tcW w:w="50" w:type="pct"/>
            <w:shd w:val="clear" w:color="auto" w:fill="auto"/>
            <w:vAlign w:val="bottom"/>
          </w:tcPr>
          <w:p w14:paraId="442F77F7" w14:textId="77777777" w:rsidR="00CC25B5" w:rsidRDefault="00CC25B5">
            <w:pPr>
              <w:rPr>
                <w:rFonts w:ascii="宋体"/>
              </w:rPr>
            </w:pPr>
          </w:p>
        </w:tc>
        <w:tc>
          <w:tcPr>
            <w:tcW w:w="530" w:type="pct"/>
            <w:shd w:val="clear" w:color="auto" w:fill="auto"/>
            <w:vAlign w:val="bottom"/>
          </w:tcPr>
          <w:p w14:paraId="442F77F8" w14:textId="77777777" w:rsidR="00CC25B5" w:rsidRDefault="00CC25B5">
            <w:pPr>
              <w:rPr>
                <w:rFonts w:ascii="宋体"/>
              </w:rPr>
            </w:pPr>
          </w:p>
        </w:tc>
        <w:tc>
          <w:tcPr>
            <w:tcW w:w="5" w:type="pct"/>
            <w:shd w:val="clear" w:color="auto" w:fill="auto"/>
            <w:vAlign w:val="bottom"/>
          </w:tcPr>
          <w:p w14:paraId="442F77F9" w14:textId="77777777" w:rsidR="00CC25B5" w:rsidRDefault="00CC25B5">
            <w:pPr>
              <w:rPr>
                <w:rFonts w:ascii="宋体"/>
              </w:rPr>
            </w:pPr>
          </w:p>
        </w:tc>
        <w:tc>
          <w:tcPr>
            <w:tcW w:w="5" w:type="pct"/>
            <w:shd w:val="clear" w:color="auto" w:fill="auto"/>
            <w:vAlign w:val="bottom"/>
          </w:tcPr>
          <w:p w14:paraId="442F77FA" w14:textId="77777777" w:rsidR="00CC25B5" w:rsidRDefault="00CC25B5">
            <w:pPr>
              <w:rPr>
                <w:rFonts w:ascii="宋体"/>
              </w:rPr>
            </w:pPr>
          </w:p>
        </w:tc>
        <w:tc>
          <w:tcPr>
            <w:tcW w:w="26" w:type="pct"/>
            <w:shd w:val="clear" w:color="auto" w:fill="auto"/>
            <w:vAlign w:val="bottom"/>
          </w:tcPr>
          <w:p w14:paraId="442F77FB" w14:textId="77777777" w:rsidR="00CC25B5" w:rsidRDefault="00CC25B5">
            <w:pPr>
              <w:rPr>
                <w:rFonts w:ascii="宋体"/>
              </w:rPr>
            </w:pPr>
          </w:p>
        </w:tc>
        <w:tc>
          <w:tcPr>
            <w:tcW w:w="5" w:type="pct"/>
            <w:shd w:val="clear" w:color="auto" w:fill="auto"/>
            <w:vAlign w:val="bottom"/>
          </w:tcPr>
          <w:p w14:paraId="442F77FC" w14:textId="77777777" w:rsidR="00CC25B5" w:rsidRDefault="00CC25B5">
            <w:pPr>
              <w:rPr>
                <w:rFonts w:ascii="宋体"/>
              </w:rPr>
            </w:pPr>
          </w:p>
        </w:tc>
        <w:tc>
          <w:tcPr>
            <w:tcW w:w="50" w:type="pct"/>
            <w:shd w:val="clear" w:color="auto" w:fill="auto"/>
            <w:vAlign w:val="bottom"/>
          </w:tcPr>
          <w:p w14:paraId="442F77FD" w14:textId="77777777" w:rsidR="00CC25B5" w:rsidRDefault="00CC25B5">
            <w:pPr>
              <w:rPr>
                <w:rFonts w:ascii="宋体"/>
              </w:rPr>
            </w:pPr>
          </w:p>
        </w:tc>
        <w:tc>
          <w:tcPr>
            <w:tcW w:w="530" w:type="pct"/>
            <w:shd w:val="clear" w:color="auto" w:fill="auto"/>
            <w:vAlign w:val="bottom"/>
          </w:tcPr>
          <w:p w14:paraId="442F77FE" w14:textId="77777777" w:rsidR="00CC25B5" w:rsidRDefault="00CC25B5">
            <w:pPr>
              <w:rPr>
                <w:rFonts w:ascii="宋体"/>
              </w:rPr>
            </w:pPr>
          </w:p>
        </w:tc>
        <w:tc>
          <w:tcPr>
            <w:tcW w:w="5" w:type="pct"/>
            <w:shd w:val="clear" w:color="auto" w:fill="auto"/>
            <w:vAlign w:val="bottom"/>
          </w:tcPr>
          <w:p w14:paraId="442F77FF" w14:textId="77777777" w:rsidR="00CC25B5" w:rsidRDefault="00CC25B5">
            <w:pPr>
              <w:rPr>
                <w:rFonts w:ascii="宋体"/>
              </w:rPr>
            </w:pPr>
          </w:p>
        </w:tc>
      </w:tr>
      <w:tr w:rsidR="00CC25B5" w14:paraId="442F7806" w14:textId="77777777">
        <w:tc>
          <w:tcPr>
            <w:tcW w:w="0" w:type="auto"/>
            <w:gridSpan w:val="3"/>
            <w:shd w:val="clear" w:color="auto" w:fill="auto"/>
            <w:tcMar>
              <w:top w:w="40" w:type="dxa"/>
              <w:left w:w="20" w:type="dxa"/>
              <w:bottom w:w="40" w:type="dxa"/>
              <w:right w:w="20" w:type="dxa"/>
            </w:tcMar>
            <w:vAlign w:val="bottom"/>
          </w:tcPr>
          <w:p w14:paraId="442F7801"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802"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803" w14:textId="77777777" w:rsidR="00CC25B5" w:rsidRDefault="00900968">
            <w:pPr>
              <w:jc w:val="center"/>
              <w:textAlignment w:val="bottom"/>
            </w:pPr>
            <w:r>
              <w:rPr>
                <w:rFonts w:ascii="Times New Roman" w:eastAsia="宋体" w:hAnsi="Times New Roman"/>
                <w:b/>
                <w:bCs/>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442F7804"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805" w14:textId="77777777" w:rsidR="00CC25B5" w:rsidRDefault="00900968">
            <w:pPr>
              <w:jc w:val="center"/>
              <w:textAlignment w:val="bottom"/>
            </w:pPr>
            <w:r>
              <w:rPr>
                <w:rFonts w:ascii="Times New Roman" w:eastAsia="宋体" w:hAnsi="Times New Roman"/>
                <w:b/>
                <w:bCs/>
                <w:color w:val="000000"/>
                <w:sz w:val="16"/>
                <w:szCs w:val="16"/>
              </w:rPr>
              <w:t>January 31, 2021</w:t>
            </w:r>
          </w:p>
        </w:tc>
      </w:tr>
      <w:tr w:rsidR="00CC25B5" w14:paraId="442F7810" w14:textId="77777777">
        <w:tc>
          <w:tcPr>
            <w:tcW w:w="0" w:type="auto"/>
            <w:gridSpan w:val="3"/>
            <w:shd w:val="clear" w:color="auto" w:fill="auto"/>
            <w:tcMar>
              <w:top w:w="40" w:type="dxa"/>
              <w:left w:w="20" w:type="dxa"/>
              <w:bottom w:w="40" w:type="dxa"/>
              <w:right w:w="20" w:type="dxa"/>
            </w:tcMar>
            <w:vAlign w:val="bottom"/>
          </w:tcPr>
          <w:p w14:paraId="442F7807"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808"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809" w14:textId="77777777" w:rsidR="00CC25B5" w:rsidRDefault="00900968">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0A"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80B" w14:textId="77777777" w:rsidR="00CC25B5" w:rsidRDefault="00900968">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42F780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80D" w14:textId="77777777" w:rsidR="00CC25B5" w:rsidRDefault="00900968">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0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80F" w14:textId="77777777" w:rsidR="00CC25B5" w:rsidRDefault="00900968">
            <w:pPr>
              <w:jc w:val="center"/>
              <w:textAlignment w:val="bottom"/>
            </w:pPr>
            <w:r>
              <w:rPr>
                <w:rFonts w:ascii="Times New Roman" w:eastAsia="宋体" w:hAnsi="Times New Roman"/>
                <w:b/>
                <w:bCs/>
                <w:color w:val="000000"/>
                <w:sz w:val="16"/>
                <w:szCs w:val="16"/>
              </w:rPr>
              <w:t>Fair Value</w:t>
            </w:r>
          </w:p>
        </w:tc>
      </w:tr>
      <w:tr w:rsidR="00CC25B5" w14:paraId="442F7822" w14:textId="77777777">
        <w:tc>
          <w:tcPr>
            <w:tcW w:w="0" w:type="auto"/>
            <w:gridSpan w:val="3"/>
            <w:shd w:val="clear" w:color="auto" w:fill="CCEEFF"/>
            <w:tcMar>
              <w:top w:w="40" w:type="dxa"/>
              <w:left w:w="20" w:type="dxa"/>
              <w:bottom w:w="40" w:type="dxa"/>
              <w:right w:w="20" w:type="dxa"/>
            </w:tcMar>
            <w:vAlign w:val="center"/>
          </w:tcPr>
          <w:p w14:paraId="442F7811" w14:textId="77777777" w:rsidR="00CC25B5" w:rsidRDefault="00900968">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bottom"/>
          </w:tcPr>
          <w:p w14:paraId="442F781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81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814" w14:textId="77777777" w:rsidR="00CC25B5" w:rsidRDefault="00900968">
            <w:pPr>
              <w:jc w:val="right"/>
              <w:textAlignment w:val="center"/>
            </w:pPr>
            <w:r>
              <w:rPr>
                <w:rFonts w:ascii="Times New Roman" w:eastAsia="宋体" w:hAnsi="Times New Roman"/>
                <w:color w:val="000000"/>
                <w:sz w:val="16"/>
                <w:szCs w:val="16"/>
              </w:rPr>
              <w:t>41,198 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81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1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81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818" w14:textId="77777777" w:rsidR="00CC25B5" w:rsidRDefault="00900968">
            <w:pPr>
              <w:jc w:val="right"/>
              <w:textAlignment w:val="center"/>
            </w:pPr>
            <w:r>
              <w:rPr>
                <w:rFonts w:ascii="Times New Roman" w:eastAsia="宋体" w:hAnsi="Times New Roman"/>
                <w:color w:val="000000"/>
                <w:sz w:val="16"/>
                <w:szCs w:val="16"/>
              </w:rPr>
              <w:t>50,373 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81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1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81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81C" w14:textId="77777777" w:rsidR="00CC25B5" w:rsidRDefault="00900968">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81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1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81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820" w14:textId="77777777" w:rsidR="00CC25B5" w:rsidRDefault="00900968">
            <w:pPr>
              <w:jc w:val="right"/>
              <w:textAlignment w:val="center"/>
            </w:pPr>
            <w:r>
              <w:rPr>
                <w:rFonts w:ascii="Times New Roman" w:eastAsia="宋体" w:hAnsi="Times New Roman"/>
                <w:color w:val="000000"/>
                <w:sz w:val="16"/>
                <w:szCs w:val="16"/>
              </w:rPr>
              <w:t>54,240 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821" w14:textId="77777777" w:rsidR="00CC25B5" w:rsidRDefault="00CC25B5">
            <w:pPr>
              <w:jc w:val="right"/>
              <w:rPr>
                <w:rFonts w:ascii="宋体"/>
              </w:rPr>
            </w:pPr>
          </w:p>
        </w:tc>
      </w:tr>
    </w:tbl>
    <w:p w14:paraId="442F7823" w14:textId="77777777" w:rsidR="00CC25B5" w:rsidRDefault="00900968">
      <w:pPr>
        <w:spacing w:before="240"/>
      </w:pPr>
      <w:r>
        <w:rPr>
          <w:rFonts w:ascii="Times New Roman" w:eastAsia="宋体" w:hAnsi="Times New Roman"/>
          <w:b/>
          <w:bCs/>
          <w:color w:val="000000"/>
          <w:sz w:val="20"/>
          <w:szCs w:val="20"/>
        </w:rPr>
        <w:t>Note 6. Divestitures</w:t>
      </w:r>
    </w:p>
    <w:p w14:paraId="442F7824" w14:textId="77777777" w:rsidR="00CC25B5" w:rsidRDefault="00900968">
      <w:pPr>
        <w:spacing w:before="180"/>
      </w:pPr>
      <w:r>
        <w:rPr>
          <w:rFonts w:ascii="Times New Roman" w:eastAsia="宋体" w:hAnsi="Times New Roman"/>
          <w:color w:val="000000"/>
          <w:sz w:val="20"/>
          <w:szCs w:val="20"/>
        </w:rPr>
        <w:t xml:space="preserve">During fiscal 2022, the Company completed the following </w:t>
      </w:r>
      <w:r>
        <w:rPr>
          <w:rFonts w:ascii="Times New Roman" w:eastAsia="宋体" w:hAnsi="Times New Roman"/>
          <w:color w:val="000000"/>
          <w:sz w:val="20"/>
          <w:szCs w:val="20"/>
        </w:rPr>
        <w:t>transactions related to the Company's Walmart International segment. After closing these transactions, total assets of the Walmart International segment were $87.8 billion as of July 31, 2021, as compared to $109.4 billion as of January 31, 2021.</w:t>
      </w:r>
    </w:p>
    <w:p w14:paraId="442F7825" w14:textId="77777777" w:rsidR="00CC25B5" w:rsidRDefault="00900968">
      <w:pPr>
        <w:spacing w:before="100"/>
      </w:pPr>
      <w:r>
        <w:rPr>
          <w:rFonts w:ascii="Times New Roman" w:eastAsia="宋体" w:hAnsi="Times New Roman"/>
          <w:b/>
          <w:bCs/>
          <w:i/>
          <w:iCs/>
          <w:color w:val="000000"/>
          <w:sz w:val="20"/>
          <w:szCs w:val="20"/>
        </w:rPr>
        <w:t>Asda</w:t>
      </w:r>
    </w:p>
    <w:p w14:paraId="442F7826" w14:textId="77777777" w:rsidR="00CC25B5" w:rsidRDefault="00900968">
      <w:pPr>
        <w:spacing w:before="100"/>
      </w:pPr>
      <w:r>
        <w:rPr>
          <w:rFonts w:ascii="Times New Roman" w:eastAsia="宋体" w:hAnsi="Times New Roman"/>
          <w:color w:val="000000"/>
          <w:sz w:val="20"/>
          <w:szCs w:val="20"/>
        </w:rPr>
        <w:t>In F</w:t>
      </w:r>
      <w:r>
        <w:rPr>
          <w:rFonts w:ascii="Times New Roman" w:eastAsia="宋体" w:hAnsi="Times New Roman"/>
          <w:color w:val="000000"/>
          <w:sz w:val="20"/>
          <w:szCs w:val="20"/>
        </w:rPr>
        <w:t>ebruary 2021, the Company completed the divestiture of Asda, the Company's retail operations in the U.K., for net consideration of $9.6 billion. Upon closing of the transaction, the Company recorded an incremental pre-tax loss of $0.2 billion in other gain</w:t>
      </w:r>
      <w:r>
        <w:rPr>
          <w:rFonts w:ascii="Times New Roman" w:eastAsia="宋体" w:hAnsi="Times New Roman"/>
          <w:color w:val="000000"/>
          <w:sz w:val="20"/>
          <w:szCs w:val="20"/>
        </w:rPr>
        <w:t>s and losses in its Condensed Consolidated Statement of Income in the first quarter of fiscal 2022, primarily related to changes in the net assets of the disposal group, currency exchange rate fluctuations and customary purchase price adjustments upon clos</w:t>
      </w:r>
      <w:r>
        <w:rPr>
          <w:rFonts w:ascii="Times New Roman" w:eastAsia="宋体" w:hAnsi="Times New Roman"/>
          <w:color w:val="000000"/>
          <w:sz w:val="20"/>
          <w:szCs w:val="20"/>
        </w:rPr>
        <w:t>ing. During the first quarter of fiscal 2022, the Company deconsolidated the financial statements of Asda and recognized its retained investment in Asda as a debt security within other long-term assets and also recognized certain legal and tax indemnity li</w:t>
      </w:r>
      <w:r>
        <w:rPr>
          <w:rFonts w:ascii="Times New Roman" w:eastAsia="宋体" w:hAnsi="Times New Roman"/>
          <w:color w:val="000000"/>
          <w:sz w:val="20"/>
          <w:szCs w:val="20"/>
        </w:rPr>
        <w:t>abilities within deferred income taxes and other on the Condensed Consolidated Balance Sheet.</w:t>
      </w:r>
    </w:p>
    <w:p w14:paraId="442F7827" w14:textId="77777777" w:rsidR="00CC25B5" w:rsidRDefault="00900968">
      <w:pPr>
        <w:spacing w:before="180"/>
      </w:pPr>
      <w:r>
        <w:rPr>
          <w:rFonts w:ascii="Times New Roman" w:eastAsia="宋体" w:hAnsi="Times New Roman"/>
          <w:b/>
          <w:bCs/>
          <w:i/>
          <w:iCs/>
          <w:color w:val="000000"/>
          <w:sz w:val="20"/>
          <w:szCs w:val="20"/>
        </w:rPr>
        <w:t>Seiyu</w:t>
      </w:r>
    </w:p>
    <w:p w14:paraId="442F7828" w14:textId="77777777" w:rsidR="00CC25B5" w:rsidRDefault="00900968">
      <w:pPr>
        <w:spacing w:before="100"/>
      </w:pPr>
      <w:r>
        <w:rPr>
          <w:rFonts w:ascii="Times New Roman" w:eastAsia="宋体" w:hAnsi="Times New Roman"/>
          <w:color w:val="000000"/>
          <w:sz w:val="20"/>
          <w:szCs w:val="20"/>
        </w:rPr>
        <w:t>In March 2021, the Company completed the divestiture of Seiyu, the Company's retail operations in Japan, for net consideration of $1.2 billion. Upon closing of the transaction, the Company recorded an incremental pre-tax loss of $0.2 billion in other gains</w:t>
      </w:r>
      <w:r>
        <w:rPr>
          <w:rFonts w:ascii="Times New Roman" w:eastAsia="宋体" w:hAnsi="Times New Roman"/>
          <w:color w:val="000000"/>
          <w:sz w:val="20"/>
          <w:szCs w:val="20"/>
        </w:rPr>
        <w:t xml:space="preserve"> and losses in its Condensed Consolidated Statement of Income in the first quarter of fiscal 2022, primarily related to changes in the net assets of the disposal group, currency exchange rate fluctuations and customary purchase price adjustments upon closi</w:t>
      </w:r>
      <w:r>
        <w:rPr>
          <w:rFonts w:ascii="Times New Roman" w:eastAsia="宋体" w:hAnsi="Times New Roman"/>
          <w:color w:val="000000"/>
          <w:sz w:val="20"/>
          <w:szCs w:val="20"/>
        </w:rPr>
        <w:t>ng. During the first quarter of fiscal 2022, the Company deconsolidated the financial statements of Seiyu and recognized its retained 15 percent ownership interest in Seiyu as an equity investment within other long-term assets on the Condensed Consolidated</w:t>
      </w:r>
      <w:r>
        <w:rPr>
          <w:rFonts w:ascii="Times New Roman" w:eastAsia="宋体" w:hAnsi="Times New Roman"/>
          <w:color w:val="000000"/>
          <w:sz w:val="20"/>
          <w:szCs w:val="20"/>
        </w:rPr>
        <w:t xml:space="preserve"> Balance Sheet. </w:t>
      </w:r>
    </w:p>
    <w:p w14:paraId="442F7829" w14:textId="77777777" w:rsidR="00CC25B5" w:rsidRDefault="00900968">
      <w:pPr>
        <w:spacing w:before="240"/>
      </w:pPr>
      <w:r>
        <w:rPr>
          <w:rFonts w:ascii="Times New Roman" w:eastAsia="宋体" w:hAnsi="Times New Roman"/>
          <w:b/>
          <w:bCs/>
          <w:color w:val="000000"/>
          <w:sz w:val="20"/>
          <w:szCs w:val="20"/>
        </w:rPr>
        <w:t>Note 7. Contingencies</w:t>
      </w:r>
    </w:p>
    <w:p w14:paraId="442F782A" w14:textId="77777777" w:rsidR="00CC25B5" w:rsidRDefault="00900968">
      <w:pPr>
        <w:spacing w:before="180"/>
      </w:pPr>
      <w:r>
        <w:rPr>
          <w:rFonts w:ascii="Times New Roman" w:eastAsia="宋体" w:hAnsi="Times New Roman"/>
          <w:b/>
          <w:bCs/>
          <w:i/>
          <w:iCs/>
          <w:color w:val="000000"/>
          <w:sz w:val="20"/>
          <w:szCs w:val="20"/>
        </w:rPr>
        <w:t>Legal Proceedings</w:t>
      </w:r>
    </w:p>
    <w:p w14:paraId="442F782B" w14:textId="77777777" w:rsidR="00CC25B5" w:rsidRDefault="00900968">
      <w:pPr>
        <w:spacing w:before="100"/>
      </w:pPr>
      <w:r>
        <w:rPr>
          <w:rFonts w:ascii="Times New Roman" w:eastAsia="宋体" w:hAnsi="Times New Roman"/>
          <w:color w:val="000000"/>
          <w:sz w:val="20"/>
          <w:szCs w:val="20"/>
        </w:rPr>
        <w:t>The Company is involved in a number of legal proceedings. The Company has made accruals with respect to these matters, where appropriate, which are reflected in the Company's Condensed Consolidated F</w:t>
      </w:r>
      <w:r>
        <w:rPr>
          <w:rFonts w:ascii="Times New Roman" w:eastAsia="宋体" w:hAnsi="Times New Roman"/>
          <w:color w:val="000000"/>
          <w:sz w:val="20"/>
          <w:szCs w:val="20"/>
        </w:rPr>
        <w:t>inancial Statements. For some matters, a liability is not probable or the amount cannot be reasonably estimated and therefore an accrual has not been made. However, where a liability is reasonably possible and may be material, such matters have been disclo</w:t>
      </w:r>
      <w:r>
        <w:rPr>
          <w:rFonts w:ascii="Times New Roman" w:eastAsia="宋体" w:hAnsi="Times New Roman"/>
          <w:color w:val="000000"/>
          <w:sz w:val="20"/>
          <w:szCs w:val="20"/>
        </w:rPr>
        <w:t>sed. The Company may enter into discussions regarding settlement of these matters, and may enter into settlement agreements, if it believes settlement is in the best interest of the Company and its shareholders.</w:t>
      </w:r>
    </w:p>
    <w:p w14:paraId="442F782C" w14:textId="77777777" w:rsidR="00CC25B5" w:rsidRDefault="00900968">
      <w:pPr>
        <w:spacing w:before="100"/>
      </w:pPr>
      <w:r>
        <w:rPr>
          <w:rFonts w:ascii="Times New Roman" w:eastAsia="宋体" w:hAnsi="Times New Roman"/>
          <w:color w:val="000000"/>
          <w:sz w:val="20"/>
          <w:szCs w:val="20"/>
        </w:rPr>
        <w:t>Unless stated otherwise, the matters discuss</w:t>
      </w:r>
      <w:r>
        <w:rPr>
          <w:rFonts w:ascii="Times New Roman" w:eastAsia="宋体" w:hAnsi="Times New Roman"/>
          <w:color w:val="000000"/>
          <w:sz w:val="20"/>
          <w:szCs w:val="20"/>
        </w:rPr>
        <w:t>ed below, if decided adversely or settled by the Company, individually or in the aggregate, may result in a liability material to the Company's financial condition, results of operations or cash flows.</w:t>
      </w:r>
    </w:p>
    <w:p w14:paraId="442F782D" w14:textId="77777777" w:rsidR="00CC25B5" w:rsidRDefault="00900968">
      <w:pPr>
        <w:jc w:val="center"/>
      </w:pPr>
      <w:r>
        <w:rPr>
          <w:rFonts w:ascii="Times New Roman" w:eastAsia="宋体" w:hAnsi="Times New Roman"/>
          <w:color w:val="000000"/>
          <w:sz w:val="20"/>
          <w:szCs w:val="20"/>
        </w:rPr>
        <w:t>11</w:t>
      </w:r>
    </w:p>
    <w:p w14:paraId="442F782E" w14:textId="77777777" w:rsidR="00CC25B5" w:rsidRDefault="00900968">
      <w:r>
        <w:pict w14:anchorId="442F85D4">
          <v:rect id="_x0000_i1035" style="width:415.3pt;height:1.5pt" o:hralign="center" o:hrstd="t" o:hr="t" fillcolor="#a0a0a0" stroked="f"/>
        </w:pict>
      </w:r>
    </w:p>
    <w:p w14:paraId="442F782F" w14:textId="77777777" w:rsidR="00CC25B5" w:rsidRDefault="00900968">
      <w:hyperlink r:id="rId53" w:anchor="ie1710166881948a18c44f48eaa2dcf00_7" w:history="1">
        <w:r>
          <w:rPr>
            <w:rStyle w:val="a5"/>
            <w:rFonts w:ascii="Times New Roman" w:eastAsia="宋体" w:hAnsi="Times New Roman"/>
            <w:sz w:val="20"/>
            <w:szCs w:val="20"/>
          </w:rPr>
          <w:t>Table of Contents</w:t>
        </w:r>
      </w:hyperlink>
    </w:p>
    <w:p w14:paraId="442F7830" w14:textId="77777777" w:rsidR="00CC25B5" w:rsidRDefault="00900968">
      <w:pPr>
        <w:spacing w:before="180"/>
      </w:pPr>
      <w:r>
        <w:rPr>
          <w:rFonts w:ascii="Times New Roman" w:eastAsia="宋体" w:hAnsi="Times New Roman"/>
          <w:i/>
          <w:iCs/>
          <w:color w:val="000000"/>
          <w:sz w:val="20"/>
          <w:szCs w:val="20"/>
        </w:rPr>
        <w:t xml:space="preserve">Opioids Litigation </w:t>
      </w:r>
    </w:p>
    <w:p w14:paraId="442F7831" w14:textId="77777777" w:rsidR="00CC25B5" w:rsidRDefault="00900968">
      <w:pPr>
        <w:spacing w:before="100"/>
      </w:pPr>
      <w:r>
        <w:rPr>
          <w:rFonts w:ascii="Times New Roman" w:eastAsia="宋体" w:hAnsi="Times New Roman"/>
          <w:color w:val="000000"/>
          <w:sz w:val="20"/>
          <w:szCs w:val="20"/>
        </w:rPr>
        <w:t>In December 2017, the United States Judicial Panel on Multidistrict Litigation consolidated numerous lawsuits filed</w:t>
      </w:r>
      <w:r>
        <w:rPr>
          <w:rFonts w:ascii="Times New Roman" w:eastAsia="宋体" w:hAnsi="Times New Roman"/>
          <w:color w:val="000000"/>
          <w:sz w:val="20"/>
          <w:szCs w:val="20"/>
        </w:rPr>
        <w:t xml:space="preserve"> against a wide array of defendants by various plaintiffs, including counties, cities, healthcare providers, Native American tribes, individuals, and third-party payers, asserting claims generally concerning the impacts of widespread opioid abuse. The cons</w:t>
      </w:r>
      <w:r>
        <w:rPr>
          <w:rFonts w:ascii="Times New Roman" w:eastAsia="宋体" w:hAnsi="Times New Roman"/>
          <w:color w:val="000000"/>
          <w:sz w:val="20"/>
          <w:szCs w:val="20"/>
        </w:rPr>
        <w:t xml:space="preserve">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(MDL No. 2804), and is pending in the U.S. District Court for the Northern District of Ohio. The Company is named as a defendant in some of the cases included in th</w:t>
      </w:r>
      <w:r>
        <w:rPr>
          <w:rFonts w:ascii="Times New Roman" w:eastAsia="宋体" w:hAnsi="Times New Roman"/>
          <w:color w:val="000000"/>
          <w:sz w:val="20"/>
          <w:szCs w:val="20"/>
        </w:rPr>
        <w:t>is multidistrict litigation. Similar cases that name the Company have also been filed in state courts by state, local and tribal governments, health care providers and other plaintiffs. Plaintiffs are seeking compensatory and punitive damages, as well as i</w:t>
      </w:r>
      <w:r>
        <w:rPr>
          <w:rFonts w:ascii="Times New Roman" w:eastAsia="宋体" w:hAnsi="Times New Roman"/>
          <w:color w:val="000000"/>
          <w:sz w:val="20"/>
          <w:szCs w:val="20"/>
        </w:rPr>
        <w:t>njunctive relief including abatement. The Company cannot predict the number of such claims that may be filed, but believes it has substantial factual and legal defenses to these claims, and intends to defend the claims vigorously. The Company has also been</w:t>
      </w:r>
      <w:r>
        <w:rPr>
          <w:rFonts w:ascii="Times New Roman" w:eastAsia="宋体" w:hAnsi="Times New Roman"/>
          <w:color w:val="000000"/>
          <w:sz w:val="20"/>
          <w:szCs w:val="20"/>
        </w:rPr>
        <w:t xml:space="preserve"> responding to subpoenas, information requests and investigations from governmental entities related to nationwide controlled substance dispensing and distribution practices involving opioids. On October 22, 2020, the Company filed a declaratory judgment a</w:t>
      </w:r>
      <w:r>
        <w:rPr>
          <w:rFonts w:ascii="Times New Roman" w:eastAsia="宋体" w:hAnsi="Times New Roman"/>
          <w:color w:val="000000"/>
          <w:sz w:val="20"/>
          <w:szCs w:val="20"/>
        </w:rPr>
        <w:t>ction in the U.S. District Court for the Eastern District of Texas against the U.S. Department of Justice (the "DOJ") and the U.S. Drug Enforcement Administration, asking a federal court to clarify the roles and responsibilities of pharmacists and pharmaci</w:t>
      </w:r>
      <w:r>
        <w:rPr>
          <w:rFonts w:ascii="Times New Roman" w:eastAsia="宋体" w:hAnsi="Times New Roman"/>
          <w:color w:val="000000"/>
          <w:sz w:val="20"/>
          <w:szCs w:val="20"/>
        </w:rPr>
        <w:t xml:space="preserve">es as to the dispensing and distribution of opioids under the Controlled Substances Act (the "CSA"). The Company’s action was dismissed. The Company has appealed this decision to the fifth circuit and awaits the court's decision. On December 22, 2020, the </w:t>
      </w:r>
      <w:r>
        <w:rPr>
          <w:rFonts w:ascii="Times New Roman" w:eastAsia="宋体" w:hAnsi="Times New Roman"/>
          <w:color w:val="000000"/>
          <w:sz w:val="20"/>
          <w:szCs w:val="20"/>
        </w:rPr>
        <w:t>DOJ filed a civil complaint in the U.S. District Court for the District of Delaware alleging that the Company unlawfully dispensed controlled substances from its pharmacies and unlawfully distributed controlled substances to those pharmacies. The complaint</w:t>
      </w:r>
      <w:r>
        <w:rPr>
          <w:rFonts w:ascii="Times New Roman" w:eastAsia="宋体" w:hAnsi="Times New Roman"/>
          <w:color w:val="000000"/>
          <w:sz w:val="20"/>
          <w:szCs w:val="20"/>
        </w:rPr>
        <w:t xml:space="preserve"> alleges that this conduct resulted in violations of the CSA. The DOJ is seeking civil penalties and injunctive relief. The Company filed a motion to dismiss the DOJ complaint on February 22, 2021. The DOJ filed its opposition brief on April 23, 2021 and t</w:t>
      </w:r>
      <w:r>
        <w:rPr>
          <w:rFonts w:ascii="Times New Roman" w:eastAsia="宋体" w:hAnsi="Times New Roman"/>
          <w:color w:val="000000"/>
          <w:sz w:val="20"/>
          <w:szCs w:val="20"/>
        </w:rPr>
        <w:t>he Company filed its reply brief on May 24, 2021.</w:t>
      </w:r>
    </w:p>
    <w:p w14:paraId="442F7832" w14:textId="77777777" w:rsidR="00CC25B5" w:rsidRDefault="00900968">
      <w:pPr>
        <w:spacing w:before="100"/>
      </w:pPr>
      <w:r>
        <w:rPr>
          <w:rFonts w:ascii="Times New Roman" w:eastAsia="宋体" w:hAnsi="Times New Roman"/>
          <w:color w:val="000000"/>
          <w:sz w:val="20"/>
          <w:szCs w:val="20"/>
        </w:rPr>
        <w:t>In addition, the Company is the subject of two securities class actions alleging violations of the federal securities laws regarding the Company's disclosures with respect to opioids, filed in the U.S. Dist</w:t>
      </w:r>
      <w:r>
        <w:rPr>
          <w:rFonts w:ascii="Times New Roman" w:eastAsia="宋体" w:hAnsi="Times New Roman"/>
          <w:color w:val="000000"/>
          <w:sz w:val="20"/>
          <w:szCs w:val="20"/>
        </w:rPr>
        <w:t>rict Court for the District of Delaware on January 20, 2021 and March 5, 2021 purportedly on behalf of a class of investors who acquired Walmart stock from March 30, 2016 through December 22, 2020. Those cases have been consolidated. Derivative actions wer</w:t>
      </w:r>
      <w:r>
        <w:rPr>
          <w:rFonts w:ascii="Times New Roman" w:eastAsia="宋体" w:hAnsi="Times New Roman"/>
          <w:color w:val="000000"/>
          <w:sz w:val="20"/>
          <w:szCs w:val="20"/>
        </w:rPr>
        <w:t>e also filed by two of the Company's shareholders in the U.S. District Court for the District of Delaware on February 9, 2021 and April 16, 2021 alleging breach of fiduciary duties against certain of its current and former directors with respect to oversig</w:t>
      </w:r>
      <w:r>
        <w:rPr>
          <w:rFonts w:ascii="Times New Roman" w:eastAsia="宋体" w:hAnsi="Times New Roman"/>
          <w:color w:val="000000"/>
          <w:sz w:val="20"/>
          <w:szCs w:val="20"/>
        </w:rPr>
        <w:t xml:space="preserve">ht of the Company's distribution and dispensing of opioids and also alleging violations of the federal securities laws and other breaches of duty by current directors and two current officers in connection with the Company's opioids disclosures. </w:t>
      </w:r>
    </w:p>
    <w:p w14:paraId="442F7833" w14:textId="77777777" w:rsidR="00CC25B5" w:rsidRDefault="00900968">
      <w:pPr>
        <w:spacing w:before="100"/>
      </w:pPr>
      <w:r>
        <w:rPr>
          <w:rFonts w:ascii="Times New Roman" w:eastAsia="宋体" w:hAnsi="Times New Roman"/>
          <w:color w:val="000000"/>
          <w:sz w:val="20"/>
          <w:szCs w:val="20"/>
        </w:rPr>
        <w:t>The Compa</w:t>
      </w:r>
      <w:r>
        <w:rPr>
          <w:rFonts w:ascii="Times New Roman" w:eastAsia="宋体" w:hAnsi="Times New Roman"/>
          <w:color w:val="000000"/>
          <w:sz w:val="20"/>
          <w:szCs w:val="20"/>
        </w:rPr>
        <w:t>ny cannot reasonably estimate any loss or range of loss that may arise from the various Opioids Litigation and intends to vigorously defend these litigation matters. Accordingly, the Company can provide no assurance as to the scope and outcome of these mat</w:t>
      </w:r>
      <w:r>
        <w:rPr>
          <w:rFonts w:ascii="Times New Roman" w:eastAsia="宋体" w:hAnsi="Times New Roman"/>
          <w:color w:val="000000"/>
          <w:sz w:val="20"/>
          <w:szCs w:val="20"/>
        </w:rPr>
        <w:t>ters and no assurance as to whether its business, financial position, results of operations or cash flows will not be materially adversely affected.</w:t>
      </w:r>
    </w:p>
    <w:p w14:paraId="442F7834" w14:textId="77777777" w:rsidR="00CC25B5" w:rsidRDefault="00900968">
      <w:pPr>
        <w:spacing w:before="100"/>
      </w:pPr>
      <w:r>
        <w:rPr>
          <w:rFonts w:ascii="Times New Roman" w:eastAsia="宋体" w:hAnsi="Times New Roman"/>
          <w:i/>
          <w:iCs/>
          <w:color w:val="000000"/>
          <w:sz w:val="20"/>
          <w:szCs w:val="20"/>
        </w:rPr>
        <w:t>Asda Equal Value Claims</w:t>
      </w:r>
    </w:p>
    <w:p w14:paraId="442F7835" w14:textId="77777777" w:rsidR="00CC25B5" w:rsidRDefault="00900968">
      <w:pPr>
        <w:spacing w:before="100"/>
      </w:pPr>
      <w:r>
        <w:rPr>
          <w:rFonts w:ascii="Times New Roman" w:eastAsia="宋体" w:hAnsi="Times New Roman"/>
          <w:color w:val="000000"/>
          <w:sz w:val="20"/>
          <w:szCs w:val="20"/>
        </w:rPr>
        <w:t>Prior to the divestiture of Asda, the Company, through its Asda subsidiary, was a d</w:t>
      </w:r>
      <w:r>
        <w:rPr>
          <w:rFonts w:ascii="Times New Roman" w:eastAsia="宋体" w:hAnsi="Times New Roman"/>
          <w:color w:val="000000"/>
          <w:sz w:val="20"/>
          <w:szCs w:val="20"/>
        </w:rPr>
        <w:t>efendant in certain equal value claims that began in 2008 and are proceeding before an Employment Tribunal in Manchester in the United Kingdom on behalf of current and former Asda store employees (the "Asda Equal Value Claims"), and further claims may be a</w:t>
      </w:r>
      <w:r>
        <w:rPr>
          <w:rFonts w:ascii="Times New Roman" w:eastAsia="宋体" w:hAnsi="Times New Roman"/>
          <w:color w:val="000000"/>
          <w:sz w:val="20"/>
          <w:szCs w:val="20"/>
        </w:rPr>
        <w:t>sserted in the future. Subsequent to the divestiture of Asda in February 2021, the Company will continue to conduct the defense of these claims. While potential liability for these claims remains with Asda, the Company has agreed to provide indemnification</w:t>
      </w:r>
      <w:r>
        <w:rPr>
          <w:rFonts w:ascii="Times New Roman" w:eastAsia="宋体" w:hAnsi="Times New Roman"/>
          <w:color w:val="000000"/>
          <w:sz w:val="20"/>
          <w:szCs w:val="20"/>
        </w:rPr>
        <w:t xml:space="preserve"> with respect to these claims up to a contractually determined amount. The Company cannot predict the number of such claims that may be filed, and cannot reasonably estimate any loss or range of loss that may arise related to these proceedings. Accordingly</w:t>
      </w:r>
      <w:r>
        <w:rPr>
          <w:rFonts w:ascii="Times New Roman" w:eastAsia="宋体" w:hAnsi="Times New Roman"/>
          <w:color w:val="000000"/>
          <w:sz w:val="20"/>
          <w:szCs w:val="20"/>
        </w:rPr>
        <w:t xml:space="preserve">, the Company can provide no assurance as to the scope and outcomes of these matters. </w:t>
      </w:r>
    </w:p>
    <w:p w14:paraId="442F7836" w14:textId="77777777" w:rsidR="00CC25B5" w:rsidRDefault="00900968">
      <w:pPr>
        <w:spacing w:before="240"/>
      </w:pPr>
      <w:r>
        <w:rPr>
          <w:rFonts w:ascii="Times New Roman" w:eastAsia="宋体" w:hAnsi="Times New Roman"/>
          <w:b/>
          <w:bCs/>
          <w:color w:val="000000"/>
          <w:sz w:val="20"/>
          <w:szCs w:val="20"/>
        </w:rPr>
        <w:t>Note 8. Segments and Disaggregated Revenue</w:t>
      </w:r>
    </w:p>
    <w:p w14:paraId="442F7837" w14:textId="77777777" w:rsidR="00CC25B5" w:rsidRDefault="00900968">
      <w:pPr>
        <w:spacing w:before="180"/>
      </w:pPr>
      <w:r>
        <w:rPr>
          <w:rFonts w:ascii="Times New Roman" w:eastAsia="宋体" w:hAnsi="Times New Roman"/>
          <w:i/>
          <w:iCs/>
          <w:color w:val="000000"/>
          <w:sz w:val="20"/>
          <w:szCs w:val="20"/>
        </w:rPr>
        <w:t>Segments</w:t>
      </w:r>
    </w:p>
    <w:p w14:paraId="442F7838" w14:textId="77777777" w:rsidR="00CC25B5" w:rsidRDefault="00900968">
      <w:pPr>
        <w:spacing w:before="100"/>
      </w:pPr>
      <w:r>
        <w:rPr>
          <w:rFonts w:ascii="Times New Roman" w:eastAsia="宋体" w:hAnsi="Times New Roman"/>
          <w:color w:val="000000"/>
          <w:sz w:val="20"/>
          <w:szCs w:val="20"/>
        </w:rPr>
        <w:t xml:space="preserve">The Company is engaged in the operation of retail, wholesale, eCommerce websites and other units located </w:t>
      </w:r>
      <w:r>
        <w:rPr>
          <w:rFonts w:ascii="Times New Roman" w:eastAsia="宋体" w:hAnsi="Times New Roman"/>
          <w:color w:val="000000"/>
          <w:sz w:val="20"/>
          <w:szCs w:val="20"/>
        </w:rPr>
        <w:t>throughout the U.S., Africa, Canada, Central America, Chile, China, India and Mexico. The Company's operations are conducted in three reportable segments: Walmart U.S., Walmart International and Sam's Club. The Company defines its segments as those operati</w:t>
      </w:r>
      <w:r>
        <w:rPr>
          <w:rFonts w:ascii="Times New Roman" w:eastAsia="宋体" w:hAnsi="Times New Roman"/>
          <w:color w:val="000000"/>
          <w:sz w:val="20"/>
          <w:szCs w:val="20"/>
        </w:rPr>
        <w:t>ons whose results the chief operating decision maker ("CODM") regularly reviews to analyze performance and allocate resources. The Company sells similar individual products and services in each of its segments. It is impractical to segregate and identify r</w:t>
      </w:r>
      <w:r>
        <w:rPr>
          <w:rFonts w:ascii="Times New Roman" w:eastAsia="宋体" w:hAnsi="Times New Roman"/>
          <w:color w:val="000000"/>
          <w:sz w:val="20"/>
          <w:szCs w:val="20"/>
        </w:rPr>
        <w:t>evenues for each of these individual products and services.</w:t>
      </w:r>
    </w:p>
    <w:p w14:paraId="442F7839" w14:textId="77777777" w:rsidR="00CC25B5" w:rsidRDefault="00900968">
      <w:pPr>
        <w:spacing w:before="100"/>
      </w:pPr>
      <w:r>
        <w:rPr>
          <w:rFonts w:ascii="Times New Roman" w:eastAsia="宋体" w:hAnsi="Times New Roman"/>
          <w:color w:val="000000"/>
          <w:sz w:val="20"/>
          <w:szCs w:val="20"/>
        </w:rPr>
        <w:t>The Walmart U.S. segment includes the Company's mass merchandising concept in the U.S., as well as eCommerce and omni-channel initiatives. The Walmart International segment consists of the Company</w:t>
      </w:r>
      <w:r>
        <w:rPr>
          <w:rFonts w:ascii="Times New Roman" w:eastAsia="宋体" w:hAnsi="Times New Roman"/>
          <w:color w:val="000000"/>
          <w:sz w:val="20"/>
          <w:szCs w:val="20"/>
        </w:rPr>
        <w:t>'s operations outside of the U.S., as well as eCommerce and omni-channel initiatives. The Sam's Club segment includes the warehouse membership clubs in the U.S., as well as samsclub.com and omni-channel initiatives. Corporate and support consists of corpor</w:t>
      </w:r>
      <w:r>
        <w:rPr>
          <w:rFonts w:ascii="Times New Roman" w:eastAsia="宋体" w:hAnsi="Times New Roman"/>
          <w:color w:val="000000"/>
          <w:sz w:val="20"/>
          <w:szCs w:val="20"/>
        </w:rPr>
        <w:t>ate overhead and other items not allocated to any of the Company's segments.</w:t>
      </w:r>
    </w:p>
    <w:p w14:paraId="442F783A" w14:textId="77777777" w:rsidR="00CC25B5" w:rsidRDefault="00900968">
      <w:pPr>
        <w:jc w:val="center"/>
      </w:pPr>
      <w:r>
        <w:rPr>
          <w:rFonts w:ascii="Times New Roman" w:eastAsia="宋体" w:hAnsi="Times New Roman"/>
          <w:color w:val="000000"/>
          <w:sz w:val="20"/>
          <w:szCs w:val="20"/>
        </w:rPr>
        <w:t>12</w:t>
      </w:r>
    </w:p>
    <w:p w14:paraId="442F783B" w14:textId="77777777" w:rsidR="00CC25B5" w:rsidRDefault="00900968">
      <w:r>
        <w:pict w14:anchorId="442F85D5">
          <v:rect id="_x0000_i1036" style="width:415.3pt;height:1.5pt" o:hralign="center" o:hrstd="t" o:hr="t" fillcolor="#a0a0a0" stroked="f"/>
        </w:pict>
      </w:r>
    </w:p>
    <w:p w14:paraId="442F783C" w14:textId="77777777" w:rsidR="00CC25B5" w:rsidRDefault="00900968">
      <w:hyperlink r:id="rId54" w:anchor="ie1710166881948a18c44f48eaa2dcf00_7" w:history="1">
        <w:r>
          <w:rPr>
            <w:rStyle w:val="a5"/>
            <w:rFonts w:ascii="Times New Roman" w:eastAsia="宋体" w:hAnsi="Times New Roman"/>
            <w:sz w:val="20"/>
            <w:szCs w:val="20"/>
          </w:rPr>
          <w:t>Table of Contents</w:t>
        </w:r>
      </w:hyperlink>
    </w:p>
    <w:p w14:paraId="442F783D" w14:textId="77777777" w:rsidR="00CC25B5" w:rsidRDefault="00900968">
      <w:pPr>
        <w:spacing w:before="10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Company measures the results of its segments using, among other measures, each segment's net sales and operating income, which includes certain corporate overhead allocations. From time to time, the Company revises the measurement of each segment's operati</w:t>
      </w:r>
      <w:r>
        <w:rPr>
          <w:rFonts w:ascii="Times New Roman" w:eastAsia="宋体" w:hAnsi="Times New Roman"/>
          <w:color w:val="000000"/>
          <w:sz w:val="20"/>
          <w:szCs w:val="20"/>
        </w:rPr>
        <w:t>ng income and other measures, including any corporate overhead allocations, as determined by the information regularly reviewed by its CODM. When the measurement of a segment changes, previous period amounts and balances are reclassified to be comparable t</w:t>
      </w:r>
      <w:r>
        <w:rPr>
          <w:rFonts w:ascii="Times New Roman" w:eastAsia="宋体" w:hAnsi="Times New Roman"/>
          <w:color w:val="000000"/>
          <w:sz w:val="20"/>
          <w:szCs w:val="20"/>
        </w:rPr>
        <w:t>o the current period's presentation.</w:t>
      </w:r>
    </w:p>
    <w:p w14:paraId="442F783E" w14:textId="77777777" w:rsidR="00CC25B5" w:rsidRDefault="00900968">
      <w:pPr>
        <w:spacing w:before="100"/>
      </w:pPr>
      <w:r>
        <w:rPr>
          <w:rFonts w:ascii="Times New Roman" w:eastAsia="宋体" w:hAnsi="Times New Roman"/>
          <w:color w:val="000000"/>
          <w:sz w:val="20"/>
          <w:szCs w:val="20"/>
        </w:rPr>
        <w:t>Net sales by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CC25B5" w14:paraId="442F785A" w14:textId="77777777">
        <w:tc>
          <w:tcPr>
            <w:tcW w:w="50" w:type="pct"/>
            <w:shd w:val="clear" w:color="auto" w:fill="auto"/>
            <w:vAlign w:val="bottom"/>
          </w:tcPr>
          <w:p w14:paraId="442F783F" w14:textId="77777777" w:rsidR="00CC25B5" w:rsidRDefault="00CC25B5">
            <w:pPr>
              <w:rPr>
                <w:rFonts w:ascii="宋体"/>
              </w:rPr>
            </w:pPr>
          </w:p>
        </w:tc>
        <w:tc>
          <w:tcPr>
            <w:tcW w:w="2488" w:type="pct"/>
            <w:shd w:val="clear" w:color="auto" w:fill="auto"/>
            <w:vAlign w:val="bottom"/>
          </w:tcPr>
          <w:p w14:paraId="442F7840" w14:textId="77777777" w:rsidR="00CC25B5" w:rsidRDefault="00CC25B5">
            <w:pPr>
              <w:rPr>
                <w:rFonts w:ascii="宋体"/>
              </w:rPr>
            </w:pPr>
          </w:p>
        </w:tc>
        <w:tc>
          <w:tcPr>
            <w:tcW w:w="5" w:type="pct"/>
            <w:shd w:val="clear" w:color="auto" w:fill="auto"/>
            <w:vAlign w:val="bottom"/>
          </w:tcPr>
          <w:p w14:paraId="442F7841" w14:textId="77777777" w:rsidR="00CC25B5" w:rsidRDefault="00CC25B5">
            <w:pPr>
              <w:rPr>
                <w:rFonts w:ascii="宋体"/>
              </w:rPr>
            </w:pPr>
          </w:p>
        </w:tc>
        <w:tc>
          <w:tcPr>
            <w:tcW w:w="5" w:type="pct"/>
            <w:shd w:val="clear" w:color="auto" w:fill="auto"/>
            <w:vAlign w:val="bottom"/>
          </w:tcPr>
          <w:p w14:paraId="442F7842" w14:textId="77777777" w:rsidR="00CC25B5" w:rsidRDefault="00CC25B5">
            <w:pPr>
              <w:rPr>
                <w:rFonts w:ascii="宋体"/>
              </w:rPr>
            </w:pPr>
          </w:p>
        </w:tc>
        <w:tc>
          <w:tcPr>
            <w:tcW w:w="26" w:type="pct"/>
            <w:shd w:val="clear" w:color="auto" w:fill="auto"/>
            <w:vAlign w:val="bottom"/>
          </w:tcPr>
          <w:p w14:paraId="442F7843" w14:textId="77777777" w:rsidR="00CC25B5" w:rsidRDefault="00CC25B5">
            <w:pPr>
              <w:rPr>
                <w:rFonts w:ascii="宋体"/>
              </w:rPr>
            </w:pPr>
          </w:p>
        </w:tc>
        <w:tc>
          <w:tcPr>
            <w:tcW w:w="5" w:type="pct"/>
            <w:shd w:val="clear" w:color="auto" w:fill="auto"/>
            <w:vAlign w:val="bottom"/>
          </w:tcPr>
          <w:p w14:paraId="442F7844" w14:textId="77777777" w:rsidR="00CC25B5" w:rsidRDefault="00CC25B5">
            <w:pPr>
              <w:rPr>
                <w:rFonts w:ascii="宋体"/>
              </w:rPr>
            </w:pPr>
          </w:p>
        </w:tc>
        <w:tc>
          <w:tcPr>
            <w:tcW w:w="50" w:type="pct"/>
            <w:shd w:val="clear" w:color="auto" w:fill="auto"/>
            <w:vAlign w:val="bottom"/>
          </w:tcPr>
          <w:p w14:paraId="442F7845" w14:textId="77777777" w:rsidR="00CC25B5" w:rsidRDefault="00CC25B5">
            <w:pPr>
              <w:rPr>
                <w:rFonts w:ascii="宋体"/>
              </w:rPr>
            </w:pPr>
          </w:p>
        </w:tc>
        <w:tc>
          <w:tcPr>
            <w:tcW w:w="522" w:type="pct"/>
            <w:shd w:val="clear" w:color="auto" w:fill="auto"/>
            <w:vAlign w:val="bottom"/>
          </w:tcPr>
          <w:p w14:paraId="442F7846" w14:textId="77777777" w:rsidR="00CC25B5" w:rsidRDefault="00CC25B5">
            <w:pPr>
              <w:rPr>
                <w:rFonts w:ascii="宋体"/>
              </w:rPr>
            </w:pPr>
          </w:p>
        </w:tc>
        <w:tc>
          <w:tcPr>
            <w:tcW w:w="5" w:type="pct"/>
            <w:shd w:val="clear" w:color="auto" w:fill="auto"/>
            <w:vAlign w:val="bottom"/>
          </w:tcPr>
          <w:p w14:paraId="442F7847" w14:textId="77777777" w:rsidR="00CC25B5" w:rsidRDefault="00CC25B5">
            <w:pPr>
              <w:rPr>
                <w:rFonts w:ascii="宋体"/>
              </w:rPr>
            </w:pPr>
          </w:p>
        </w:tc>
        <w:tc>
          <w:tcPr>
            <w:tcW w:w="5" w:type="pct"/>
            <w:shd w:val="clear" w:color="auto" w:fill="auto"/>
            <w:vAlign w:val="bottom"/>
          </w:tcPr>
          <w:p w14:paraId="442F7848" w14:textId="77777777" w:rsidR="00CC25B5" w:rsidRDefault="00CC25B5">
            <w:pPr>
              <w:rPr>
                <w:rFonts w:ascii="宋体"/>
              </w:rPr>
            </w:pPr>
          </w:p>
        </w:tc>
        <w:tc>
          <w:tcPr>
            <w:tcW w:w="26" w:type="pct"/>
            <w:shd w:val="clear" w:color="auto" w:fill="auto"/>
            <w:vAlign w:val="bottom"/>
          </w:tcPr>
          <w:p w14:paraId="442F7849" w14:textId="77777777" w:rsidR="00CC25B5" w:rsidRDefault="00CC25B5">
            <w:pPr>
              <w:rPr>
                <w:rFonts w:ascii="宋体"/>
              </w:rPr>
            </w:pPr>
          </w:p>
        </w:tc>
        <w:tc>
          <w:tcPr>
            <w:tcW w:w="5" w:type="pct"/>
            <w:shd w:val="clear" w:color="auto" w:fill="auto"/>
            <w:vAlign w:val="bottom"/>
          </w:tcPr>
          <w:p w14:paraId="442F784A" w14:textId="77777777" w:rsidR="00CC25B5" w:rsidRDefault="00CC25B5">
            <w:pPr>
              <w:rPr>
                <w:rFonts w:ascii="宋体"/>
              </w:rPr>
            </w:pPr>
          </w:p>
        </w:tc>
        <w:tc>
          <w:tcPr>
            <w:tcW w:w="50" w:type="pct"/>
            <w:shd w:val="clear" w:color="auto" w:fill="auto"/>
            <w:vAlign w:val="bottom"/>
          </w:tcPr>
          <w:p w14:paraId="442F784B" w14:textId="77777777" w:rsidR="00CC25B5" w:rsidRDefault="00CC25B5">
            <w:pPr>
              <w:rPr>
                <w:rFonts w:ascii="宋体"/>
              </w:rPr>
            </w:pPr>
          </w:p>
        </w:tc>
        <w:tc>
          <w:tcPr>
            <w:tcW w:w="522" w:type="pct"/>
            <w:shd w:val="clear" w:color="auto" w:fill="auto"/>
            <w:vAlign w:val="bottom"/>
          </w:tcPr>
          <w:p w14:paraId="442F784C" w14:textId="77777777" w:rsidR="00CC25B5" w:rsidRDefault="00CC25B5">
            <w:pPr>
              <w:rPr>
                <w:rFonts w:ascii="宋体"/>
              </w:rPr>
            </w:pPr>
          </w:p>
        </w:tc>
        <w:tc>
          <w:tcPr>
            <w:tcW w:w="5" w:type="pct"/>
            <w:shd w:val="clear" w:color="auto" w:fill="auto"/>
            <w:vAlign w:val="bottom"/>
          </w:tcPr>
          <w:p w14:paraId="442F784D" w14:textId="77777777" w:rsidR="00CC25B5" w:rsidRDefault="00CC25B5">
            <w:pPr>
              <w:rPr>
                <w:rFonts w:ascii="宋体"/>
              </w:rPr>
            </w:pPr>
          </w:p>
        </w:tc>
        <w:tc>
          <w:tcPr>
            <w:tcW w:w="5" w:type="pct"/>
            <w:shd w:val="clear" w:color="auto" w:fill="auto"/>
            <w:vAlign w:val="bottom"/>
          </w:tcPr>
          <w:p w14:paraId="442F784E" w14:textId="77777777" w:rsidR="00CC25B5" w:rsidRDefault="00CC25B5">
            <w:pPr>
              <w:rPr>
                <w:rFonts w:ascii="宋体"/>
              </w:rPr>
            </w:pPr>
          </w:p>
        </w:tc>
        <w:tc>
          <w:tcPr>
            <w:tcW w:w="26" w:type="pct"/>
            <w:shd w:val="clear" w:color="auto" w:fill="auto"/>
            <w:vAlign w:val="bottom"/>
          </w:tcPr>
          <w:p w14:paraId="442F784F" w14:textId="77777777" w:rsidR="00CC25B5" w:rsidRDefault="00CC25B5">
            <w:pPr>
              <w:rPr>
                <w:rFonts w:ascii="宋体"/>
              </w:rPr>
            </w:pPr>
          </w:p>
        </w:tc>
        <w:tc>
          <w:tcPr>
            <w:tcW w:w="5" w:type="pct"/>
            <w:shd w:val="clear" w:color="auto" w:fill="auto"/>
            <w:vAlign w:val="bottom"/>
          </w:tcPr>
          <w:p w14:paraId="442F7850" w14:textId="77777777" w:rsidR="00CC25B5" w:rsidRDefault="00CC25B5">
            <w:pPr>
              <w:rPr>
                <w:rFonts w:ascii="宋体"/>
              </w:rPr>
            </w:pPr>
          </w:p>
        </w:tc>
        <w:tc>
          <w:tcPr>
            <w:tcW w:w="50" w:type="pct"/>
            <w:shd w:val="clear" w:color="auto" w:fill="auto"/>
            <w:vAlign w:val="bottom"/>
          </w:tcPr>
          <w:p w14:paraId="442F7851" w14:textId="77777777" w:rsidR="00CC25B5" w:rsidRDefault="00CC25B5">
            <w:pPr>
              <w:rPr>
                <w:rFonts w:ascii="宋体"/>
              </w:rPr>
            </w:pPr>
          </w:p>
        </w:tc>
        <w:tc>
          <w:tcPr>
            <w:tcW w:w="522" w:type="pct"/>
            <w:shd w:val="clear" w:color="auto" w:fill="auto"/>
            <w:vAlign w:val="bottom"/>
          </w:tcPr>
          <w:p w14:paraId="442F7852" w14:textId="77777777" w:rsidR="00CC25B5" w:rsidRDefault="00CC25B5">
            <w:pPr>
              <w:rPr>
                <w:rFonts w:ascii="宋体"/>
              </w:rPr>
            </w:pPr>
          </w:p>
        </w:tc>
        <w:tc>
          <w:tcPr>
            <w:tcW w:w="5" w:type="pct"/>
            <w:shd w:val="clear" w:color="auto" w:fill="auto"/>
            <w:vAlign w:val="bottom"/>
          </w:tcPr>
          <w:p w14:paraId="442F7853" w14:textId="77777777" w:rsidR="00CC25B5" w:rsidRDefault="00CC25B5">
            <w:pPr>
              <w:rPr>
                <w:rFonts w:ascii="宋体"/>
              </w:rPr>
            </w:pPr>
          </w:p>
        </w:tc>
        <w:tc>
          <w:tcPr>
            <w:tcW w:w="5" w:type="pct"/>
            <w:shd w:val="clear" w:color="auto" w:fill="auto"/>
            <w:vAlign w:val="bottom"/>
          </w:tcPr>
          <w:p w14:paraId="442F7854" w14:textId="77777777" w:rsidR="00CC25B5" w:rsidRDefault="00CC25B5">
            <w:pPr>
              <w:rPr>
                <w:rFonts w:ascii="宋体"/>
              </w:rPr>
            </w:pPr>
          </w:p>
        </w:tc>
        <w:tc>
          <w:tcPr>
            <w:tcW w:w="26" w:type="pct"/>
            <w:shd w:val="clear" w:color="auto" w:fill="auto"/>
            <w:vAlign w:val="bottom"/>
          </w:tcPr>
          <w:p w14:paraId="442F7855" w14:textId="77777777" w:rsidR="00CC25B5" w:rsidRDefault="00CC25B5">
            <w:pPr>
              <w:rPr>
                <w:rFonts w:ascii="宋体"/>
              </w:rPr>
            </w:pPr>
          </w:p>
        </w:tc>
        <w:tc>
          <w:tcPr>
            <w:tcW w:w="5" w:type="pct"/>
            <w:shd w:val="clear" w:color="auto" w:fill="auto"/>
            <w:vAlign w:val="bottom"/>
          </w:tcPr>
          <w:p w14:paraId="442F7856" w14:textId="77777777" w:rsidR="00CC25B5" w:rsidRDefault="00CC25B5">
            <w:pPr>
              <w:rPr>
                <w:rFonts w:ascii="宋体"/>
              </w:rPr>
            </w:pPr>
          </w:p>
        </w:tc>
        <w:tc>
          <w:tcPr>
            <w:tcW w:w="50" w:type="pct"/>
            <w:shd w:val="clear" w:color="auto" w:fill="auto"/>
            <w:vAlign w:val="bottom"/>
          </w:tcPr>
          <w:p w14:paraId="442F7857" w14:textId="77777777" w:rsidR="00CC25B5" w:rsidRDefault="00CC25B5">
            <w:pPr>
              <w:rPr>
                <w:rFonts w:ascii="宋体"/>
              </w:rPr>
            </w:pPr>
          </w:p>
        </w:tc>
        <w:tc>
          <w:tcPr>
            <w:tcW w:w="522" w:type="pct"/>
            <w:shd w:val="clear" w:color="auto" w:fill="auto"/>
            <w:vAlign w:val="bottom"/>
          </w:tcPr>
          <w:p w14:paraId="442F7858" w14:textId="77777777" w:rsidR="00CC25B5" w:rsidRDefault="00CC25B5">
            <w:pPr>
              <w:rPr>
                <w:rFonts w:ascii="宋体"/>
              </w:rPr>
            </w:pPr>
          </w:p>
        </w:tc>
        <w:tc>
          <w:tcPr>
            <w:tcW w:w="5" w:type="pct"/>
            <w:shd w:val="clear" w:color="auto" w:fill="auto"/>
            <w:vAlign w:val="bottom"/>
          </w:tcPr>
          <w:p w14:paraId="442F7859" w14:textId="77777777" w:rsidR="00CC25B5" w:rsidRDefault="00CC25B5">
            <w:pPr>
              <w:rPr>
                <w:rFonts w:ascii="宋体"/>
              </w:rPr>
            </w:pPr>
          </w:p>
        </w:tc>
      </w:tr>
      <w:tr w:rsidR="00CC25B5" w14:paraId="442F7860" w14:textId="77777777">
        <w:tc>
          <w:tcPr>
            <w:tcW w:w="0" w:type="auto"/>
            <w:gridSpan w:val="3"/>
            <w:shd w:val="clear" w:color="auto" w:fill="auto"/>
            <w:tcMar>
              <w:top w:w="40" w:type="dxa"/>
              <w:left w:w="20" w:type="dxa"/>
              <w:bottom w:w="40" w:type="dxa"/>
              <w:right w:w="20" w:type="dxa"/>
            </w:tcMar>
            <w:vAlign w:val="bottom"/>
          </w:tcPr>
          <w:p w14:paraId="442F785B"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85C"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85D"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85E"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85F"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786A" w14:textId="77777777">
        <w:tc>
          <w:tcPr>
            <w:tcW w:w="0" w:type="auto"/>
            <w:gridSpan w:val="3"/>
            <w:shd w:val="clear" w:color="auto" w:fill="auto"/>
            <w:tcMar>
              <w:top w:w="40" w:type="dxa"/>
              <w:left w:w="20" w:type="dxa"/>
              <w:bottom w:w="40" w:type="dxa"/>
              <w:right w:w="20" w:type="dxa"/>
            </w:tcMar>
            <w:vAlign w:val="bottom"/>
          </w:tcPr>
          <w:p w14:paraId="442F7861" w14:textId="77777777" w:rsidR="00CC25B5" w:rsidRDefault="00900968">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86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63"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864"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65"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866"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67"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868"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69"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874" w14:textId="77777777">
        <w:tc>
          <w:tcPr>
            <w:tcW w:w="0" w:type="auto"/>
            <w:gridSpan w:val="3"/>
            <w:shd w:val="clear" w:color="auto" w:fill="auto"/>
            <w:tcMar>
              <w:top w:w="40" w:type="dxa"/>
              <w:left w:w="20" w:type="dxa"/>
              <w:bottom w:w="40" w:type="dxa"/>
              <w:right w:w="20" w:type="dxa"/>
            </w:tcMar>
            <w:vAlign w:val="center"/>
          </w:tcPr>
          <w:p w14:paraId="442F786B"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auto"/>
            <w:tcMar>
              <w:top w:w="0" w:type="dxa"/>
              <w:left w:w="20" w:type="dxa"/>
              <w:bottom w:w="0" w:type="dxa"/>
              <w:right w:w="20" w:type="dxa"/>
            </w:tcMar>
            <w:vAlign w:val="bottom"/>
          </w:tcPr>
          <w:p w14:paraId="442F786C"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6D"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86E"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6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870"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7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872"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73" w14:textId="77777777" w:rsidR="00CC25B5" w:rsidRDefault="00CC25B5">
            <w:pPr>
              <w:rPr>
                <w:rFonts w:ascii="宋体"/>
              </w:rPr>
            </w:pPr>
          </w:p>
        </w:tc>
      </w:tr>
      <w:tr w:rsidR="00CC25B5" w14:paraId="442F7886" w14:textId="77777777">
        <w:tc>
          <w:tcPr>
            <w:tcW w:w="0" w:type="auto"/>
            <w:gridSpan w:val="3"/>
            <w:shd w:val="clear" w:color="auto" w:fill="CCEEFF"/>
            <w:tcMar>
              <w:top w:w="40" w:type="dxa"/>
              <w:left w:w="380" w:type="dxa"/>
              <w:bottom w:w="40" w:type="dxa"/>
              <w:right w:w="20" w:type="dxa"/>
            </w:tcMar>
            <w:vAlign w:val="center"/>
          </w:tcPr>
          <w:p w14:paraId="442F7875" w14:textId="77777777" w:rsidR="00CC25B5" w:rsidRDefault="00900968">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442F7876"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877"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878" w14:textId="77777777" w:rsidR="00CC25B5" w:rsidRDefault="00900968">
            <w:pPr>
              <w:jc w:val="right"/>
              <w:textAlignment w:val="center"/>
            </w:pPr>
            <w:r>
              <w:rPr>
                <w:rFonts w:ascii="Times New Roman" w:eastAsia="宋体" w:hAnsi="Times New Roman"/>
                <w:color w:val="000000"/>
                <w:sz w:val="16"/>
                <w:szCs w:val="16"/>
              </w:rPr>
              <w:t>98,192 </w:t>
            </w:r>
          </w:p>
        </w:tc>
        <w:tc>
          <w:tcPr>
            <w:tcW w:w="0" w:type="auto"/>
            <w:shd w:val="clear" w:color="auto" w:fill="CCEEFF"/>
            <w:tcMar>
              <w:top w:w="40" w:type="dxa"/>
              <w:left w:w="0" w:type="dxa"/>
              <w:bottom w:w="40" w:type="dxa"/>
              <w:right w:w="20" w:type="dxa"/>
            </w:tcMar>
            <w:vAlign w:val="center"/>
          </w:tcPr>
          <w:p w14:paraId="442F787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7A"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87B"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87C" w14:textId="77777777" w:rsidR="00CC25B5" w:rsidRDefault="00900968">
            <w:pPr>
              <w:jc w:val="right"/>
              <w:textAlignment w:val="center"/>
            </w:pPr>
            <w:r>
              <w:rPr>
                <w:rFonts w:ascii="Times New Roman" w:eastAsia="宋体" w:hAnsi="Times New Roman"/>
                <w:color w:val="000000"/>
                <w:sz w:val="16"/>
                <w:szCs w:val="16"/>
              </w:rPr>
              <w:t>93,282 </w:t>
            </w:r>
          </w:p>
        </w:tc>
        <w:tc>
          <w:tcPr>
            <w:tcW w:w="0" w:type="auto"/>
            <w:shd w:val="clear" w:color="auto" w:fill="CCEEFF"/>
            <w:tcMar>
              <w:top w:w="40" w:type="dxa"/>
              <w:left w:w="0" w:type="dxa"/>
              <w:bottom w:w="40" w:type="dxa"/>
              <w:right w:w="20" w:type="dxa"/>
            </w:tcMar>
            <w:vAlign w:val="center"/>
          </w:tcPr>
          <w:p w14:paraId="442F787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7E"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87F"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880" w14:textId="77777777" w:rsidR="00CC25B5" w:rsidRDefault="00900968">
            <w:pPr>
              <w:jc w:val="right"/>
              <w:textAlignment w:val="center"/>
            </w:pPr>
            <w:r>
              <w:rPr>
                <w:rFonts w:ascii="Times New Roman" w:eastAsia="宋体" w:hAnsi="Times New Roman"/>
                <w:color w:val="000000"/>
                <w:sz w:val="16"/>
                <w:szCs w:val="16"/>
              </w:rPr>
              <w:t>191,359 </w:t>
            </w:r>
          </w:p>
        </w:tc>
        <w:tc>
          <w:tcPr>
            <w:tcW w:w="0" w:type="auto"/>
            <w:shd w:val="clear" w:color="auto" w:fill="CCEEFF"/>
            <w:tcMar>
              <w:top w:w="40" w:type="dxa"/>
              <w:left w:w="0" w:type="dxa"/>
              <w:bottom w:w="40" w:type="dxa"/>
              <w:right w:w="20" w:type="dxa"/>
            </w:tcMar>
            <w:vAlign w:val="center"/>
          </w:tcPr>
          <w:p w14:paraId="442F788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82"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883"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884" w14:textId="77777777" w:rsidR="00CC25B5" w:rsidRDefault="00900968">
            <w:pPr>
              <w:jc w:val="right"/>
              <w:textAlignment w:val="center"/>
            </w:pPr>
            <w:r>
              <w:rPr>
                <w:rFonts w:ascii="Times New Roman" w:eastAsia="宋体" w:hAnsi="Times New Roman"/>
                <w:color w:val="000000"/>
                <w:sz w:val="16"/>
                <w:szCs w:val="16"/>
              </w:rPr>
              <w:t>182,025 </w:t>
            </w:r>
          </w:p>
        </w:tc>
        <w:tc>
          <w:tcPr>
            <w:tcW w:w="0" w:type="auto"/>
            <w:shd w:val="clear" w:color="auto" w:fill="CCEEFF"/>
            <w:tcMar>
              <w:top w:w="40" w:type="dxa"/>
              <w:left w:w="0" w:type="dxa"/>
              <w:bottom w:w="40" w:type="dxa"/>
              <w:right w:w="20" w:type="dxa"/>
            </w:tcMar>
            <w:vAlign w:val="center"/>
          </w:tcPr>
          <w:p w14:paraId="442F7885" w14:textId="77777777" w:rsidR="00CC25B5" w:rsidRDefault="00CC25B5">
            <w:pPr>
              <w:jc w:val="right"/>
              <w:rPr>
                <w:rFonts w:ascii="宋体"/>
              </w:rPr>
            </w:pPr>
          </w:p>
        </w:tc>
      </w:tr>
      <w:tr w:rsidR="00CC25B5" w14:paraId="442F7894" w14:textId="77777777">
        <w:tc>
          <w:tcPr>
            <w:tcW w:w="0" w:type="auto"/>
            <w:gridSpan w:val="3"/>
            <w:shd w:val="clear" w:color="auto" w:fill="FFFFFF"/>
            <w:tcMar>
              <w:top w:w="40" w:type="dxa"/>
              <w:left w:w="380" w:type="dxa"/>
              <w:bottom w:w="40" w:type="dxa"/>
              <w:right w:w="20" w:type="dxa"/>
            </w:tcMar>
            <w:vAlign w:val="center"/>
          </w:tcPr>
          <w:p w14:paraId="442F7887" w14:textId="77777777" w:rsidR="00CC25B5" w:rsidRDefault="00900968">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442F788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889" w14:textId="77777777" w:rsidR="00CC25B5" w:rsidRDefault="00900968">
            <w:pPr>
              <w:jc w:val="right"/>
              <w:textAlignment w:val="center"/>
            </w:pPr>
            <w:r>
              <w:rPr>
                <w:rFonts w:ascii="Times New Roman" w:eastAsia="宋体" w:hAnsi="Times New Roman"/>
                <w:color w:val="000000"/>
                <w:sz w:val="16"/>
                <w:szCs w:val="16"/>
              </w:rPr>
              <w:t>23,035 </w:t>
            </w:r>
          </w:p>
        </w:tc>
        <w:tc>
          <w:tcPr>
            <w:tcW w:w="0" w:type="auto"/>
            <w:shd w:val="clear" w:color="auto" w:fill="FFFFFF"/>
            <w:tcMar>
              <w:top w:w="40" w:type="dxa"/>
              <w:left w:w="0" w:type="dxa"/>
              <w:bottom w:w="40" w:type="dxa"/>
              <w:right w:w="20" w:type="dxa"/>
            </w:tcMar>
            <w:vAlign w:val="center"/>
          </w:tcPr>
          <w:p w14:paraId="442F788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88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88C" w14:textId="77777777" w:rsidR="00CC25B5" w:rsidRDefault="00900968">
            <w:pPr>
              <w:jc w:val="right"/>
              <w:textAlignment w:val="center"/>
            </w:pPr>
            <w:r>
              <w:rPr>
                <w:rFonts w:ascii="Times New Roman" w:eastAsia="宋体" w:hAnsi="Times New Roman"/>
                <w:color w:val="000000"/>
                <w:sz w:val="16"/>
                <w:szCs w:val="16"/>
              </w:rPr>
              <w:t>27,167 </w:t>
            </w:r>
          </w:p>
        </w:tc>
        <w:tc>
          <w:tcPr>
            <w:tcW w:w="0" w:type="auto"/>
            <w:shd w:val="clear" w:color="auto" w:fill="FFFFFF"/>
            <w:tcMar>
              <w:top w:w="40" w:type="dxa"/>
              <w:left w:w="0" w:type="dxa"/>
              <w:bottom w:w="40" w:type="dxa"/>
              <w:right w:w="20" w:type="dxa"/>
            </w:tcMar>
            <w:vAlign w:val="center"/>
          </w:tcPr>
          <w:p w14:paraId="442F788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88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88F" w14:textId="77777777" w:rsidR="00CC25B5" w:rsidRDefault="00900968">
            <w:pPr>
              <w:jc w:val="right"/>
              <w:textAlignment w:val="center"/>
            </w:pPr>
            <w:r>
              <w:rPr>
                <w:rFonts w:ascii="Times New Roman" w:eastAsia="宋体" w:hAnsi="Times New Roman"/>
                <w:color w:val="000000"/>
                <w:sz w:val="16"/>
                <w:szCs w:val="16"/>
              </w:rPr>
              <w:t>50,335 </w:t>
            </w:r>
          </w:p>
        </w:tc>
        <w:tc>
          <w:tcPr>
            <w:tcW w:w="0" w:type="auto"/>
            <w:shd w:val="clear" w:color="auto" w:fill="FFFFFF"/>
            <w:tcMar>
              <w:top w:w="40" w:type="dxa"/>
              <w:left w:w="0" w:type="dxa"/>
              <w:bottom w:w="40" w:type="dxa"/>
              <w:right w:w="20" w:type="dxa"/>
            </w:tcMar>
            <w:vAlign w:val="center"/>
          </w:tcPr>
          <w:p w14:paraId="442F789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89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892" w14:textId="77777777" w:rsidR="00CC25B5" w:rsidRDefault="00900968">
            <w:pPr>
              <w:jc w:val="right"/>
              <w:textAlignment w:val="center"/>
            </w:pPr>
            <w:r>
              <w:rPr>
                <w:rFonts w:ascii="Times New Roman" w:eastAsia="宋体" w:hAnsi="Times New Roman"/>
                <w:color w:val="000000"/>
                <w:sz w:val="16"/>
                <w:szCs w:val="16"/>
              </w:rPr>
              <w:t>56,933 </w:t>
            </w:r>
          </w:p>
        </w:tc>
        <w:tc>
          <w:tcPr>
            <w:tcW w:w="0" w:type="auto"/>
            <w:shd w:val="clear" w:color="auto" w:fill="FFFFFF"/>
            <w:tcMar>
              <w:top w:w="40" w:type="dxa"/>
              <w:left w:w="0" w:type="dxa"/>
              <w:bottom w:w="40" w:type="dxa"/>
              <w:right w:w="20" w:type="dxa"/>
            </w:tcMar>
            <w:vAlign w:val="center"/>
          </w:tcPr>
          <w:p w14:paraId="442F7893" w14:textId="77777777" w:rsidR="00CC25B5" w:rsidRDefault="00CC25B5">
            <w:pPr>
              <w:jc w:val="right"/>
              <w:rPr>
                <w:rFonts w:ascii="宋体"/>
              </w:rPr>
            </w:pPr>
          </w:p>
        </w:tc>
      </w:tr>
      <w:tr w:rsidR="00CC25B5" w14:paraId="442F78A2" w14:textId="77777777">
        <w:tc>
          <w:tcPr>
            <w:tcW w:w="0" w:type="auto"/>
            <w:gridSpan w:val="3"/>
            <w:shd w:val="clear" w:color="auto" w:fill="CCEEFF"/>
            <w:tcMar>
              <w:top w:w="40" w:type="dxa"/>
              <w:left w:w="380" w:type="dxa"/>
              <w:bottom w:w="40" w:type="dxa"/>
              <w:right w:w="20" w:type="dxa"/>
            </w:tcMar>
            <w:vAlign w:val="center"/>
          </w:tcPr>
          <w:p w14:paraId="442F7895" w14:textId="77777777" w:rsidR="00CC25B5" w:rsidRDefault="00900968">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442F789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897" w14:textId="77777777" w:rsidR="00CC25B5" w:rsidRDefault="00900968">
            <w:pPr>
              <w:jc w:val="right"/>
              <w:textAlignment w:val="center"/>
            </w:pPr>
            <w:r>
              <w:rPr>
                <w:rFonts w:ascii="Times New Roman" w:eastAsia="宋体" w:hAnsi="Times New Roman"/>
                <w:color w:val="000000"/>
                <w:sz w:val="16"/>
                <w:szCs w:val="16"/>
              </w:rPr>
              <w:t>18,644 </w:t>
            </w:r>
          </w:p>
        </w:tc>
        <w:tc>
          <w:tcPr>
            <w:tcW w:w="0" w:type="auto"/>
            <w:shd w:val="clear" w:color="auto" w:fill="CCEEFF"/>
            <w:tcMar>
              <w:top w:w="40" w:type="dxa"/>
              <w:left w:w="0" w:type="dxa"/>
              <w:bottom w:w="40" w:type="dxa"/>
              <w:right w:w="20" w:type="dxa"/>
            </w:tcMar>
            <w:vAlign w:val="center"/>
          </w:tcPr>
          <w:p w14:paraId="442F789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9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89A" w14:textId="77777777" w:rsidR="00CC25B5" w:rsidRDefault="00900968">
            <w:pPr>
              <w:jc w:val="right"/>
              <w:textAlignment w:val="center"/>
            </w:pPr>
            <w:r>
              <w:rPr>
                <w:rFonts w:ascii="Times New Roman" w:eastAsia="宋体" w:hAnsi="Times New Roman"/>
                <w:color w:val="000000"/>
                <w:sz w:val="16"/>
                <w:szCs w:val="16"/>
              </w:rPr>
              <w:t>16,375 </w:t>
            </w:r>
          </w:p>
        </w:tc>
        <w:tc>
          <w:tcPr>
            <w:tcW w:w="0" w:type="auto"/>
            <w:shd w:val="clear" w:color="auto" w:fill="CCEEFF"/>
            <w:tcMar>
              <w:top w:w="40" w:type="dxa"/>
              <w:left w:w="0" w:type="dxa"/>
              <w:bottom w:w="40" w:type="dxa"/>
              <w:right w:w="20" w:type="dxa"/>
            </w:tcMar>
            <w:vAlign w:val="center"/>
          </w:tcPr>
          <w:p w14:paraId="442F789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9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89D" w14:textId="77777777" w:rsidR="00CC25B5" w:rsidRDefault="00900968">
            <w:pPr>
              <w:jc w:val="right"/>
              <w:textAlignment w:val="center"/>
            </w:pPr>
            <w:r>
              <w:rPr>
                <w:rFonts w:ascii="Times New Roman" w:eastAsia="宋体" w:hAnsi="Times New Roman"/>
                <w:color w:val="000000"/>
                <w:sz w:val="16"/>
                <w:szCs w:val="16"/>
              </w:rPr>
              <w:t>35,336 </w:t>
            </w:r>
          </w:p>
        </w:tc>
        <w:tc>
          <w:tcPr>
            <w:tcW w:w="0" w:type="auto"/>
            <w:shd w:val="clear" w:color="auto" w:fill="CCEEFF"/>
            <w:tcMar>
              <w:top w:w="40" w:type="dxa"/>
              <w:left w:w="0" w:type="dxa"/>
              <w:bottom w:w="40" w:type="dxa"/>
              <w:right w:w="20" w:type="dxa"/>
            </w:tcMar>
            <w:vAlign w:val="center"/>
          </w:tcPr>
          <w:p w14:paraId="442F789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89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8A0" w14:textId="77777777" w:rsidR="00CC25B5" w:rsidRDefault="00900968">
            <w:pPr>
              <w:jc w:val="right"/>
              <w:textAlignment w:val="center"/>
            </w:pPr>
            <w:r>
              <w:rPr>
                <w:rFonts w:ascii="Times New Roman" w:eastAsia="宋体" w:hAnsi="Times New Roman"/>
                <w:color w:val="000000"/>
                <w:sz w:val="16"/>
                <w:szCs w:val="16"/>
              </w:rPr>
              <w:t>31,538 </w:t>
            </w:r>
          </w:p>
        </w:tc>
        <w:tc>
          <w:tcPr>
            <w:tcW w:w="0" w:type="auto"/>
            <w:shd w:val="clear" w:color="auto" w:fill="CCEEFF"/>
            <w:tcMar>
              <w:top w:w="40" w:type="dxa"/>
              <w:left w:w="0" w:type="dxa"/>
              <w:bottom w:w="40" w:type="dxa"/>
              <w:right w:w="20" w:type="dxa"/>
            </w:tcMar>
            <w:vAlign w:val="center"/>
          </w:tcPr>
          <w:p w14:paraId="442F78A1" w14:textId="77777777" w:rsidR="00CC25B5" w:rsidRDefault="00CC25B5">
            <w:pPr>
              <w:jc w:val="right"/>
              <w:rPr>
                <w:rFonts w:ascii="宋体"/>
              </w:rPr>
            </w:pPr>
          </w:p>
        </w:tc>
      </w:tr>
      <w:tr w:rsidR="00CC25B5" w14:paraId="442F78B4" w14:textId="77777777">
        <w:tc>
          <w:tcPr>
            <w:tcW w:w="0" w:type="auto"/>
            <w:gridSpan w:val="3"/>
            <w:shd w:val="clear" w:color="auto" w:fill="FFFFFF"/>
            <w:tcMar>
              <w:top w:w="40" w:type="dxa"/>
              <w:left w:w="20" w:type="dxa"/>
              <w:bottom w:w="40" w:type="dxa"/>
              <w:right w:w="20" w:type="dxa"/>
            </w:tcMar>
            <w:vAlign w:val="center"/>
          </w:tcPr>
          <w:p w14:paraId="442F78A3" w14:textId="77777777" w:rsidR="00CC25B5" w:rsidRDefault="00900968">
            <w:pPr>
              <w:textAlignment w:val="center"/>
            </w:pPr>
            <w:r>
              <w:rPr>
                <w:rFonts w:ascii="Times New Roman" w:eastAsia="宋体" w:hAnsi="Times New Roman"/>
                <w:b/>
                <w:bCs/>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442F78A4"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8A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8A6" w14:textId="77777777" w:rsidR="00CC25B5" w:rsidRDefault="00900968">
            <w:pPr>
              <w:jc w:val="right"/>
              <w:textAlignment w:val="center"/>
            </w:pPr>
            <w:r>
              <w:rPr>
                <w:rFonts w:ascii="Times New Roman" w:eastAsia="宋体" w:hAnsi="Times New Roman"/>
                <w:color w:val="000000"/>
                <w:sz w:val="16"/>
                <w:szCs w:val="16"/>
              </w:rPr>
              <w:t>139,871 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8A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8A8"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8A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8AA" w14:textId="77777777" w:rsidR="00CC25B5" w:rsidRDefault="00900968">
            <w:pPr>
              <w:jc w:val="right"/>
              <w:textAlignment w:val="center"/>
            </w:pPr>
            <w:r>
              <w:rPr>
                <w:rFonts w:ascii="Times New Roman" w:eastAsia="宋体" w:hAnsi="Times New Roman"/>
                <w:color w:val="000000"/>
                <w:sz w:val="16"/>
                <w:szCs w:val="16"/>
              </w:rPr>
              <w:t>136,824 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8A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8AC"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8A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8AE" w14:textId="77777777" w:rsidR="00CC25B5" w:rsidRDefault="00900968">
            <w:pPr>
              <w:jc w:val="right"/>
              <w:textAlignment w:val="center"/>
            </w:pPr>
            <w:r>
              <w:rPr>
                <w:rFonts w:ascii="Times New Roman" w:eastAsia="宋体" w:hAnsi="Times New Roman"/>
                <w:color w:val="000000"/>
                <w:sz w:val="16"/>
                <w:szCs w:val="16"/>
              </w:rPr>
              <w:t>277,030 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8A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8B0"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8B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8B2" w14:textId="77777777" w:rsidR="00CC25B5" w:rsidRDefault="00900968">
            <w:pPr>
              <w:jc w:val="right"/>
              <w:textAlignment w:val="center"/>
            </w:pPr>
            <w:r>
              <w:rPr>
                <w:rFonts w:ascii="Times New Roman" w:eastAsia="宋体" w:hAnsi="Times New Roman"/>
                <w:color w:val="000000"/>
                <w:sz w:val="16"/>
                <w:szCs w:val="16"/>
              </w:rPr>
              <w:t>270,496 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8B3" w14:textId="77777777" w:rsidR="00CC25B5" w:rsidRDefault="00CC25B5">
            <w:pPr>
              <w:jc w:val="right"/>
              <w:rPr>
                <w:rFonts w:ascii="宋体"/>
              </w:rPr>
            </w:pPr>
          </w:p>
        </w:tc>
      </w:tr>
    </w:tbl>
    <w:p w14:paraId="442F78B5" w14:textId="77777777" w:rsidR="00CC25B5" w:rsidRDefault="00900968">
      <w:pPr>
        <w:spacing w:before="80" w:after="100"/>
      </w:pPr>
      <w:r>
        <w:rPr>
          <w:rFonts w:ascii="Times New Roman" w:eastAsia="宋体" w:hAnsi="Times New Roman"/>
          <w:color w:val="000000"/>
          <w:sz w:val="20"/>
          <w:szCs w:val="20"/>
        </w:rPr>
        <w:t>Operating income by segment, as well as operating loss for corporate a</w:t>
      </w:r>
      <w:r>
        <w:rPr>
          <w:rFonts w:ascii="Times New Roman" w:eastAsia="宋体" w:hAnsi="Times New Roman"/>
          <w:color w:val="000000"/>
          <w:sz w:val="20"/>
          <w:szCs w:val="20"/>
        </w:rPr>
        <w:t>nd support, interest, net and other gains and losses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009"/>
        <w:gridCol w:w="38"/>
        <w:gridCol w:w="36"/>
        <w:gridCol w:w="36"/>
        <w:gridCol w:w="36"/>
        <w:gridCol w:w="100"/>
        <w:gridCol w:w="758"/>
        <w:gridCol w:w="36"/>
        <w:gridCol w:w="36"/>
        <w:gridCol w:w="36"/>
        <w:gridCol w:w="36"/>
        <w:gridCol w:w="100"/>
        <w:gridCol w:w="735"/>
        <w:gridCol w:w="36"/>
        <w:gridCol w:w="36"/>
        <w:gridCol w:w="36"/>
        <w:gridCol w:w="36"/>
        <w:gridCol w:w="100"/>
        <w:gridCol w:w="735"/>
        <w:gridCol w:w="36"/>
        <w:gridCol w:w="36"/>
        <w:gridCol w:w="36"/>
        <w:gridCol w:w="36"/>
        <w:gridCol w:w="100"/>
        <w:gridCol w:w="758"/>
        <w:gridCol w:w="36"/>
        <w:gridCol w:w="36"/>
        <w:gridCol w:w="36"/>
        <w:gridCol w:w="36"/>
        <w:gridCol w:w="36"/>
        <w:gridCol w:w="36"/>
        <w:gridCol w:w="36"/>
        <w:gridCol w:w="36"/>
        <w:gridCol w:w="36"/>
      </w:tblGrid>
      <w:tr w:rsidR="00CC25B5" w14:paraId="442F78D5" w14:textId="77777777">
        <w:tc>
          <w:tcPr>
            <w:tcW w:w="50" w:type="pct"/>
            <w:shd w:val="clear" w:color="auto" w:fill="auto"/>
            <w:vAlign w:val="bottom"/>
          </w:tcPr>
          <w:p w14:paraId="442F78B6" w14:textId="77777777" w:rsidR="00CC25B5" w:rsidRDefault="00CC25B5">
            <w:pPr>
              <w:rPr>
                <w:rFonts w:ascii="宋体"/>
              </w:rPr>
            </w:pPr>
          </w:p>
        </w:tc>
        <w:tc>
          <w:tcPr>
            <w:tcW w:w="2518" w:type="pct"/>
            <w:shd w:val="clear" w:color="auto" w:fill="auto"/>
            <w:vAlign w:val="bottom"/>
          </w:tcPr>
          <w:p w14:paraId="442F78B7" w14:textId="77777777" w:rsidR="00CC25B5" w:rsidRDefault="00CC25B5">
            <w:pPr>
              <w:rPr>
                <w:rFonts w:ascii="宋体"/>
              </w:rPr>
            </w:pPr>
          </w:p>
        </w:tc>
        <w:tc>
          <w:tcPr>
            <w:tcW w:w="5" w:type="pct"/>
            <w:shd w:val="clear" w:color="auto" w:fill="auto"/>
            <w:vAlign w:val="bottom"/>
          </w:tcPr>
          <w:p w14:paraId="442F78B8" w14:textId="77777777" w:rsidR="00CC25B5" w:rsidRDefault="00CC25B5">
            <w:pPr>
              <w:rPr>
                <w:rFonts w:ascii="宋体"/>
              </w:rPr>
            </w:pPr>
          </w:p>
        </w:tc>
        <w:tc>
          <w:tcPr>
            <w:tcW w:w="5" w:type="pct"/>
            <w:shd w:val="clear" w:color="auto" w:fill="auto"/>
            <w:vAlign w:val="bottom"/>
          </w:tcPr>
          <w:p w14:paraId="442F78B9" w14:textId="77777777" w:rsidR="00CC25B5" w:rsidRDefault="00CC25B5">
            <w:pPr>
              <w:rPr>
                <w:rFonts w:ascii="宋体"/>
              </w:rPr>
            </w:pPr>
          </w:p>
        </w:tc>
        <w:tc>
          <w:tcPr>
            <w:tcW w:w="26" w:type="pct"/>
            <w:shd w:val="clear" w:color="auto" w:fill="auto"/>
            <w:vAlign w:val="bottom"/>
          </w:tcPr>
          <w:p w14:paraId="442F78BA" w14:textId="77777777" w:rsidR="00CC25B5" w:rsidRDefault="00CC25B5">
            <w:pPr>
              <w:rPr>
                <w:rFonts w:ascii="宋体"/>
              </w:rPr>
            </w:pPr>
          </w:p>
        </w:tc>
        <w:tc>
          <w:tcPr>
            <w:tcW w:w="5" w:type="pct"/>
            <w:shd w:val="clear" w:color="auto" w:fill="auto"/>
            <w:vAlign w:val="bottom"/>
          </w:tcPr>
          <w:p w14:paraId="442F78BB" w14:textId="77777777" w:rsidR="00CC25B5" w:rsidRDefault="00CC25B5">
            <w:pPr>
              <w:rPr>
                <w:rFonts w:ascii="宋体"/>
              </w:rPr>
            </w:pPr>
          </w:p>
        </w:tc>
        <w:tc>
          <w:tcPr>
            <w:tcW w:w="50" w:type="pct"/>
            <w:shd w:val="clear" w:color="auto" w:fill="auto"/>
            <w:vAlign w:val="bottom"/>
          </w:tcPr>
          <w:p w14:paraId="442F78BC" w14:textId="77777777" w:rsidR="00CC25B5" w:rsidRDefault="00CC25B5">
            <w:pPr>
              <w:rPr>
                <w:rFonts w:ascii="宋体"/>
              </w:rPr>
            </w:pPr>
          </w:p>
        </w:tc>
        <w:tc>
          <w:tcPr>
            <w:tcW w:w="522" w:type="pct"/>
            <w:shd w:val="clear" w:color="auto" w:fill="auto"/>
            <w:vAlign w:val="bottom"/>
          </w:tcPr>
          <w:p w14:paraId="442F78BD" w14:textId="77777777" w:rsidR="00CC25B5" w:rsidRDefault="00CC25B5">
            <w:pPr>
              <w:rPr>
                <w:rFonts w:ascii="宋体"/>
              </w:rPr>
            </w:pPr>
          </w:p>
        </w:tc>
        <w:tc>
          <w:tcPr>
            <w:tcW w:w="5" w:type="pct"/>
            <w:shd w:val="clear" w:color="auto" w:fill="auto"/>
            <w:vAlign w:val="bottom"/>
          </w:tcPr>
          <w:p w14:paraId="442F78BE" w14:textId="77777777" w:rsidR="00CC25B5" w:rsidRDefault="00CC25B5">
            <w:pPr>
              <w:rPr>
                <w:rFonts w:ascii="宋体"/>
              </w:rPr>
            </w:pPr>
          </w:p>
        </w:tc>
        <w:tc>
          <w:tcPr>
            <w:tcW w:w="5" w:type="pct"/>
            <w:shd w:val="clear" w:color="auto" w:fill="auto"/>
            <w:vAlign w:val="bottom"/>
          </w:tcPr>
          <w:p w14:paraId="442F78BF" w14:textId="77777777" w:rsidR="00CC25B5" w:rsidRDefault="00CC25B5">
            <w:pPr>
              <w:rPr>
                <w:rFonts w:ascii="宋体"/>
              </w:rPr>
            </w:pPr>
          </w:p>
        </w:tc>
        <w:tc>
          <w:tcPr>
            <w:tcW w:w="26" w:type="pct"/>
            <w:shd w:val="clear" w:color="auto" w:fill="auto"/>
            <w:vAlign w:val="bottom"/>
          </w:tcPr>
          <w:p w14:paraId="442F78C0" w14:textId="77777777" w:rsidR="00CC25B5" w:rsidRDefault="00CC25B5">
            <w:pPr>
              <w:rPr>
                <w:rFonts w:ascii="宋体"/>
              </w:rPr>
            </w:pPr>
          </w:p>
        </w:tc>
        <w:tc>
          <w:tcPr>
            <w:tcW w:w="5" w:type="pct"/>
            <w:shd w:val="clear" w:color="auto" w:fill="auto"/>
            <w:vAlign w:val="bottom"/>
          </w:tcPr>
          <w:p w14:paraId="442F78C1" w14:textId="77777777" w:rsidR="00CC25B5" w:rsidRDefault="00CC25B5">
            <w:pPr>
              <w:rPr>
                <w:rFonts w:ascii="宋体"/>
              </w:rPr>
            </w:pPr>
          </w:p>
        </w:tc>
        <w:tc>
          <w:tcPr>
            <w:tcW w:w="50" w:type="pct"/>
            <w:shd w:val="clear" w:color="auto" w:fill="auto"/>
            <w:vAlign w:val="bottom"/>
          </w:tcPr>
          <w:p w14:paraId="442F78C2" w14:textId="77777777" w:rsidR="00CC25B5" w:rsidRDefault="00CC25B5">
            <w:pPr>
              <w:rPr>
                <w:rFonts w:ascii="宋体"/>
              </w:rPr>
            </w:pPr>
          </w:p>
        </w:tc>
        <w:tc>
          <w:tcPr>
            <w:tcW w:w="507" w:type="pct"/>
            <w:shd w:val="clear" w:color="auto" w:fill="auto"/>
            <w:vAlign w:val="bottom"/>
          </w:tcPr>
          <w:p w14:paraId="442F78C3" w14:textId="77777777" w:rsidR="00CC25B5" w:rsidRDefault="00CC25B5">
            <w:pPr>
              <w:rPr>
                <w:rFonts w:ascii="宋体"/>
              </w:rPr>
            </w:pPr>
          </w:p>
        </w:tc>
        <w:tc>
          <w:tcPr>
            <w:tcW w:w="5" w:type="pct"/>
            <w:shd w:val="clear" w:color="auto" w:fill="auto"/>
            <w:vAlign w:val="bottom"/>
          </w:tcPr>
          <w:p w14:paraId="442F78C4" w14:textId="77777777" w:rsidR="00CC25B5" w:rsidRDefault="00CC25B5">
            <w:pPr>
              <w:rPr>
                <w:rFonts w:ascii="宋体"/>
              </w:rPr>
            </w:pPr>
          </w:p>
        </w:tc>
        <w:tc>
          <w:tcPr>
            <w:tcW w:w="5" w:type="pct"/>
            <w:shd w:val="clear" w:color="auto" w:fill="auto"/>
            <w:vAlign w:val="bottom"/>
          </w:tcPr>
          <w:p w14:paraId="442F78C5" w14:textId="77777777" w:rsidR="00CC25B5" w:rsidRDefault="00CC25B5">
            <w:pPr>
              <w:rPr>
                <w:rFonts w:ascii="宋体"/>
              </w:rPr>
            </w:pPr>
          </w:p>
        </w:tc>
        <w:tc>
          <w:tcPr>
            <w:tcW w:w="26" w:type="pct"/>
            <w:shd w:val="clear" w:color="auto" w:fill="auto"/>
            <w:vAlign w:val="bottom"/>
          </w:tcPr>
          <w:p w14:paraId="442F78C6" w14:textId="77777777" w:rsidR="00CC25B5" w:rsidRDefault="00CC25B5">
            <w:pPr>
              <w:rPr>
                <w:rFonts w:ascii="宋体"/>
              </w:rPr>
            </w:pPr>
          </w:p>
        </w:tc>
        <w:tc>
          <w:tcPr>
            <w:tcW w:w="5" w:type="pct"/>
            <w:shd w:val="clear" w:color="auto" w:fill="auto"/>
            <w:vAlign w:val="bottom"/>
          </w:tcPr>
          <w:p w14:paraId="442F78C7" w14:textId="77777777" w:rsidR="00CC25B5" w:rsidRDefault="00CC25B5">
            <w:pPr>
              <w:rPr>
                <w:rFonts w:ascii="宋体"/>
              </w:rPr>
            </w:pPr>
          </w:p>
        </w:tc>
        <w:tc>
          <w:tcPr>
            <w:tcW w:w="50" w:type="pct"/>
            <w:shd w:val="clear" w:color="auto" w:fill="auto"/>
            <w:vAlign w:val="bottom"/>
          </w:tcPr>
          <w:p w14:paraId="442F78C8" w14:textId="77777777" w:rsidR="00CC25B5" w:rsidRDefault="00CC25B5">
            <w:pPr>
              <w:rPr>
                <w:rFonts w:ascii="宋体"/>
              </w:rPr>
            </w:pPr>
          </w:p>
        </w:tc>
        <w:tc>
          <w:tcPr>
            <w:tcW w:w="507" w:type="pct"/>
            <w:shd w:val="clear" w:color="auto" w:fill="auto"/>
            <w:vAlign w:val="bottom"/>
          </w:tcPr>
          <w:p w14:paraId="442F78C9" w14:textId="77777777" w:rsidR="00CC25B5" w:rsidRDefault="00CC25B5">
            <w:pPr>
              <w:rPr>
                <w:rFonts w:ascii="宋体"/>
              </w:rPr>
            </w:pPr>
          </w:p>
        </w:tc>
        <w:tc>
          <w:tcPr>
            <w:tcW w:w="5" w:type="pct"/>
            <w:shd w:val="clear" w:color="auto" w:fill="auto"/>
            <w:vAlign w:val="bottom"/>
          </w:tcPr>
          <w:p w14:paraId="442F78CA" w14:textId="77777777" w:rsidR="00CC25B5" w:rsidRDefault="00CC25B5">
            <w:pPr>
              <w:rPr>
                <w:rFonts w:ascii="宋体"/>
              </w:rPr>
            </w:pPr>
          </w:p>
        </w:tc>
        <w:tc>
          <w:tcPr>
            <w:tcW w:w="5" w:type="pct"/>
            <w:shd w:val="clear" w:color="auto" w:fill="auto"/>
            <w:vAlign w:val="bottom"/>
          </w:tcPr>
          <w:p w14:paraId="442F78CB" w14:textId="77777777" w:rsidR="00CC25B5" w:rsidRDefault="00CC25B5">
            <w:pPr>
              <w:rPr>
                <w:rFonts w:ascii="宋体"/>
              </w:rPr>
            </w:pPr>
          </w:p>
        </w:tc>
        <w:tc>
          <w:tcPr>
            <w:tcW w:w="26" w:type="pct"/>
            <w:shd w:val="clear" w:color="auto" w:fill="auto"/>
            <w:vAlign w:val="bottom"/>
          </w:tcPr>
          <w:p w14:paraId="442F78CC" w14:textId="77777777" w:rsidR="00CC25B5" w:rsidRDefault="00CC25B5">
            <w:pPr>
              <w:rPr>
                <w:rFonts w:ascii="宋体"/>
              </w:rPr>
            </w:pPr>
          </w:p>
        </w:tc>
        <w:tc>
          <w:tcPr>
            <w:tcW w:w="5" w:type="pct"/>
            <w:shd w:val="clear" w:color="auto" w:fill="auto"/>
            <w:vAlign w:val="bottom"/>
          </w:tcPr>
          <w:p w14:paraId="442F78CD" w14:textId="77777777" w:rsidR="00CC25B5" w:rsidRDefault="00CC25B5">
            <w:pPr>
              <w:rPr>
                <w:rFonts w:ascii="宋体"/>
              </w:rPr>
            </w:pPr>
          </w:p>
        </w:tc>
        <w:tc>
          <w:tcPr>
            <w:tcW w:w="50" w:type="pct"/>
            <w:shd w:val="clear" w:color="auto" w:fill="auto"/>
            <w:vAlign w:val="bottom"/>
          </w:tcPr>
          <w:p w14:paraId="442F78CE" w14:textId="77777777" w:rsidR="00CC25B5" w:rsidRDefault="00CC25B5">
            <w:pPr>
              <w:rPr>
                <w:rFonts w:ascii="宋体"/>
              </w:rPr>
            </w:pPr>
          </w:p>
        </w:tc>
        <w:tc>
          <w:tcPr>
            <w:tcW w:w="522" w:type="pct"/>
            <w:shd w:val="clear" w:color="auto" w:fill="auto"/>
            <w:vAlign w:val="bottom"/>
          </w:tcPr>
          <w:p w14:paraId="442F78CF" w14:textId="77777777" w:rsidR="00CC25B5" w:rsidRDefault="00CC25B5">
            <w:pPr>
              <w:rPr>
                <w:rFonts w:ascii="宋体"/>
              </w:rPr>
            </w:pPr>
          </w:p>
        </w:tc>
        <w:tc>
          <w:tcPr>
            <w:tcW w:w="5" w:type="pct"/>
            <w:shd w:val="clear" w:color="auto" w:fill="auto"/>
            <w:vAlign w:val="bottom"/>
          </w:tcPr>
          <w:p w14:paraId="442F78D0" w14:textId="77777777" w:rsidR="00CC25B5" w:rsidRDefault="00CC25B5">
            <w:pPr>
              <w:rPr>
                <w:rFonts w:ascii="宋体"/>
              </w:rPr>
            </w:pPr>
          </w:p>
        </w:tc>
        <w:tc>
          <w:tcPr>
            <w:tcW w:w="0" w:type="auto"/>
            <w:shd w:val="clear" w:color="auto" w:fill="auto"/>
            <w:vAlign w:val="bottom"/>
          </w:tcPr>
          <w:p w14:paraId="442F78D1" w14:textId="77777777" w:rsidR="00CC25B5" w:rsidRDefault="00CC25B5">
            <w:pPr>
              <w:rPr>
                <w:rFonts w:ascii="宋体"/>
                <w:vanish/>
              </w:rPr>
            </w:pPr>
          </w:p>
        </w:tc>
        <w:tc>
          <w:tcPr>
            <w:tcW w:w="0" w:type="auto"/>
            <w:shd w:val="clear" w:color="auto" w:fill="auto"/>
            <w:vAlign w:val="bottom"/>
          </w:tcPr>
          <w:p w14:paraId="442F78D2" w14:textId="77777777" w:rsidR="00CC25B5" w:rsidRDefault="00CC25B5">
            <w:pPr>
              <w:rPr>
                <w:rFonts w:ascii="宋体"/>
                <w:vanish/>
              </w:rPr>
            </w:pPr>
          </w:p>
        </w:tc>
        <w:tc>
          <w:tcPr>
            <w:tcW w:w="0" w:type="auto"/>
            <w:gridSpan w:val="3"/>
            <w:shd w:val="clear" w:color="auto" w:fill="auto"/>
            <w:vAlign w:val="bottom"/>
          </w:tcPr>
          <w:p w14:paraId="442F78D3" w14:textId="77777777" w:rsidR="00CC25B5" w:rsidRDefault="00CC25B5">
            <w:pPr>
              <w:rPr>
                <w:rFonts w:ascii="宋体"/>
                <w:vanish/>
              </w:rPr>
            </w:pPr>
          </w:p>
        </w:tc>
        <w:tc>
          <w:tcPr>
            <w:tcW w:w="0" w:type="auto"/>
            <w:gridSpan w:val="3"/>
            <w:shd w:val="clear" w:color="auto" w:fill="auto"/>
            <w:vAlign w:val="bottom"/>
          </w:tcPr>
          <w:p w14:paraId="442F78D4" w14:textId="77777777" w:rsidR="00CC25B5" w:rsidRDefault="00CC25B5">
            <w:pPr>
              <w:rPr>
                <w:rFonts w:ascii="宋体"/>
                <w:vanish/>
              </w:rPr>
            </w:pPr>
          </w:p>
        </w:tc>
      </w:tr>
      <w:tr w:rsidR="00CC25B5" w14:paraId="442F78E3" w14:textId="77777777">
        <w:tc>
          <w:tcPr>
            <w:tcW w:w="0" w:type="auto"/>
            <w:gridSpan w:val="3"/>
            <w:shd w:val="clear" w:color="auto" w:fill="auto"/>
            <w:tcMar>
              <w:top w:w="40" w:type="dxa"/>
              <w:left w:w="20" w:type="dxa"/>
              <w:bottom w:w="40" w:type="dxa"/>
              <w:right w:w="20" w:type="dxa"/>
            </w:tcMar>
            <w:vAlign w:val="bottom"/>
          </w:tcPr>
          <w:p w14:paraId="442F78D6"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8D7"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8D8"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8D9"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8DA" w14:textId="77777777" w:rsidR="00CC25B5" w:rsidRDefault="00900968">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442F78DB" w14:textId="77777777" w:rsidR="00CC25B5" w:rsidRDefault="00CC25B5">
            <w:pPr>
              <w:rPr>
                <w:rFonts w:ascii="宋体"/>
                <w:vanish/>
              </w:rPr>
            </w:pPr>
          </w:p>
        </w:tc>
        <w:tc>
          <w:tcPr>
            <w:tcW w:w="0" w:type="auto"/>
            <w:shd w:val="clear" w:color="auto" w:fill="auto"/>
            <w:vAlign w:val="bottom"/>
          </w:tcPr>
          <w:p w14:paraId="442F78DC" w14:textId="77777777" w:rsidR="00CC25B5" w:rsidRDefault="00CC25B5">
            <w:pPr>
              <w:rPr>
                <w:rFonts w:ascii="宋体"/>
                <w:vanish/>
              </w:rPr>
            </w:pPr>
          </w:p>
        </w:tc>
        <w:tc>
          <w:tcPr>
            <w:tcW w:w="0" w:type="auto"/>
            <w:shd w:val="clear" w:color="auto" w:fill="auto"/>
            <w:vAlign w:val="bottom"/>
          </w:tcPr>
          <w:p w14:paraId="442F78DD" w14:textId="77777777" w:rsidR="00CC25B5" w:rsidRDefault="00CC25B5">
            <w:pPr>
              <w:rPr>
                <w:rFonts w:ascii="宋体"/>
              </w:rPr>
            </w:pPr>
          </w:p>
        </w:tc>
        <w:tc>
          <w:tcPr>
            <w:tcW w:w="0" w:type="auto"/>
            <w:shd w:val="clear" w:color="auto" w:fill="auto"/>
            <w:vAlign w:val="bottom"/>
          </w:tcPr>
          <w:p w14:paraId="442F78DE" w14:textId="77777777" w:rsidR="00CC25B5" w:rsidRDefault="00CC25B5">
            <w:pPr>
              <w:rPr>
                <w:rFonts w:ascii="宋体"/>
              </w:rPr>
            </w:pPr>
          </w:p>
        </w:tc>
        <w:tc>
          <w:tcPr>
            <w:tcW w:w="0" w:type="auto"/>
            <w:shd w:val="clear" w:color="auto" w:fill="auto"/>
            <w:vAlign w:val="bottom"/>
          </w:tcPr>
          <w:p w14:paraId="442F78DF" w14:textId="77777777" w:rsidR="00CC25B5" w:rsidRDefault="00CC25B5">
            <w:pPr>
              <w:rPr>
                <w:rFonts w:ascii="宋体"/>
              </w:rPr>
            </w:pPr>
          </w:p>
        </w:tc>
        <w:tc>
          <w:tcPr>
            <w:tcW w:w="0" w:type="auto"/>
            <w:shd w:val="clear" w:color="auto" w:fill="auto"/>
            <w:vAlign w:val="bottom"/>
          </w:tcPr>
          <w:p w14:paraId="442F78E0" w14:textId="77777777" w:rsidR="00CC25B5" w:rsidRDefault="00CC25B5">
            <w:pPr>
              <w:rPr>
                <w:rFonts w:ascii="宋体"/>
              </w:rPr>
            </w:pPr>
          </w:p>
        </w:tc>
        <w:tc>
          <w:tcPr>
            <w:tcW w:w="0" w:type="auto"/>
            <w:shd w:val="clear" w:color="auto" w:fill="auto"/>
            <w:vAlign w:val="bottom"/>
          </w:tcPr>
          <w:p w14:paraId="442F78E1" w14:textId="77777777" w:rsidR="00CC25B5" w:rsidRDefault="00CC25B5">
            <w:pPr>
              <w:rPr>
                <w:rFonts w:ascii="宋体"/>
              </w:rPr>
            </w:pPr>
          </w:p>
        </w:tc>
        <w:tc>
          <w:tcPr>
            <w:tcW w:w="0" w:type="auto"/>
            <w:shd w:val="clear" w:color="auto" w:fill="auto"/>
            <w:vAlign w:val="bottom"/>
          </w:tcPr>
          <w:p w14:paraId="442F78E2" w14:textId="77777777" w:rsidR="00CC25B5" w:rsidRDefault="00CC25B5">
            <w:pPr>
              <w:rPr>
                <w:rFonts w:ascii="宋体"/>
              </w:rPr>
            </w:pPr>
          </w:p>
        </w:tc>
      </w:tr>
      <w:tr w:rsidR="00CC25B5" w14:paraId="442F78F1" w14:textId="77777777">
        <w:tc>
          <w:tcPr>
            <w:tcW w:w="0" w:type="auto"/>
            <w:gridSpan w:val="3"/>
            <w:shd w:val="clear" w:color="auto" w:fill="auto"/>
            <w:tcMar>
              <w:top w:w="40" w:type="dxa"/>
              <w:left w:w="20" w:type="dxa"/>
              <w:bottom w:w="40" w:type="dxa"/>
              <w:right w:w="20" w:type="dxa"/>
            </w:tcMar>
            <w:vAlign w:val="bottom"/>
          </w:tcPr>
          <w:p w14:paraId="442F78E4" w14:textId="77777777" w:rsidR="00CC25B5" w:rsidRDefault="00900968">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8E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E6"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8E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E8"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8E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EA"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8E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8EC"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shd w:val="clear" w:color="auto" w:fill="auto"/>
            <w:vAlign w:val="bottom"/>
          </w:tcPr>
          <w:p w14:paraId="442F78ED" w14:textId="77777777" w:rsidR="00CC25B5" w:rsidRDefault="00CC25B5">
            <w:pPr>
              <w:rPr>
                <w:rFonts w:ascii="宋体"/>
                <w:vanish/>
              </w:rPr>
            </w:pPr>
          </w:p>
        </w:tc>
        <w:tc>
          <w:tcPr>
            <w:tcW w:w="0" w:type="auto"/>
            <w:shd w:val="clear" w:color="auto" w:fill="auto"/>
            <w:vAlign w:val="bottom"/>
          </w:tcPr>
          <w:p w14:paraId="442F78EE" w14:textId="77777777" w:rsidR="00CC25B5" w:rsidRDefault="00CC25B5">
            <w:pPr>
              <w:rPr>
                <w:rFonts w:ascii="宋体"/>
                <w:vanish/>
              </w:rPr>
            </w:pPr>
          </w:p>
        </w:tc>
        <w:tc>
          <w:tcPr>
            <w:tcW w:w="0" w:type="auto"/>
            <w:gridSpan w:val="3"/>
            <w:shd w:val="clear" w:color="auto" w:fill="auto"/>
            <w:vAlign w:val="bottom"/>
          </w:tcPr>
          <w:p w14:paraId="442F78EF" w14:textId="77777777" w:rsidR="00CC25B5" w:rsidRDefault="00CC25B5">
            <w:pPr>
              <w:rPr>
                <w:rFonts w:ascii="宋体"/>
                <w:vanish/>
              </w:rPr>
            </w:pPr>
          </w:p>
        </w:tc>
        <w:tc>
          <w:tcPr>
            <w:tcW w:w="0" w:type="auto"/>
            <w:gridSpan w:val="3"/>
            <w:shd w:val="clear" w:color="auto" w:fill="auto"/>
            <w:vAlign w:val="bottom"/>
          </w:tcPr>
          <w:p w14:paraId="442F78F0" w14:textId="77777777" w:rsidR="00CC25B5" w:rsidRDefault="00CC25B5">
            <w:pPr>
              <w:rPr>
                <w:rFonts w:ascii="宋体"/>
                <w:vanish/>
              </w:rPr>
            </w:pPr>
          </w:p>
        </w:tc>
      </w:tr>
      <w:tr w:rsidR="00CC25B5" w14:paraId="442F78FF" w14:textId="77777777">
        <w:tc>
          <w:tcPr>
            <w:tcW w:w="0" w:type="auto"/>
            <w:gridSpan w:val="3"/>
            <w:shd w:val="clear" w:color="auto" w:fill="auto"/>
            <w:tcMar>
              <w:top w:w="40" w:type="dxa"/>
              <w:left w:w="20" w:type="dxa"/>
              <w:bottom w:w="40" w:type="dxa"/>
              <w:right w:w="20" w:type="dxa"/>
            </w:tcMar>
            <w:vAlign w:val="center"/>
          </w:tcPr>
          <w:p w14:paraId="442F78F2" w14:textId="77777777" w:rsidR="00CC25B5" w:rsidRDefault="00900968">
            <w:pPr>
              <w:textAlignment w:val="center"/>
            </w:pPr>
            <w:r>
              <w:rPr>
                <w:rFonts w:ascii="Times New Roman" w:eastAsia="宋体" w:hAnsi="Times New Roman"/>
                <w:color w:val="000000"/>
                <w:sz w:val="16"/>
                <w:szCs w:val="16"/>
              </w:rPr>
              <w:t>Operating income (loss):</w:t>
            </w:r>
          </w:p>
        </w:tc>
        <w:tc>
          <w:tcPr>
            <w:tcW w:w="0" w:type="auto"/>
            <w:gridSpan w:val="3"/>
            <w:shd w:val="clear" w:color="auto" w:fill="auto"/>
            <w:tcMar>
              <w:top w:w="0" w:type="dxa"/>
              <w:left w:w="20" w:type="dxa"/>
              <w:bottom w:w="0" w:type="dxa"/>
              <w:right w:w="20" w:type="dxa"/>
            </w:tcMar>
            <w:vAlign w:val="bottom"/>
          </w:tcPr>
          <w:p w14:paraId="442F78F3"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F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8F5"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F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8F7"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F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8F9"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8FA" w14:textId="77777777" w:rsidR="00CC25B5" w:rsidRDefault="00CC25B5">
            <w:pPr>
              <w:rPr>
                <w:rFonts w:ascii="宋体"/>
              </w:rPr>
            </w:pPr>
          </w:p>
        </w:tc>
        <w:tc>
          <w:tcPr>
            <w:tcW w:w="0" w:type="auto"/>
            <w:shd w:val="clear" w:color="auto" w:fill="auto"/>
            <w:vAlign w:val="bottom"/>
          </w:tcPr>
          <w:p w14:paraId="442F78FB" w14:textId="77777777" w:rsidR="00CC25B5" w:rsidRDefault="00CC25B5">
            <w:pPr>
              <w:rPr>
                <w:rFonts w:ascii="宋体"/>
                <w:vanish/>
              </w:rPr>
            </w:pPr>
          </w:p>
        </w:tc>
        <w:tc>
          <w:tcPr>
            <w:tcW w:w="0" w:type="auto"/>
            <w:shd w:val="clear" w:color="auto" w:fill="auto"/>
            <w:vAlign w:val="bottom"/>
          </w:tcPr>
          <w:p w14:paraId="442F78FC" w14:textId="77777777" w:rsidR="00CC25B5" w:rsidRDefault="00CC25B5">
            <w:pPr>
              <w:rPr>
                <w:rFonts w:ascii="宋体"/>
                <w:vanish/>
              </w:rPr>
            </w:pPr>
          </w:p>
        </w:tc>
        <w:tc>
          <w:tcPr>
            <w:tcW w:w="0" w:type="auto"/>
            <w:gridSpan w:val="3"/>
            <w:shd w:val="clear" w:color="auto" w:fill="auto"/>
            <w:vAlign w:val="bottom"/>
          </w:tcPr>
          <w:p w14:paraId="442F78FD" w14:textId="77777777" w:rsidR="00CC25B5" w:rsidRDefault="00CC25B5">
            <w:pPr>
              <w:rPr>
                <w:rFonts w:ascii="宋体"/>
                <w:vanish/>
              </w:rPr>
            </w:pPr>
          </w:p>
        </w:tc>
        <w:tc>
          <w:tcPr>
            <w:tcW w:w="0" w:type="auto"/>
            <w:gridSpan w:val="3"/>
            <w:shd w:val="clear" w:color="auto" w:fill="auto"/>
            <w:vAlign w:val="bottom"/>
          </w:tcPr>
          <w:p w14:paraId="442F78FE" w14:textId="77777777" w:rsidR="00CC25B5" w:rsidRDefault="00CC25B5">
            <w:pPr>
              <w:rPr>
                <w:rFonts w:ascii="宋体"/>
                <w:vanish/>
              </w:rPr>
            </w:pPr>
          </w:p>
        </w:tc>
      </w:tr>
      <w:tr w:rsidR="00CC25B5" w14:paraId="442F7915" w14:textId="77777777">
        <w:tc>
          <w:tcPr>
            <w:tcW w:w="0" w:type="auto"/>
            <w:gridSpan w:val="3"/>
            <w:shd w:val="clear" w:color="auto" w:fill="CCEEFF"/>
            <w:tcMar>
              <w:top w:w="40" w:type="dxa"/>
              <w:left w:w="380" w:type="dxa"/>
              <w:bottom w:w="40" w:type="dxa"/>
              <w:right w:w="20" w:type="dxa"/>
            </w:tcMar>
            <w:vAlign w:val="center"/>
          </w:tcPr>
          <w:p w14:paraId="442F7900" w14:textId="77777777" w:rsidR="00CC25B5" w:rsidRDefault="00900968">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442F7901"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902"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903" w14:textId="77777777" w:rsidR="00CC25B5" w:rsidRDefault="00900968">
            <w:pPr>
              <w:jc w:val="right"/>
              <w:textAlignment w:val="center"/>
            </w:pPr>
            <w:r>
              <w:rPr>
                <w:rFonts w:ascii="Times New Roman" w:eastAsia="宋体" w:hAnsi="Times New Roman"/>
                <w:color w:val="000000"/>
                <w:sz w:val="16"/>
                <w:szCs w:val="16"/>
              </w:rPr>
              <w:t>6,089 </w:t>
            </w:r>
          </w:p>
        </w:tc>
        <w:tc>
          <w:tcPr>
            <w:tcW w:w="0" w:type="auto"/>
            <w:shd w:val="clear" w:color="auto" w:fill="CCEEFF"/>
            <w:tcMar>
              <w:top w:w="40" w:type="dxa"/>
              <w:left w:w="0" w:type="dxa"/>
              <w:bottom w:w="40" w:type="dxa"/>
              <w:right w:w="20" w:type="dxa"/>
            </w:tcMar>
            <w:vAlign w:val="center"/>
          </w:tcPr>
          <w:p w14:paraId="442F790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05"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906"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907" w14:textId="77777777" w:rsidR="00CC25B5" w:rsidRDefault="00900968">
            <w:pPr>
              <w:jc w:val="right"/>
              <w:textAlignment w:val="center"/>
            </w:pPr>
            <w:r>
              <w:rPr>
                <w:rFonts w:ascii="Times New Roman" w:eastAsia="宋体" w:hAnsi="Times New Roman"/>
                <w:color w:val="000000"/>
                <w:sz w:val="16"/>
                <w:szCs w:val="16"/>
              </w:rPr>
              <w:t>5,057 </w:t>
            </w:r>
          </w:p>
        </w:tc>
        <w:tc>
          <w:tcPr>
            <w:tcW w:w="0" w:type="auto"/>
            <w:shd w:val="clear" w:color="auto" w:fill="CCEEFF"/>
            <w:tcMar>
              <w:top w:w="40" w:type="dxa"/>
              <w:left w:w="0" w:type="dxa"/>
              <w:bottom w:w="40" w:type="dxa"/>
              <w:right w:w="20" w:type="dxa"/>
            </w:tcMar>
            <w:vAlign w:val="center"/>
          </w:tcPr>
          <w:p w14:paraId="442F790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09"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90A"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90B" w14:textId="77777777" w:rsidR="00CC25B5" w:rsidRDefault="00900968">
            <w:pPr>
              <w:jc w:val="right"/>
              <w:textAlignment w:val="center"/>
            </w:pPr>
            <w:r>
              <w:rPr>
                <w:rFonts w:ascii="Times New Roman" w:eastAsia="宋体" w:hAnsi="Times New Roman"/>
                <w:color w:val="000000"/>
                <w:sz w:val="16"/>
                <w:szCs w:val="16"/>
              </w:rPr>
              <w:t>11,544 </w:t>
            </w:r>
          </w:p>
        </w:tc>
        <w:tc>
          <w:tcPr>
            <w:tcW w:w="0" w:type="auto"/>
            <w:shd w:val="clear" w:color="auto" w:fill="CCEEFF"/>
            <w:tcMar>
              <w:top w:w="40" w:type="dxa"/>
              <w:left w:w="0" w:type="dxa"/>
              <w:bottom w:w="40" w:type="dxa"/>
              <w:right w:w="20" w:type="dxa"/>
            </w:tcMar>
            <w:vAlign w:val="center"/>
          </w:tcPr>
          <w:p w14:paraId="442F790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0D"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90E"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90F" w14:textId="77777777" w:rsidR="00CC25B5" w:rsidRDefault="00900968">
            <w:pPr>
              <w:jc w:val="right"/>
              <w:textAlignment w:val="center"/>
            </w:pPr>
            <w:r>
              <w:rPr>
                <w:rFonts w:ascii="Times New Roman" w:eastAsia="宋体" w:hAnsi="Times New Roman"/>
                <w:color w:val="000000"/>
                <w:sz w:val="16"/>
                <w:szCs w:val="16"/>
              </w:rPr>
              <w:t>9,359 </w:t>
            </w:r>
          </w:p>
        </w:tc>
        <w:tc>
          <w:tcPr>
            <w:tcW w:w="0" w:type="auto"/>
            <w:shd w:val="clear" w:color="auto" w:fill="CCEEFF"/>
            <w:tcMar>
              <w:top w:w="40" w:type="dxa"/>
              <w:left w:w="0" w:type="dxa"/>
              <w:bottom w:w="40" w:type="dxa"/>
              <w:right w:w="20" w:type="dxa"/>
            </w:tcMar>
            <w:vAlign w:val="center"/>
          </w:tcPr>
          <w:p w14:paraId="442F7910" w14:textId="77777777" w:rsidR="00CC25B5" w:rsidRDefault="00CC25B5">
            <w:pPr>
              <w:jc w:val="right"/>
              <w:rPr>
                <w:rFonts w:ascii="宋体"/>
              </w:rPr>
            </w:pPr>
          </w:p>
        </w:tc>
        <w:tc>
          <w:tcPr>
            <w:tcW w:w="0" w:type="auto"/>
            <w:shd w:val="clear" w:color="auto" w:fill="auto"/>
            <w:vAlign w:val="bottom"/>
          </w:tcPr>
          <w:p w14:paraId="442F7911" w14:textId="77777777" w:rsidR="00CC25B5" w:rsidRDefault="00CC25B5">
            <w:pPr>
              <w:rPr>
                <w:rFonts w:ascii="宋体"/>
                <w:vanish/>
              </w:rPr>
            </w:pPr>
          </w:p>
        </w:tc>
        <w:tc>
          <w:tcPr>
            <w:tcW w:w="0" w:type="auto"/>
            <w:shd w:val="clear" w:color="auto" w:fill="auto"/>
            <w:vAlign w:val="bottom"/>
          </w:tcPr>
          <w:p w14:paraId="442F7912" w14:textId="77777777" w:rsidR="00CC25B5" w:rsidRDefault="00CC25B5">
            <w:pPr>
              <w:rPr>
                <w:rFonts w:ascii="宋体"/>
                <w:vanish/>
              </w:rPr>
            </w:pPr>
          </w:p>
        </w:tc>
        <w:tc>
          <w:tcPr>
            <w:tcW w:w="0" w:type="auto"/>
            <w:gridSpan w:val="3"/>
            <w:shd w:val="clear" w:color="auto" w:fill="auto"/>
            <w:vAlign w:val="bottom"/>
          </w:tcPr>
          <w:p w14:paraId="442F7913" w14:textId="77777777" w:rsidR="00CC25B5" w:rsidRDefault="00CC25B5">
            <w:pPr>
              <w:rPr>
                <w:rFonts w:ascii="宋体"/>
                <w:vanish/>
              </w:rPr>
            </w:pPr>
          </w:p>
        </w:tc>
        <w:tc>
          <w:tcPr>
            <w:tcW w:w="0" w:type="auto"/>
            <w:gridSpan w:val="3"/>
            <w:shd w:val="clear" w:color="auto" w:fill="auto"/>
            <w:vAlign w:val="bottom"/>
          </w:tcPr>
          <w:p w14:paraId="442F7914" w14:textId="77777777" w:rsidR="00CC25B5" w:rsidRDefault="00CC25B5">
            <w:pPr>
              <w:rPr>
                <w:rFonts w:ascii="宋体"/>
                <w:vanish/>
              </w:rPr>
            </w:pPr>
          </w:p>
        </w:tc>
      </w:tr>
      <w:tr w:rsidR="00CC25B5" w14:paraId="442F7927" w14:textId="77777777">
        <w:tc>
          <w:tcPr>
            <w:tcW w:w="0" w:type="auto"/>
            <w:gridSpan w:val="3"/>
            <w:shd w:val="clear" w:color="auto" w:fill="FFFFFF"/>
            <w:tcMar>
              <w:top w:w="40" w:type="dxa"/>
              <w:left w:w="380" w:type="dxa"/>
              <w:bottom w:w="40" w:type="dxa"/>
              <w:right w:w="20" w:type="dxa"/>
            </w:tcMar>
            <w:vAlign w:val="center"/>
          </w:tcPr>
          <w:p w14:paraId="442F7916" w14:textId="77777777" w:rsidR="00CC25B5" w:rsidRDefault="00900968">
            <w:pPr>
              <w:textAlignment w:val="center"/>
            </w:pPr>
            <w:r>
              <w:rPr>
                <w:rFonts w:ascii="Times New Roman" w:eastAsia="宋体" w:hAnsi="Times New Roman"/>
                <w:color w:val="000000"/>
                <w:sz w:val="16"/>
                <w:szCs w:val="16"/>
              </w:rPr>
              <w:t>Walmart International</w:t>
            </w:r>
          </w:p>
        </w:tc>
        <w:tc>
          <w:tcPr>
            <w:tcW w:w="0" w:type="auto"/>
            <w:gridSpan w:val="3"/>
            <w:shd w:val="clear" w:color="auto" w:fill="FFFFFF"/>
            <w:tcMar>
              <w:top w:w="0" w:type="dxa"/>
              <w:left w:w="20" w:type="dxa"/>
              <w:bottom w:w="0" w:type="dxa"/>
              <w:right w:w="20" w:type="dxa"/>
            </w:tcMar>
            <w:vAlign w:val="bottom"/>
          </w:tcPr>
          <w:p w14:paraId="442F791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18" w14:textId="77777777" w:rsidR="00CC25B5" w:rsidRDefault="00900968">
            <w:pPr>
              <w:jc w:val="right"/>
              <w:textAlignment w:val="center"/>
            </w:pPr>
            <w:r>
              <w:rPr>
                <w:rFonts w:ascii="Times New Roman" w:eastAsia="宋体" w:hAnsi="Times New Roman"/>
                <w:color w:val="000000"/>
                <w:sz w:val="16"/>
                <w:szCs w:val="16"/>
              </w:rPr>
              <w:t>861 </w:t>
            </w:r>
          </w:p>
        </w:tc>
        <w:tc>
          <w:tcPr>
            <w:tcW w:w="0" w:type="auto"/>
            <w:shd w:val="clear" w:color="auto" w:fill="FFFFFF"/>
            <w:tcMar>
              <w:top w:w="40" w:type="dxa"/>
              <w:left w:w="0" w:type="dxa"/>
              <w:bottom w:w="40" w:type="dxa"/>
              <w:right w:w="20" w:type="dxa"/>
            </w:tcMar>
            <w:vAlign w:val="center"/>
          </w:tcPr>
          <w:p w14:paraId="442F791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1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1B" w14:textId="77777777" w:rsidR="00CC25B5" w:rsidRDefault="00900968">
            <w:pPr>
              <w:jc w:val="right"/>
              <w:textAlignment w:val="center"/>
            </w:pPr>
            <w:r>
              <w:rPr>
                <w:rFonts w:ascii="Times New Roman" w:eastAsia="宋体" w:hAnsi="Times New Roman"/>
                <w:color w:val="000000"/>
                <w:sz w:val="16"/>
                <w:szCs w:val="16"/>
              </w:rPr>
              <w:t>812 </w:t>
            </w:r>
          </w:p>
        </w:tc>
        <w:tc>
          <w:tcPr>
            <w:tcW w:w="0" w:type="auto"/>
            <w:shd w:val="clear" w:color="auto" w:fill="FFFFFF"/>
            <w:tcMar>
              <w:top w:w="40" w:type="dxa"/>
              <w:left w:w="0" w:type="dxa"/>
              <w:bottom w:w="40" w:type="dxa"/>
              <w:right w:w="20" w:type="dxa"/>
            </w:tcMar>
            <w:vAlign w:val="center"/>
          </w:tcPr>
          <w:p w14:paraId="442F791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1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1E" w14:textId="77777777" w:rsidR="00CC25B5" w:rsidRDefault="00900968">
            <w:pPr>
              <w:jc w:val="right"/>
              <w:textAlignment w:val="center"/>
            </w:pPr>
            <w:r>
              <w:rPr>
                <w:rFonts w:ascii="Times New Roman" w:eastAsia="宋体" w:hAnsi="Times New Roman"/>
                <w:color w:val="000000"/>
                <w:sz w:val="16"/>
                <w:szCs w:val="16"/>
              </w:rPr>
              <w:t>2,055 </w:t>
            </w:r>
          </w:p>
        </w:tc>
        <w:tc>
          <w:tcPr>
            <w:tcW w:w="0" w:type="auto"/>
            <w:shd w:val="clear" w:color="auto" w:fill="FFFFFF"/>
            <w:tcMar>
              <w:top w:w="40" w:type="dxa"/>
              <w:left w:w="0" w:type="dxa"/>
              <w:bottom w:w="40" w:type="dxa"/>
              <w:right w:w="20" w:type="dxa"/>
            </w:tcMar>
            <w:vAlign w:val="center"/>
          </w:tcPr>
          <w:p w14:paraId="442F791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2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21" w14:textId="77777777" w:rsidR="00CC25B5" w:rsidRDefault="00900968">
            <w:pPr>
              <w:jc w:val="right"/>
              <w:textAlignment w:val="center"/>
            </w:pPr>
            <w:r>
              <w:rPr>
                <w:rFonts w:ascii="Times New Roman" w:eastAsia="宋体" w:hAnsi="Times New Roman"/>
                <w:color w:val="000000"/>
                <w:sz w:val="16"/>
                <w:szCs w:val="16"/>
              </w:rPr>
              <w:t>1,618 </w:t>
            </w:r>
          </w:p>
        </w:tc>
        <w:tc>
          <w:tcPr>
            <w:tcW w:w="0" w:type="auto"/>
            <w:shd w:val="clear" w:color="auto" w:fill="FFFFFF"/>
            <w:tcMar>
              <w:top w:w="40" w:type="dxa"/>
              <w:left w:w="0" w:type="dxa"/>
              <w:bottom w:w="40" w:type="dxa"/>
              <w:right w:w="20" w:type="dxa"/>
            </w:tcMar>
            <w:vAlign w:val="center"/>
          </w:tcPr>
          <w:p w14:paraId="442F7922" w14:textId="77777777" w:rsidR="00CC25B5" w:rsidRDefault="00CC25B5">
            <w:pPr>
              <w:jc w:val="right"/>
              <w:rPr>
                <w:rFonts w:ascii="宋体"/>
              </w:rPr>
            </w:pPr>
          </w:p>
        </w:tc>
        <w:tc>
          <w:tcPr>
            <w:tcW w:w="0" w:type="auto"/>
            <w:shd w:val="clear" w:color="auto" w:fill="auto"/>
            <w:vAlign w:val="bottom"/>
          </w:tcPr>
          <w:p w14:paraId="442F7923" w14:textId="77777777" w:rsidR="00CC25B5" w:rsidRDefault="00CC25B5">
            <w:pPr>
              <w:rPr>
                <w:rFonts w:ascii="宋体"/>
                <w:vanish/>
              </w:rPr>
            </w:pPr>
          </w:p>
        </w:tc>
        <w:tc>
          <w:tcPr>
            <w:tcW w:w="0" w:type="auto"/>
            <w:shd w:val="clear" w:color="auto" w:fill="auto"/>
            <w:vAlign w:val="bottom"/>
          </w:tcPr>
          <w:p w14:paraId="442F7924" w14:textId="77777777" w:rsidR="00CC25B5" w:rsidRDefault="00CC25B5">
            <w:pPr>
              <w:rPr>
                <w:rFonts w:ascii="宋体"/>
                <w:vanish/>
              </w:rPr>
            </w:pPr>
          </w:p>
        </w:tc>
        <w:tc>
          <w:tcPr>
            <w:tcW w:w="0" w:type="auto"/>
            <w:gridSpan w:val="3"/>
            <w:shd w:val="clear" w:color="auto" w:fill="auto"/>
            <w:vAlign w:val="bottom"/>
          </w:tcPr>
          <w:p w14:paraId="442F7925" w14:textId="77777777" w:rsidR="00CC25B5" w:rsidRDefault="00CC25B5">
            <w:pPr>
              <w:rPr>
                <w:rFonts w:ascii="宋体"/>
                <w:vanish/>
              </w:rPr>
            </w:pPr>
          </w:p>
        </w:tc>
        <w:tc>
          <w:tcPr>
            <w:tcW w:w="0" w:type="auto"/>
            <w:gridSpan w:val="3"/>
            <w:shd w:val="clear" w:color="auto" w:fill="auto"/>
            <w:vAlign w:val="bottom"/>
          </w:tcPr>
          <w:p w14:paraId="442F7926" w14:textId="77777777" w:rsidR="00CC25B5" w:rsidRDefault="00CC25B5">
            <w:pPr>
              <w:rPr>
                <w:rFonts w:ascii="宋体"/>
                <w:vanish/>
              </w:rPr>
            </w:pPr>
          </w:p>
        </w:tc>
      </w:tr>
      <w:tr w:rsidR="00CC25B5" w14:paraId="442F7939" w14:textId="77777777">
        <w:tc>
          <w:tcPr>
            <w:tcW w:w="0" w:type="auto"/>
            <w:gridSpan w:val="3"/>
            <w:shd w:val="clear" w:color="auto" w:fill="CCEEFF"/>
            <w:tcMar>
              <w:top w:w="40" w:type="dxa"/>
              <w:left w:w="380" w:type="dxa"/>
              <w:bottom w:w="40" w:type="dxa"/>
              <w:right w:w="20" w:type="dxa"/>
            </w:tcMar>
            <w:vAlign w:val="center"/>
          </w:tcPr>
          <w:p w14:paraId="442F7928" w14:textId="77777777" w:rsidR="00CC25B5" w:rsidRDefault="00900968">
            <w:pPr>
              <w:textAlignment w:val="center"/>
            </w:pPr>
            <w:r>
              <w:rPr>
                <w:rFonts w:ascii="Times New Roman" w:eastAsia="宋体" w:hAnsi="Times New Roman"/>
                <w:color w:val="000000"/>
                <w:sz w:val="16"/>
                <w:szCs w:val="16"/>
              </w:rPr>
              <w:t>Sam's Club</w:t>
            </w:r>
          </w:p>
        </w:tc>
        <w:tc>
          <w:tcPr>
            <w:tcW w:w="0" w:type="auto"/>
            <w:gridSpan w:val="3"/>
            <w:shd w:val="clear" w:color="auto" w:fill="CCEEFF"/>
            <w:tcMar>
              <w:top w:w="0" w:type="dxa"/>
              <w:left w:w="20" w:type="dxa"/>
              <w:bottom w:w="0" w:type="dxa"/>
              <w:right w:w="20" w:type="dxa"/>
            </w:tcMar>
            <w:vAlign w:val="bottom"/>
          </w:tcPr>
          <w:p w14:paraId="442F792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2A" w14:textId="77777777" w:rsidR="00CC25B5" w:rsidRDefault="00900968">
            <w:pPr>
              <w:jc w:val="right"/>
              <w:textAlignment w:val="center"/>
            </w:pPr>
            <w:r>
              <w:rPr>
                <w:rFonts w:ascii="Times New Roman" w:eastAsia="宋体" w:hAnsi="Times New Roman"/>
                <w:color w:val="000000"/>
                <w:sz w:val="16"/>
                <w:szCs w:val="16"/>
              </w:rPr>
              <w:t>660 </w:t>
            </w:r>
          </w:p>
        </w:tc>
        <w:tc>
          <w:tcPr>
            <w:tcW w:w="0" w:type="auto"/>
            <w:shd w:val="clear" w:color="auto" w:fill="CCEEFF"/>
            <w:tcMar>
              <w:top w:w="40" w:type="dxa"/>
              <w:left w:w="0" w:type="dxa"/>
              <w:bottom w:w="40" w:type="dxa"/>
              <w:right w:w="20" w:type="dxa"/>
            </w:tcMar>
            <w:vAlign w:val="center"/>
          </w:tcPr>
          <w:p w14:paraId="442F792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2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2D" w14:textId="77777777" w:rsidR="00CC25B5" w:rsidRDefault="00900968">
            <w:pPr>
              <w:jc w:val="right"/>
              <w:textAlignment w:val="center"/>
            </w:pPr>
            <w:r>
              <w:rPr>
                <w:rFonts w:ascii="Times New Roman" w:eastAsia="宋体" w:hAnsi="Times New Roman"/>
                <w:color w:val="000000"/>
                <w:sz w:val="16"/>
                <w:szCs w:val="16"/>
              </w:rPr>
              <w:t>592 </w:t>
            </w:r>
          </w:p>
        </w:tc>
        <w:tc>
          <w:tcPr>
            <w:tcW w:w="0" w:type="auto"/>
            <w:shd w:val="clear" w:color="auto" w:fill="CCEEFF"/>
            <w:tcMar>
              <w:top w:w="40" w:type="dxa"/>
              <w:left w:w="0" w:type="dxa"/>
              <w:bottom w:w="40" w:type="dxa"/>
              <w:right w:w="20" w:type="dxa"/>
            </w:tcMar>
            <w:vAlign w:val="center"/>
          </w:tcPr>
          <w:p w14:paraId="442F792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2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30" w14:textId="77777777" w:rsidR="00CC25B5" w:rsidRDefault="00900968">
            <w:pPr>
              <w:jc w:val="right"/>
              <w:textAlignment w:val="center"/>
            </w:pPr>
            <w:r>
              <w:rPr>
                <w:rFonts w:ascii="Times New Roman" w:eastAsia="宋体" w:hAnsi="Times New Roman"/>
                <w:color w:val="000000"/>
                <w:sz w:val="16"/>
                <w:szCs w:val="16"/>
              </w:rPr>
              <w:t>1,235 </w:t>
            </w:r>
          </w:p>
        </w:tc>
        <w:tc>
          <w:tcPr>
            <w:tcW w:w="0" w:type="auto"/>
            <w:shd w:val="clear" w:color="auto" w:fill="CCEEFF"/>
            <w:tcMar>
              <w:top w:w="40" w:type="dxa"/>
              <w:left w:w="0" w:type="dxa"/>
              <w:bottom w:w="40" w:type="dxa"/>
              <w:right w:w="20" w:type="dxa"/>
            </w:tcMar>
            <w:vAlign w:val="center"/>
          </w:tcPr>
          <w:p w14:paraId="442F793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3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33" w14:textId="77777777" w:rsidR="00CC25B5" w:rsidRDefault="00900968">
            <w:pPr>
              <w:jc w:val="right"/>
              <w:textAlignment w:val="center"/>
            </w:pPr>
            <w:r>
              <w:rPr>
                <w:rFonts w:ascii="Times New Roman" w:eastAsia="宋体" w:hAnsi="Times New Roman"/>
                <w:color w:val="000000"/>
                <w:sz w:val="16"/>
                <w:szCs w:val="16"/>
              </w:rPr>
              <w:t>1,086 </w:t>
            </w:r>
          </w:p>
        </w:tc>
        <w:tc>
          <w:tcPr>
            <w:tcW w:w="0" w:type="auto"/>
            <w:shd w:val="clear" w:color="auto" w:fill="CCEEFF"/>
            <w:tcMar>
              <w:top w:w="40" w:type="dxa"/>
              <w:left w:w="0" w:type="dxa"/>
              <w:bottom w:w="40" w:type="dxa"/>
              <w:right w:w="20" w:type="dxa"/>
            </w:tcMar>
            <w:vAlign w:val="center"/>
          </w:tcPr>
          <w:p w14:paraId="442F7934" w14:textId="77777777" w:rsidR="00CC25B5" w:rsidRDefault="00CC25B5">
            <w:pPr>
              <w:jc w:val="right"/>
              <w:rPr>
                <w:rFonts w:ascii="宋体"/>
              </w:rPr>
            </w:pPr>
          </w:p>
        </w:tc>
        <w:tc>
          <w:tcPr>
            <w:tcW w:w="0" w:type="auto"/>
            <w:shd w:val="clear" w:color="auto" w:fill="auto"/>
            <w:vAlign w:val="bottom"/>
          </w:tcPr>
          <w:p w14:paraId="442F7935" w14:textId="77777777" w:rsidR="00CC25B5" w:rsidRDefault="00CC25B5">
            <w:pPr>
              <w:rPr>
                <w:rFonts w:ascii="宋体"/>
                <w:vanish/>
              </w:rPr>
            </w:pPr>
          </w:p>
        </w:tc>
        <w:tc>
          <w:tcPr>
            <w:tcW w:w="0" w:type="auto"/>
            <w:shd w:val="clear" w:color="auto" w:fill="auto"/>
            <w:vAlign w:val="bottom"/>
          </w:tcPr>
          <w:p w14:paraId="442F7936" w14:textId="77777777" w:rsidR="00CC25B5" w:rsidRDefault="00CC25B5">
            <w:pPr>
              <w:rPr>
                <w:rFonts w:ascii="宋体"/>
                <w:vanish/>
              </w:rPr>
            </w:pPr>
          </w:p>
        </w:tc>
        <w:tc>
          <w:tcPr>
            <w:tcW w:w="0" w:type="auto"/>
            <w:gridSpan w:val="3"/>
            <w:shd w:val="clear" w:color="auto" w:fill="auto"/>
            <w:vAlign w:val="bottom"/>
          </w:tcPr>
          <w:p w14:paraId="442F7937" w14:textId="77777777" w:rsidR="00CC25B5" w:rsidRDefault="00CC25B5">
            <w:pPr>
              <w:rPr>
                <w:rFonts w:ascii="宋体"/>
                <w:vanish/>
              </w:rPr>
            </w:pPr>
          </w:p>
        </w:tc>
        <w:tc>
          <w:tcPr>
            <w:tcW w:w="0" w:type="auto"/>
            <w:gridSpan w:val="3"/>
            <w:shd w:val="clear" w:color="auto" w:fill="auto"/>
            <w:vAlign w:val="bottom"/>
          </w:tcPr>
          <w:p w14:paraId="442F7938" w14:textId="77777777" w:rsidR="00CC25B5" w:rsidRDefault="00CC25B5">
            <w:pPr>
              <w:rPr>
                <w:rFonts w:ascii="宋体"/>
                <w:vanish/>
              </w:rPr>
            </w:pPr>
          </w:p>
        </w:tc>
      </w:tr>
      <w:tr w:rsidR="00CC25B5" w14:paraId="442F794B" w14:textId="77777777">
        <w:tc>
          <w:tcPr>
            <w:tcW w:w="0" w:type="auto"/>
            <w:gridSpan w:val="3"/>
            <w:shd w:val="clear" w:color="auto" w:fill="FFFFFF"/>
            <w:tcMar>
              <w:top w:w="40" w:type="dxa"/>
              <w:left w:w="380" w:type="dxa"/>
              <w:bottom w:w="40" w:type="dxa"/>
              <w:right w:w="20" w:type="dxa"/>
            </w:tcMar>
            <w:vAlign w:val="center"/>
          </w:tcPr>
          <w:p w14:paraId="442F793A" w14:textId="77777777" w:rsidR="00CC25B5" w:rsidRDefault="00900968">
            <w:pPr>
              <w:textAlignment w:val="center"/>
            </w:pPr>
            <w:r>
              <w:rPr>
                <w:rFonts w:ascii="Times New Roman" w:eastAsia="宋体" w:hAnsi="Times New Roman"/>
                <w:color w:val="000000"/>
                <w:sz w:val="16"/>
                <w:szCs w:val="16"/>
              </w:rPr>
              <w:t>Corporate and support</w:t>
            </w:r>
          </w:p>
        </w:tc>
        <w:tc>
          <w:tcPr>
            <w:tcW w:w="0" w:type="auto"/>
            <w:gridSpan w:val="3"/>
            <w:shd w:val="clear" w:color="auto" w:fill="FFFFFF"/>
            <w:tcMar>
              <w:top w:w="0" w:type="dxa"/>
              <w:left w:w="20" w:type="dxa"/>
              <w:bottom w:w="0" w:type="dxa"/>
              <w:right w:w="20" w:type="dxa"/>
            </w:tcMar>
            <w:vAlign w:val="bottom"/>
          </w:tcPr>
          <w:p w14:paraId="442F793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3C" w14:textId="77777777" w:rsidR="00CC25B5" w:rsidRDefault="00900968">
            <w:pPr>
              <w:jc w:val="right"/>
              <w:textAlignment w:val="center"/>
            </w:pPr>
            <w:r>
              <w:rPr>
                <w:rFonts w:ascii="Times New Roman" w:eastAsia="宋体" w:hAnsi="Times New Roman"/>
                <w:color w:val="000000"/>
                <w:sz w:val="16"/>
                <w:szCs w:val="16"/>
              </w:rPr>
              <w:t>(256)</w:t>
            </w:r>
          </w:p>
        </w:tc>
        <w:tc>
          <w:tcPr>
            <w:tcW w:w="0" w:type="auto"/>
            <w:shd w:val="clear" w:color="auto" w:fill="FFFFFF"/>
            <w:tcMar>
              <w:top w:w="40" w:type="dxa"/>
              <w:left w:w="0" w:type="dxa"/>
              <w:bottom w:w="40" w:type="dxa"/>
              <w:right w:w="20" w:type="dxa"/>
            </w:tcMar>
            <w:vAlign w:val="center"/>
          </w:tcPr>
          <w:p w14:paraId="442F793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3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3F" w14:textId="77777777" w:rsidR="00CC25B5" w:rsidRDefault="00900968">
            <w:pPr>
              <w:jc w:val="right"/>
              <w:textAlignment w:val="center"/>
            </w:pPr>
            <w:r>
              <w:rPr>
                <w:rFonts w:ascii="Times New Roman" w:eastAsia="宋体" w:hAnsi="Times New Roman"/>
                <w:color w:val="000000"/>
                <w:sz w:val="16"/>
                <w:szCs w:val="16"/>
              </w:rPr>
              <w:t>(402)</w:t>
            </w:r>
          </w:p>
        </w:tc>
        <w:tc>
          <w:tcPr>
            <w:tcW w:w="0" w:type="auto"/>
            <w:shd w:val="clear" w:color="auto" w:fill="FFFFFF"/>
            <w:tcMar>
              <w:top w:w="40" w:type="dxa"/>
              <w:left w:w="0" w:type="dxa"/>
              <w:bottom w:w="40" w:type="dxa"/>
              <w:right w:w="20" w:type="dxa"/>
            </w:tcMar>
            <w:vAlign w:val="center"/>
          </w:tcPr>
          <w:p w14:paraId="442F794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4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42" w14:textId="77777777" w:rsidR="00CC25B5" w:rsidRDefault="00900968">
            <w:pPr>
              <w:jc w:val="right"/>
              <w:textAlignment w:val="center"/>
            </w:pPr>
            <w:r>
              <w:rPr>
                <w:rFonts w:ascii="Times New Roman" w:eastAsia="宋体" w:hAnsi="Times New Roman"/>
                <w:color w:val="000000"/>
                <w:sz w:val="16"/>
                <w:szCs w:val="16"/>
              </w:rPr>
              <w:t>(571)</w:t>
            </w:r>
          </w:p>
        </w:tc>
        <w:tc>
          <w:tcPr>
            <w:tcW w:w="0" w:type="auto"/>
            <w:shd w:val="clear" w:color="auto" w:fill="FFFFFF"/>
            <w:tcMar>
              <w:top w:w="40" w:type="dxa"/>
              <w:left w:w="0" w:type="dxa"/>
              <w:bottom w:w="40" w:type="dxa"/>
              <w:right w:w="20" w:type="dxa"/>
            </w:tcMar>
            <w:vAlign w:val="center"/>
          </w:tcPr>
          <w:p w14:paraId="442F794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4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45" w14:textId="77777777" w:rsidR="00CC25B5" w:rsidRDefault="00900968">
            <w:pPr>
              <w:jc w:val="right"/>
              <w:textAlignment w:val="center"/>
            </w:pPr>
            <w:r>
              <w:rPr>
                <w:rFonts w:ascii="Times New Roman" w:eastAsia="宋体" w:hAnsi="Times New Roman"/>
                <w:color w:val="000000"/>
                <w:sz w:val="16"/>
                <w:szCs w:val="16"/>
              </w:rPr>
              <w:t>(780)</w:t>
            </w:r>
          </w:p>
        </w:tc>
        <w:tc>
          <w:tcPr>
            <w:tcW w:w="0" w:type="auto"/>
            <w:shd w:val="clear" w:color="auto" w:fill="FFFFFF"/>
            <w:tcMar>
              <w:top w:w="40" w:type="dxa"/>
              <w:left w:w="0" w:type="dxa"/>
              <w:bottom w:w="40" w:type="dxa"/>
              <w:right w:w="20" w:type="dxa"/>
            </w:tcMar>
            <w:vAlign w:val="center"/>
          </w:tcPr>
          <w:p w14:paraId="442F7946" w14:textId="77777777" w:rsidR="00CC25B5" w:rsidRDefault="00CC25B5">
            <w:pPr>
              <w:jc w:val="right"/>
              <w:rPr>
                <w:rFonts w:ascii="宋体"/>
              </w:rPr>
            </w:pPr>
          </w:p>
        </w:tc>
        <w:tc>
          <w:tcPr>
            <w:tcW w:w="0" w:type="auto"/>
            <w:shd w:val="clear" w:color="auto" w:fill="auto"/>
            <w:vAlign w:val="bottom"/>
          </w:tcPr>
          <w:p w14:paraId="442F7947" w14:textId="77777777" w:rsidR="00CC25B5" w:rsidRDefault="00CC25B5">
            <w:pPr>
              <w:rPr>
                <w:rFonts w:ascii="宋体"/>
                <w:vanish/>
              </w:rPr>
            </w:pPr>
          </w:p>
        </w:tc>
        <w:tc>
          <w:tcPr>
            <w:tcW w:w="0" w:type="auto"/>
            <w:shd w:val="clear" w:color="auto" w:fill="auto"/>
            <w:vAlign w:val="bottom"/>
          </w:tcPr>
          <w:p w14:paraId="442F7948" w14:textId="77777777" w:rsidR="00CC25B5" w:rsidRDefault="00CC25B5">
            <w:pPr>
              <w:rPr>
                <w:rFonts w:ascii="宋体"/>
                <w:vanish/>
              </w:rPr>
            </w:pPr>
          </w:p>
        </w:tc>
        <w:tc>
          <w:tcPr>
            <w:tcW w:w="0" w:type="auto"/>
            <w:gridSpan w:val="3"/>
            <w:shd w:val="clear" w:color="auto" w:fill="auto"/>
            <w:vAlign w:val="bottom"/>
          </w:tcPr>
          <w:p w14:paraId="442F7949" w14:textId="77777777" w:rsidR="00CC25B5" w:rsidRDefault="00CC25B5">
            <w:pPr>
              <w:rPr>
                <w:rFonts w:ascii="宋体"/>
                <w:vanish/>
              </w:rPr>
            </w:pPr>
          </w:p>
        </w:tc>
        <w:tc>
          <w:tcPr>
            <w:tcW w:w="0" w:type="auto"/>
            <w:gridSpan w:val="3"/>
            <w:shd w:val="clear" w:color="auto" w:fill="auto"/>
            <w:vAlign w:val="bottom"/>
          </w:tcPr>
          <w:p w14:paraId="442F794A" w14:textId="77777777" w:rsidR="00CC25B5" w:rsidRDefault="00CC25B5">
            <w:pPr>
              <w:rPr>
                <w:rFonts w:ascii="宋体"/>
                <w:vanish/>
              </w:rPr>
            </w:pPr>
          </w:p>
        </w:tc>
      </w:tr>
      <w:tr w:rsidR="00CC25B5" w14:paraId="442F795D" w14:textId="77777777">
        <w:tc>
          <w:tcPr>
            <w:tcW w:w="0" w:type="auto"/>
            <w:gridSpan w:val="3"/>
            <w:shd w:val="clear" w:color="auto" w:fill="CCEEFF"/>
            <w:tcMar>
              <w:top w:w="40" w:type="dxa"/>
              <w:left w:w="20" w:type="dxa"/>
              <w:bottom w:w="40" w:type="dxa"/>
              <w:right w:w="20" w:type="dxa"/>
            </w:tcMar>
            <w:vAlign w:val="center"/>
          </w:tcPr>
          <w:p w14:paraId="442F794C" w14:textId="77777777" w:rsidR="00CC25B5" w:rsidRDefault="00900968">
            <w:pPr>
              <w:textAlignment w:val="center"/>
            </w:pPr>
            <w:r>
              <w:rPr>
                <w:rFonts w:ascii="Times New Roman" w:eastAsia="宋体" w:hAnsi="Times New Roman"/>
                <w:b/>
                <w:bCs/>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42F794D"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94E" w14:textId="77777777" w:rsidR="00CC25B5" w:rsidRDefault="00900968">
            <w:pPr>
              <w:jc w:val="right"/>
              <w:textAlignment w:val="center"/>
            </w:pPr>
            <w:r>
              <w:rPr>
                <w:rFonts w:ascii="Times New Roman" w:eastAsia="宋体" w:hAnsi="Times New Roman"/>
                <w:color w:val="000000"/>
                <w:sz w:val="16"/>
                <w:szCs w:val="16"/>
              </w:rPr>
              <w:t>7,354 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94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50"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951" w14:textId="77777777" w:rsidR="00CC25B5" w:rsidRDefault="00900968">
            <w:pPr>
              <w:jc w:val="right"/>
              <w:textAlignment w:val="center"/>
            </w:pPr>
            <w:r>
              <w:rPr>
                <w:rFonts w:ascii="Times New Roman" w:eastAsia="宋体" w:hAnsi="Times New Roman"/>
                <w:color w:val="000000"/>
                <w:sz w:val="16"/>
                <w:szCs w:val="16"/>
              </w:rPr>
              <w:t>6,059 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95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53"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954" w14:textId="77777777" w:rsidR="00CC25B5" w:rsidRDefault="00900968">
            <w:pPr>
              <w:jc w:val="right"/>
              <w:textAlignment w:val="center"/>
            </w:pPr>
            <w:r>
              <w:rPr>
                <w:rFonts w:ascii="Times New Roman" w:eastAsia="宋体" w:hAnsi="Times New Roman"/>
                <w:color w:val="000000"/>
                <w:sz w:val="16"/>
                <w:szCs w:val="16"/>
              </w:rPr>
              <w:t>14,263 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95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56"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957" w14:textId="77777777" w:rsidR="00CC25B5" w:rsidRDefault="00900968">
            <w:pPr>
              <w:jc w:val="right"/>
              <w:textAlignment w:val="center"/>
            </w:pPr>
            <w:r>
              <w:rPr>
                <w:rFonts w:ascii="Times New Roman" w:eastAsia="宋体" w:hAnsi="Times New Roman"/>
                <w:color w:val="000000"/>
                <w:sz w:val="16"/>
                <w:szCs w:val="16"/>
              </w:rPr>
              <w:t>11,283 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958" w14:textId="77777777" w:rsidR="00CC25B5" w:rsidRDefault="00CC25B5">
            <w:pPr>
              <w:jc w:val="right"/>
              <w:rPr>
                <w:rFonts w:ascii="宋体"/>
              </w:rPr>
            </w:pPr>
          </w:p>
        </w:tc>
        <w:tc>
          <w:tcPr>
            <w:tcW w:w="0" w:type="auto"/>
            <w:shd w:val="clear" w:color="auto" w:fill="auto"/>
            <w:vAlign w:val="bottom"/>
          </w:tcPr>
          <w:p w14:paraId="442F7959" w14:textId="77777777" w:rsidR="00CC25B5" w:rsidRDefault="00CC25B5">
            <w:pPr>
              <w:rPr>
                <w:rFonts w:ascii="宋体"/>
                <w:vanish/>
              </w:rPr>
            </w:pPr>
          </w:p>
        </w:tc>
        <w:tc>
          <w:tcPr>
            <w:tcW w:w="0" w:type="auto"/>
            <w:shd w:val="clear" w:color="auto" w:fill="auto"/>
            <w:vAlign w:val="bottom"/>
          </w:tcPr>
          <w:p w14:paraId="442F795A" w14:textId="77777777" w:rsidR="00CC25B5" w:rsidRDefault="00CC25B5">
            <w:pPr>
              <w:rPr>
                <w:rFonts w:ascii="宋体"/>
                <w:vanish/>
              </w:rPr>
            </w:pPr>
          </w:p>
        </w:tc>
        <w:tc>
          <w:tcPr>
            <w:tcW w:w="0" w:type="auto"/>
            <w:gridSpan w:val="3"/>
            <w:shd w:val="clear" w:color="auto" w:fill="auto"/>
            <w:vAlign w:val="bottom"/>
          </w:tcPr>
          <w:p w14:paraId="442F795B" w14:textId="77777777" w:rsidR="00CC25B5" w:rsidRDefault="00CC25B5">
            <w:pPr>
              <w:rPr>
                <w:rFonts w:ascii="宋体"/>
                <w:vanish/>
              </w:rPr>
            </w:pPr>
          </w:p>
        </w:tc>
        <w:tc>
          <w:tcPr>
            <w:tcW w:w="0" w:type="auto"/>
            <w:gridSpan w:val="3"/>
            <w:shd w:val="clear" w:color="auto" w:fill="auto"/>
            <w:vAlign w:val="bottom"/>
          </w:tcPr>
          <w:p w14:paraId="442F795C" w14:textId="77777777" w:rsidR="00CC25B5" w:rsidRDefault="00CC25B5">
            <w:pPr>
              <w:rPr>
                <w:rFonts w:ascii="宋体"/>
                <w:vanish/>
              </w:rPr>
            </w:pPr>
          </w:p>
        </w:tc>
      </w:tr>
      <w:tr w:rsidR="00CC25B5" w14:paraId="442F796F" w14:textId="77777777">
        <w:tc>
          <w:tcPr>
            <w:tcW w:w="0" w:type="auto"/>
            <w:gridSpan w:val="3"/>
            <w:shd w:val="clear" w:color="auto" w:fill="FFFFFF"/>
            <w:tcMar>
              <w:top w:w="40" w:type="dxa"/>
              <w:left w:w="380" w:type="dxa"/>
              <w:bottom w:w="40" w:type="dxa"/>
              <w:right w:w="20" w:type="dxa"/>
            </w:tcMar>
            <w:vAlign w:val="center"/>
          </w:tcPr>
          <w:p w14:paraId="442F795E" w14:textId="77777777" w:rsidR="00CC25B5" w:rsidRDefault="00900968">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442F795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60" w14:textId="77777777" w:rsidR="00CC25B5" w:rsidRDefault="00900968">
            <w:pPr>
              <w:jc w:val="right"/>
              <w:textAlignment w:val="center"/>
            </w:pPr>
            <w:r>
              <w:rPr>
                <w:rFonts w:ascii="Times New Roman" w:eastAsia="宋体" w:hAnsi="Times New Roman"/>
                <w:color w:val="000000"/>
                <w:sz w:val="16"/>
                <w:szCs w:val="16"/>
              </w:rPr>
              <w:t>478 </w:t>
            </w:r>
          </w:p>
        </w:tc>
        <w:tc>
          <w:tcPr>
            <w:tcW w:w="0" w:type="auto"/>
            <w:shd w:val="clear" w:color="auto" w:fill="FFFFFF"/>
            <w:tcMar>
              <w:top w:w="40" w:type="dxa"/>
              <w:left w:w="0" w:type="dxa"/>
              <w:bottom w:w="40" w:type="dxa"/>
              <w:right w:w="20" w:type="dxa"/>
            </w:tcMar>
            <w:vAlign w:val="center"/>
          </w:tcPr>
          <w:p w14:paraId="442F796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6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63" w14:textId="77777777" w:rsidR="00CC25B5" w:rsidRDefault="00900968">
            <w:pPr>
              <w:jc w:val="right"/>
              <w:textAlignment w:val="center"/>
            </w:pPr>
            <w:r>
              <w:rPr>
                <w:rFonts w:ascii="Times New Roman" w:eastAsia="宋体" w:hAnsi="Times New Roman"/>
                <w:color w:val="000000"/>
                <w:sz w:val="16"/>
                <w:szCs w:val="16"/>
              </w:rPr>
              <w:t>635 </w:t>
            </w:r>
          </w:p>
        </w:tc>
        <w:tc>
          <w:tcPr>
            <w:tcW w:w="0" w:type="auto"/>
            <w:shd w:val="clear" w:color="auto" w:fill="FFFFFF"/>
            <w:tcMar>
              <w:top w:w="40" w:type="dxa"/>
              <w:left w:w="0" w:type="dxa"/>
              <w:bottom w:w="40" w:type="dxa"/>
              <w:right w:w="20" w:type="dxa"/>
            </w:tcMar>
            <w:vAlign w:val="center"/>
          </w:tcPr>
          <w:p w14:paraId="442F796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6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66" w14:textId="77777777" w:rsidR="00CC25B5" w:rsidRDefault="00900968">
            <w:pPr>
              <w:jc w:val="right"/>
              <w:textAlignment w:val="center"/>
            </w:pPr>
            <w:r>
              <w:rPr>
                <w:rFonts w:ascii="Times New Roman" w:eastAsia="宋体" w:hAnsi="Times New Roman"/>
                <w:color w:val="000000"/>
                <w:sz w:val="16"/>
                <w:szCs w:val="16"/>
              </w:rPr>
              <w:t>1,014 </w:t>
            </w:r>
          </w:p>
        </w:tc>
        <w:tc>
          <w:tcPr>
            <w:tcW w:w="0" w:type="auto"/>
            <w:shd w:val="clear" w:color="auto" w:fill="FFFFFF"/>
            <w:tcMar>
              <w:top w:w="40" w:type="dxa"/>
              <w:left w:w="0" w:type="dxa"/>
              <w:bottom w:w="40" w:type="dxa"/>
              <w:right w:w="20" w:type="dxa"/>
            </w:tcMar>
            <w:vAlign w:val="center"/>
          </w:tcPr>
          <w:p w14:paraId="442F796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6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969" w14:textId="77777777" w:rsidR="00CC25B5" w:rsidRDefault="00900968">
            <w:pPr>
              <w:jc w:val="right"/>
              <w:textAlignment w:val="center"/>
            </w:pPr>
            <w:r>
              <w:rPr>
                <w:rFonts w:ascii="Times New Roman" w:eastAsia="宋体" w:hAnsi="Times New Roman"/>
                <w:color w:val="000000"/>
                <w:sz w:val="16"/>
                <w:szCs w:val="16"/>
              </w:rPr>
              <w:t>1,184 </w:t>
            </w:r>
          </w:p>
        </w:tc>
        <w:tc>
          <w:tcPr>
            <w:tcW w:w="0" w:type="auto"/>
            <w:shd w:val="clear" w:color="auto" w:fill="FFFFFF"/>
            <w:tcMar>
              <w:top w:w="40" w:type="dxa"/>
              <w:left w:w="0" w:type="dxa"/>
              <w:bottom w:w="40" w:type="dxa"/>
              <w:right w:w="20" w:type="dxa"/>
            </w:tcMar>
            <w:vAlign w:val="center"/>
          </w:tcPr>
          <w:p w14:paraId="442F796A" w14:textId="77777777" w:rsidR="00CC25B5" w:rsidRDefault="00CC25B5">
            <w:pPr>
              <w:jc w:val="right"/>
              <w:rPr>
                <w:rFonts w:ascii="宋体"/>
              </w:rPr>
            </w:pPr>
          </w:p>
        </w:tc>
        <w:tc>
          <w:tcPr>
            <w:tcW w:w="0" w:type="auto"/>
            <w:shd w:val="clear" w:color="auto" w:fill="auto"/>
            <w:vAlign w:val="bottom"/>
          </w:tcPr>
          <w:p w14:paraId="442F796B" w14:textId="77777777" w:rsidR="00CC25B5" w:rsidRDefault="00CC25B5">
            <w:pPr>
              <w:rPr>
                <w:rFonts w:ascii="宋体"/>
                <w:vanish/>
              </w:rPr>
            </w:pPr>
          </w:p>
        </w:tc>
        <w:tc>
          <w:tcPr>
            <w:tcW w:w="0" w:type="auto"/>
            <w:shd w:val="clear" w:color="auto" w:fill="auto"/>
            <w:vAlign w:val="bottom"/>
          </w:tcPr>
          <w:p w14:paraId="442F796C" w14:textId="77777777" w:rsidR="00CC25B5" w:rsidRDefault="00CC25B5">
            <w:pPr>
              <w:rPr>
                <w:rFonts w:ascii="宋体"/>
                <w:vanish/>
              </w:rPr>
            </w:pPr>
          </w:p>
        </w:tc>
        <w:tc>
          <w:tcPr>
            <w:tcW w:w="0" w:type="auto"/>
            <w:gridSpan w:val="3"/>
            <w:shd w:val="clear" w:color="auto" w:fill="auto"/>
            <w:vAlign w:val="bottom"/>
          </w:tcPr>
          <w:p w14:paraId="442F796D" w14:textId="77777777" w:rsidR="00CC25B5" w:rsidRDefault="00CC25B5">
            <w:pPr>
              <w:rPr>
                <w:rFonts w:ascii="宋体"/>
                <w:vanish/>
              </w:rPr>
            </w:pPr>
          </w:p>
        </w:tc>
        <w:tc>
          <w:tcPr>
            <w:tcW w:w="0" w:type="auto"/>
            <w:gridSpan w:val="3"/>
            <w:shd w:val="clear" w:color="auto" w:fill="auto"/>
            <w:vAlign w:val="bottom"/>
          </w:tcPr>
          <w:p w14:paraId="442F796E" w14:textId="77777777" w:rsidR="00CC25B5" w:rsidRDefault="00CC25B5">
            <w:pPr>
              <w:rPr>
                <w:rFonts w:ascii="宋体"/>
                <w:vanish/>
              </w:rPr>
            </w:pPr>
          </w:p>
        </w:tc>
      </w:tr>
      <w:tr w:rsidR="00CC25B5" w14:paraId="442F797D" w14:textId="77777777">
        <w:trPr>
          <w:hidden/>
        </w:trPr>
        <w:tc>
          <w:tcPr>
            <w:tcW w:w="0" w:type="auto"/>
            <w:gridSpan w:val="3"/>
            <w:shd w:val="clear" w:color="auto" w:fill="auto"/>
            <w:vAlign w:val="bottom"/>
          </w:tcPr>
          <w:p w14:paraId="442F7970" w14:textId="77777777" w:rsidR="00CC25B5" w:rsidRDefault="00CC25B5">
            <w:pPr>
              <w:rPr>
                <w:rFonts w:ascii="宋体"/>
                <w:vanish/>
              </w:rPr>
            </w:pPr>
          </w:p>
        </w:tc>
        <w:tc>
          <w:tcPr>
            <w:tcW w:w="0" w:type="auto"/>
            <w:gridSpan w:val="3"/>
            <w:shd w:val="clear" w:color="auto" w:fill="auto"/>
            <w:vAlign w:val="bottom"/>
          </w:tcPr>
          <w:p w14:paraId="442F7971" w14:textId="77777777" w:rsidR="00CC25B5" w:rsidRDefault="00CC25B5">
            <w:pPr>
              <w:rPr>
                <w:rFonts w:ascii="宋体"/>
                <w:vanish/>
              </w:rPr>
            </w:pPr>
          </w:p>
        </w:tc>
        <w:tc>
          <w:tcPr>
            <w:tcW w:w="0" w:type="auto"/>
            <w:gridSpan w:val="3"/>
            <w:shd w:val="clear" w:color="auto" w:fill="auto"/>
            <w:vAlign w:val="bottom"/>
          </w:tcPr>
          <w:p w14:paraId="442F7972" w14:textId="77777777" w:rsidR="00CC25B5" w:rsidRDefault="00CC25B5">
            <w:pPr>
              <w:rPr>
                <w:rFonts w:ascii="宋体"/>
                <w:vanish/>
              </w:rPr>
            </w:pPr>
          </w:p>
        </w:tc>
        <w:tc>
          <w:tcPr>
            <w:tcW w:w="0" w:type="auto"/>
            <w:gridSpan w:val="3"/>
            <w:shd w:val="clear" w:color="auto" w:fill="auto"/>
            <w:vAlign w:val="bottom"/>
          </w:tcPr>
          <w:p w14:paraId="442F7973" w14:textId="77777777" w:rsidR="00CC25B5" w:rsidRDefault="00CC25B5">
            <w:pPr>
              <w:rPr>
                <w:rFonts w:ascii="宋体"/>
                <w:vanish/>
              </w:rPr>
            </w:pPr>
          </w:p>
        </w:tc>
        <w:tc>
          <w:tcPr>
            <w:tcW w:w="0" w:type="auto"/>
            <w:gridSpan w:val="3"/>
            <w:shd w:val="clear" w:color="auto" w:fill="auto"/>
            <w:vAlign w:val="bottom"/>
          </w:tcPr>
          <w:p w14:paraId="442F7974" w14:textId="77777777" w:rsidR="00CC25B5" w:rsidRDefault="00CC25B5">
            <w:pPr>
              <w:rPr>
                <w:rFonts w:ascii="宋体"/>
                <w:vanish/>
              </w:rPr>
            </w:pPr>
          </w:p>
        </w:tc>
        <w:tc>
          <w:tcPr>
            <w:tcW w:w="0" w:type="auto"/>
            <w:gridSpan w:val="3"/>
            <w:shd w:val="clear" w:color="auto" w:fill="auto"/>
            <w:vAlign w:val="bottom"/>
          </w:tcPr>
          <w:p w14:paraId="442F7975" w14:textId="77777777" w:rsidR="00CC25B5" w:rsidRDefault="00CC25B5">
            <w:pPr>
              <w:rPr>
                <w:rFonts w:ascii="宋体"/>
                <w:vanish/>
              </w:rPr>
            </w:pPr>
          </w:p>
        </w:tc>
        <w:tc>
          <w:tcPr>
            <w:tcW w:w="0" w:type="auto"/>
            <w:gridSpan w:val="3"/>
            <w:shd w:val="clear" w:color="auto" w:fill="auto"/>
            <w:vAlign w:val="bottom"/>
          </w:tcPr>
          <w:p w14:paraId="442F7976" w14:textId="77777777" w:rsidR="00CC25B5" w:rsidRDefault="00CC25B5">
            <w:pPr>
              <w:rPr>
                <w:rFonts w:ascii="宋体"/>
                <w:vanish/>
              </w:rPr>
            </w:pPr>
          </w:p>
        </w:tc>
        <w:tc>
          <w:tcPr>
            <w:tcW w:w="0" w:type="auto"/>
            <w:gridSpan w:val="3"/>
            <w:shd w:val="clear" w:color="auto" w:fill="auto"/>
            <w:vAlign w:val="bottom"/>
          </w:tcPr>
          <w:p w14:paraId="442F7977" w14:textId="77777777" w:rsidR="00CC25B5" w:rsidRDefault="00CC25B5">
            <w:pPr>
              <w:rPr>
                <w:rFonts w:ascii="宋体"/>
                <w:vanish/>
              </w:rPr>
            </w:pPr>
          </w:p>
        </w:tc>
        <w:tc>
          <w:tcPr>
            <w:tcW w:w="0" w:type="auto"/>
            <w:gridSpan w:val="3"/>
            <w:shd w:val="clear" w:color="auto" w:fill="auto"/>
            <w:vAlign w:val="bottom"/>
          </w:tcPr>
          <w:p w14:paraId="442F7978" w14:textId="77777777" w:rsidR="00CC25B5" w:rsidRDefault="00CC25B5">
            <w:pPr>
              <w:rPr>
                <w:rFonts w:ascii="宋体"/>
                <w:vanish/>
              </w:rPr>
            </w:pPr>
          </w:p>
        </w:tc>
        <w:tc>
          <w:tcPr>
            <w:tcW w:w="0" w:type="auto"/>
            <w:shd w:val="clear" w:color="auto" w:fill="auto"/>
            <w:vAlign w:val="bottom"/>
          </w:tcPr>
          <w:p w14:paraId="442F7979" w14:textId="77777777" w:rsidR="00CC25B5" w:rsidRDefault="00CC25B5">
            <w:pPr>
              <w:rPr>
                <w:rFonts w:ascii="宋体"/>
                <w:vanish/>
              </w:rPr>
            </w:pPr>
          </w:p>
        </w:tc>
        <w:tc>
          <w:tcPr>
            <w:tcW w:w="0" w:type="auto"/>
            <w:shd w:val="clear" w:color="auto" w:fill="auto"/>
            <w:vAlign w:val="bottom"/>
          </w:tcPr>
          <w:p w14:paraId="442F797A" w14:textId="77777777" w:rsidR="00CC25B5" w:rsidRDefault="00CC25B5">
            <w:pPr>
              <w:rPr>
                <w:rFonts w:ascii="宋体"/>
                <w:vanish/>
              </w:rPr>
            </w:pPr>
          </w:p>
        </w:tc>
        <w:tc>
          <w:tcPr>
            <w:tcW w:w="0" w:type="auto"/>
            <w:gridSpan w:val="3"/>
            <w:shd w:val="clear" w:color="auto" w:fill="auto"/>
            <w:vAlign w:val="bottom"/>
          </w:tcPr>
          <w:p w14:paraId="442F797B" w14:textId="77777777" w:rsidR="00CC25B5" w:rsidRDefault="00CC25B5">
            <w:pPr>
              <w:rPr>
                <w:rFonts w:ascii="宋体"/>
                <w:vanish/>
              </w:rPr>
            </w:pPr>
          </w:p>
        </w:tc>
        <w:tc>
          <w:tcPr>
            <w:tcW w:w="0" w:type="auto"/>
            <w:gridSpan w:val="3"/>
            <w:shd w:val="clear" w:color="auto" w:fill="auto"/>
            <w:vAlign w:val="bottom"/>
          </w:tcPr>
          <w:p w14:paraId="442F797C" w14:textId="77777777" w:rsidR="00CC25B5" w:rsidRDefault="00CC25B5">
            <w:pPr>
              <w:rPr>
                <w:rFonts w:ascii="宋体"/>
                <w:vanish/>
              </w:rPr>
            </w:pPr>
          </w:p>
        </w:tc>
      </w:tr>
      <w:tr w:rsidR="00CC25B5" w14:paraId="442F798F" w14:textId="77777777">
        <w:tc>
          <w:tcPr>
            <w:tcW w:w="0" w:type="auto"/>
            <w:gridSpan w:val="3"/>
            <w:shd w:val="clear" w:color="auto" w:fill="CCEEFF"/>
            <w:tcMar>
              <w:top w:w="40" w:type="dxa"/>
              <w:left w:w="380" w:type="dxa"/>
              <w:bottom w:w="40" w:type="dxa"/>
              <w:right w:w="20" w:type="dxa"/>
            </w:tcMar>
            <w:vAlign w:val="center"/>
          </w:tcPr>
          <w:p w14:paraId="442F797E" w14:textId="77777777" w:rsidR="00CC25B5" w:rsidRDefault="00900968">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442F797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80" w14:textId="77777777" w:rsidR="00CC25B5" w:rsidRDefault="00900968">
            <w:pPr>
              <w:jc w:val="right"/>
              <w:textAlignment w:val="center"/>
            </w:pPr>
            <w:r>
              <w:rPr>
                <w:rFonts w:ascii="Times New Roman" w:eastAsia="宋体" w:hAnsi="Times New Roman"/>
                <w:color w:val="000000"/>
                <w:sz w:val="16"/>
                <w:szCs w:val="16"/>
              </w:rPr>
              <w:t>953 </w:t>
            </w:r>
          </w:p>
        </w:tc>
        <w:tc>
          <w:tcPr>
            <w:tcW w:w="0" w:type="auto"/>
            <w:shd w:val="clear" w:color="auto" w:fill="CCEEFF"/>
            <w:tcMar>
              <w:top w:w="40" w:type="dxa"/>
              <w:left w:w="0" w:type="dxa"/>
              <w:bottom w:w="40" w:type="dxa"/>
              <w:right w:w="20" w:type="dxa"/>
            </w:tcMar>
            <w:vAlign w:val="center"/>
          </w:tcPr>
          <w:p w14:paraId="442F798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8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83" w14:textId="77777777" w:rsidR="00CC25B5" w:rsidRDefault="00900968">
            <w:pPr>
              <w:jc w:val="right"/>
              <w:textAlignment w:val="center"/>
            </w:pPr>
            <w:r>
              <w:rPr>
                <w:rFonts w:ascii="Times New Roman" w:eastAsia="宋体" w:hAnsi="Times New Roman"/>
                <w:color w:val="000000"/>
                <w:sz w:val="16"/>
                <w:szCs w:val="16"/>
              </w:rPr>
              <w:t>(3,222)</w:t>
            </w:r>
          </w:p>
        </w:tc>
        <w:tc>
          <w:tcPr>
            <w:tcW w:w="0" w:type="auto"/>
            <w:shd w:val="clear" w:color="auto" w:fill="CCEEFF"/>
            <w:tcMar>
              <w:top w:w="40" w:type="dxa"/>
              <w:left w:w="0" w:type="dxa"/>
              <w:bottom w:w="40" w:type="dxa"/>
              <w:right w:w="20" w:type="dxa"/>
            </w:tcMar>
            <w:vAlign w:val="center"/>
          </w:tcPr>
          <w:p w14:paraId="442F798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85"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86" w14:textId="77777777" w:rsidR="00CC25B5" w:rsidRDefault="00900968">
            <w:pPr>
              <w:jc w:val="right"/>
              <w:textAlignment w:val="center"/>
            </w:pPr>
            <w:r>
              <w:rPr>
                <w:rFonts w:ascii="Times New Roman" w:eastAsia="宋体" w:hAnsi="Times New Roman"/>
                <w:color w:val="000000"/>
                <w:sz w:val="16"/>
                <w:szCs w:val="16"/>
              </w:rPr>
              <w:t>3,482 </w:t>
            </w:r>
          </w:p>
        </w:tc>
        <w:tc>
          <w:tcPr>
            <w:tcW w:w="0" w:type="auto"/>
            <w:shd w:val="clear" w:color="auto" w:fill="CCEEFF"/>
            <w:tcMar>
              <w:top w:w="40" w:type="dxa"/>
              <w:left w:w="0" w:type="dxa"/>
              <w:bottom w:w="40" w:type="dxa"/>
              <w:right w:w="20" w:type="dxa"/>
            </w:tcMar>
            <w:vAlign w:val="center"/>
          </w:tcPr>
          <w:p w14:paraId="442F798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88"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989" w14:textId="77777777" w:rsidR="00CC25B5" w:rsidRDefault="00900968">
            <w:pPr>
              <w:jc w:val="right"/>
              <w:textAlignment w:val="center"/>
            </w:pPr>
            <w:r>
              <w:rPr>
                <w:rFonts w:ascii="Times New Roman" w:eastAsia="宋体" w:hAnsi="Times New Roman"/>
                <w:color w:val="000000"/>
                <w:sz w:val="16"/>
                <w:szCs w:val="16"/>
              </w:rPr>
              <w:t>(3,943)</w:t>
            </w:r>
          </w:p>
        </w:tc>
        <w:tc>
          <w:tcPr>
            <w:tcW w:w="0" w:type="auto"/>
            <w:shd w:val="clear" w:color="auto" w:fill="CCEEFF"/>
            <w:tcMar>
              <w:top w:w="40" w:type="dxa"/>
              <w:left w:w="0" w:type="dxa"/>
              <w:bottom w:w="40" w:type="dxa"/>
              <w:right w:w="20" w:type="dxa"/>
            </w:tcMar>
            <w:vAlign w:val="center"/>
          </w:tcPr>
          <w:p w14:paraId="442F798A" w14:textId="77777777" w:rsidR="00CC25B5" w:rsidRDefault="00CC25B5">
            <w:pPr>
              <w:jc w:val="right"/>
              <w:rPr>
                <w:rFonts w:ascii="宋体"/>
              </w:rPr>
            </w:pPr>
          </w:p>
        </w:tc>
        <w:tc>
          <w:tcPr>
            <w:tcW w:w="0" w:type="auto"/>
            <w:shd w:val="clear" w:color="auto" w:fill="auto"/>
            <w:vAlign w:val="bottom"/>
          </w:tcPr>
          <w:p w14:paraId="442F798B" w14:textId="77777777" w:rsidR="00CC25B5" w:rsidRDefault="00CC25B5">
            <w:pPr>
              <w:rPr>
                <w:rFonts w:ascii="宋体"/>
                <w:vanish/>
              </w:rPr>
            </w:pPr>
          </w:p>
        </w:tc>
        <w:tc>
          <w:tcPr>
            <w:tcW w:w="0" w:type="auto"/>
            <w:shd w:val="clear" w:color="auto" w:fill="auto"/>
            <w:vAlign w:val="bottom"/>
          </w:tcPr>
          <w:p w14:paraId="442F798C" w14:textId="77777777" w:rsidR="00CC25B5" w:rsidRDefault="00CC25B5">
            <w:pPr>
              <w:rPr>
                <w:rFonts w:ascii="宋体"/>
                <w:vanish/>
              </w:rPr>
            </w:pPr>
          </w:p>
        </w:tc>
        <w:tc>
          <w:tcPr>
            <w:tcW w:w="0" w:type="auto"/>
            <w:gridSpan w:val="3"/>
            <w:shd w:val="clear" w:color="auto" w:fill="auto"/>
            <w:vAlign w:val="bottom"/>
          </w:tcPr>
          <w:p w14:paraId="442F798D" w14:textId="77777777" w:rsidR="00CC25B5" w:rsidRDefault="00CC25B5">
            <w:pPr>
              <w:rPr>
                <w:rFonts w:ascii="宋体"/>
                <w:vanish/>
              </w:rPr>
            </w:pPr>
          </w:p>
        </w:tc>
        <w:tc>
          <w:tcPr>
            <w:tcW w:w="0" w:type="auto"/>
            <w:gridSpan w:val="3"/>
            <w:shd w:val="clear" w:color="auto" w:fill="auto"/>
            <w:vAlign w:val="bottom"/>
          </w:tcPr>
          <w:p w14:paraId="442F798E" w14:textId="77777777" w:rsidR="00CC25B5" w:rsidRDefault="00CC25B5">
            <w:pPr>
              <w:rPr>
                <w:rFonts w:ascii="宋体"/>
                <w:vanish/>
              </w:rPr>
            </w:pPr>
          </w:p>
        </w:tc>
      </w:tr>
      <w:tr w:rsidR="00CC25B5" w14:paraId="442F79A5" w14:textId="77777777">
        <w:tc>
          <w:tcPr>
            <w:tcW w:w="0" w:type="auto"/>
            <w:gridSpan w:val="3"/>
            <w:shd w:val="clear" w:color="auto" w:fill="FFFFFF"/>
            <w:tcMar>
              <w:top w:w="40" w:type="dxa"/>
              <w:left w:w="20" w:type="dxa"/>
              <w:bottom w:w="40" w:type="dxa"/>
              <w:right w:w="20" w:type="dxa"/>
            </w:tcMar>
            <w:vAlign w:val="center"/>
          </w:tcPr>
          <w:p w14:paraId="442F7990" w14:textId="77777777" w:rsidR="00CC25B5" w:rsidRDefault="00900968">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vAlign w:val="bottom"/>
          </w:tcPr>
          <w:p w14:paraId="442F7991"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99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993" w14:textId="77777777" w:rsidR="00CC25B5" w:rsidRDefault="00900968">
            <w:pPr>
              <w:jc w:val="right"/>
              <w:textAlignment w:val="center"/>
            </w:pPr>
            <w:r>
              <w:rPr>
                <w:rFonts w:ascii="Times New Roman" w:eastAsia="宋体" w:hAnsi="Times New Roman"/>
                <w:color w:val="000000"/>
                <w:sz w:val="16"/>
                <w:szCs w:val="16"/>
              </w:rPr>
              <w:t>5,923 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99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95"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996"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997" w14:textId="77777777" w:rsidR="00CC25B5" w:rsidRDefault="00900968">
            <w:pPr>
              <w:jc w:val="right"/>
              <w:textAlignment w:val="center"/>
            </w:pPr>
            <w:r>
              <w:rPr>
                <w:rFonts w:ascii="Times New Roman" w:eastAsia="宋体" w:hAnsi="Times New Roman"/>
                <w:color w:val="000000"/>
                <w:sz w:val="16"/>
                <w:szCs w:val="16"/>
              </w:rPr>
              <w:t>8,646 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99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99"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99A"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99B" w14:textId="77777777" w:rsidR="00CC25B5" w:rsidRDefault="00900968">
            <w:pPr>
              <w:jc w:val="right"/>
              <w:textAlignment w:val="center"/>
            </w:pPr>
            <w:r>
              <w:rPr>
                <w:rFonts w:ascii="Times New Roman" w:eastAsia="宋体" w:hAnsi="Times New Roman"/>
                <w:color w:val="000000"/>
                <w:sz w:val="16"/>
                <w:szCs w:val="16"/>
              </w:rPr>
              <w:t>9,767 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99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9D"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99E"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99F" w14:textId="77777777" w:rsidR="00CC25B5" w:rsidRDefault="00900968">
            <w:pPr>
              <w:jc w:val="right"/>
              <w:textAlignment w:val="center"/>
            </w:pPr>
            <w:r>
              <w:rPr>
                <w:rFonts w:ascii="Times New Roman" w:eastAsia="宋体" w:hAnsi="Times New Roman"/>
                <w:color w:val="000000"/>
                <w:sz w:val="16"/>
                <w:szCs w:val="16"/>
              </w:rPr>
              <w:t>14,042 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9A0" w14:textId="77777777" w:rsidR="00CC25B5" w:rsidRDefault="00CC25B5">
            <w:pPr>
              <w:jc w:val="right"/>
              <w:rPr>
                <w:rFonts w:ascii="宋体"/>
              </w:rPr>
            </w:pPr>
          </w:p>
        </w:tc>
        <w:tc>
          <w:tcPr>
            <w:tcW w:w="0" w:type="auto"/>
            <w:shd w:val="clear" w:color="auto" w:fill="auto"/>
            <w:vAlign w:val="bottom"/>
          </w:tcPr>
          <w:p w14:paraId="442F79A1" w14:textId="77777777" w:rsidR="00CC25B5" w:rsidRDefault="00CC25B5">
            <w:pPr>
              <w:rPr>
                <w:rFonts w:ascii="宋体"/>
                <w:vanish/>
              </w:rPr>
            </w:pPr>
          </w:p>
        </w:tc>
        <w:tc>
          <w:tcPr>
            <w:tcW w:w="0" w:type="auto"/>
            <w:shd w:val="clear" w:color="auto" w:fill="auto"/>
            <w:vAlign w:val="bottom"/>
          </w:tcPr>
          <w:p w14:paraId="442F79A2" w14:textId="77777777" w:rsidR="00CC25B5" w:rsidRDefault="00CC25B5">
            <w:pPr>
              <w:rPr>
                <w:rFonts w:ascii="宋体"/>
                <w:vanish/>
              </w:rPr>
            </w:pPr>
          </w:p>
        </w:tc>
        <w:tc>
          <w:tcPr>
            <w:tcW w:w="0" w:type="auto"/>
            <w:gridSpan w:val="3"/>
            <w:shd w:val="clear" w:color="auto" w:fill="auto"/>
            <w:vAlign w:val="bottom"/>
          </w:tcPr>
          <w:p w14:paraId="442F79A3" w14:textId="77777777" w:rsidR="00CC25B5" w:rsidRDefault="00CC25B5">
            <w:pPr>
              <w:rPr>
                <w:rFonts w:ascii="宋体"/>
                <w:vanish/>
              </w:rPr>
            </w:pPr>
          </w:p>
        </w:tc>
        <w:tc>
          <w:tcPr>
            <w:tcW w:w="0" w:type="auto"/>
            <w:gridSpan w:val="3"/>
            <w:shd w:val="clear" w:color="auto" w:fill="auto"/>
            <w:vAlign w:val="bottom"/>
          </w:tcPr>
          <w:p w14:paraId="442F79A4" w14:textId="77777777" w:rsidR="00CC25B5" w:rsidRDefault="00CC25B5">
            <w:pPr>
              <w:rPr>
                <w:rFonts w:ascii="宋体"/>
                <w:vanish/>
              </w:rPr>
            </w:pPr>
          </w:p>
        </w:tc>
      </w:tr>
    </w:tbl>
    <w:p w14:paraId="442F79A6" w14:textId="77777777" w:rsidR="00CC25B5" w:rsidRDefault="00900968">
      <w:pPr>
        <w:spacing w:before="80"/>
      </w:pPr>
      <w:r>
        <w:rPr>
          <w:rFonts w:ascii="Times New Roman" w:eastAsia="宋体" w:hAnsi="Times New Roman"/>
          <w:i/>
          <w:iCs/>
          <w:color w:val="000000"/>
          <w:sz w:val="20"/>
          <w:szCs w:val="20"/>
        </w:rPr>
        <w:t>Disaggregated Revenues</w:t>
      </w:r>
    </w:p>
    <w:p w14:paraId="442F79A7" w14:textId="77777777" w:rsidR="00CC25B5" w:rsidRDefault="00900968">
      <w:pPr>
        <w:spacing w:before="100"/>
      </w:pPr>
      <w:r>
        <w:rPr>
          <w:rFonts w:ascii="Times New Roman" w:eastAsia="宋体" w:hAnsi="Times New Roman"/>
          <w:color w:val="000000"/>
          <w:sz w:val="20"/>
          <w:szCs w:val="20"/>
        </w:rPr>
        <w:t>In the following tabl</w:t>
      </w:r>
      <w:r>
        <w:rPr>
          <w:rFonts w:ascii="Times New Roman" w:eastAsia="宋体" w:hAnsi="Times New Roman"/>
          <w:color w:val="000000"/>
          <w:sz w:val="20"/>
          <w:szCs w:val="20"/>
        </w:rPr>
        <w:t>es, segment net sales are disaggregated by either merchandise category or by market. From time to time, the Company revises the assignment of net sales of a particular item to a merchandise category. When the assignment changes, previous period amounts are</w:t>
      </w:r>
      <w:r>
        <w:rPr>
          <w:rFonts w:ascii="Times New Roman" w:eastAsia="宋体" w:hAnsi="Times New Roman"/>
          <w:color w:val="000000"/>
          <w:sz w:val="20"/>
          <w:szCs w:val="20"/>
        </w:rPr>
        <w:t xml:space="preserve"> reclassified to be comparable to the current period's presentation.</w:t>
      </w:r>
    </w:p>
    <w:p w14:paraId="442F79A8" w14:textId="77777777" w:rsidR="00CC25B5" w:rsidRDefault="00900968">
      <w:pPr>
        <w:spacing w:before="100"/>
      </w:pPr>
      <w:r>
        <w:rPr>
          <w:rFonts w:ascii="Times New Roman" w:eastAsia="宋体" w:hAnsi="Times New Roman"/>
          <w:color w:val="000000"/>
          <w:sz w:val="20"/>
          <w:szCs w:val="20"/>
        </w:rPr>
        <w:t xml:space="preserve">In addition, net sales related to eCommerce are provided for each segment, which include omni-channel sales, where a customer initiates an order digitally and the order is fulfilled through a store or club.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CC25B5" w14:paraId="442F79C4" w14:textId="77777777">
        <w:trPr>
          <w:jc w:val="center"/>
        </w:trPr>
        <w:tc>
          <w:tcPr>
            <w:tcW w:w="50" w:type="pct"/>
            <w:shd w:val="clear" w:color="auto" w:fill="auto"/>
            <w:vAlign w:val="bottom"/>
          </w:tcPr>
          <w:p w14:paraId="442F79A9" w14:textId="77777777" w:rsidR="00CC25B5" w:rsidRDefault="00CC25B5">
            <w:pPr>
              <w:rPr>
                <w:rFonts w:ascii="宋体"/>
              </w:rPr>
            </w:pPr>
          </w:p>
        </w:tc>
        <w:tc>
          <w:tcPr>
            <w:tcW w:w="2488" w:type="pct"/>
            <w:shd w:val="clear" w:color="auto" w:fill="auto"/>
            <w:vAlign w:val="bottom"/>
          </w:tcPr>
          <w:p w14:paraId="442F79AA" w14:textId="77777777" w:rsidR="00CC25B5" w:rsidRDefault="00CC25B5">
            <w:pPr>
              <w:rPr>
                <w:rFonts w:ascii="宋体"/>
              </w:rPr>
            </w:pPr>
          </w:p>
        </w:tc>
        <w:tc>
          <w:tcPr>
            <w:tcW w:w="5" w:type="pct"/>
            <w:shd w:val="clear" w:color="auto" w:fill="auto"/>
            <w:vAlign w:val="bottom"/>
          </w:tcPr>
          <w:p w14:paraId="442F79AB" w14:textId="77777777" w:rsidR="00CC25B5" w:rsidRDefault="00CC25B5">
            <w:pPr>
              <w:rPr>
                <w:rFonts w:ascii="宋体"/>
              </w:rPr>
            </w:pPr>
          </w:p>
        </w:tc>
        <w:tc>
          <w:tcPr>
            <w:tcW w:w="5" w:type="pct"/>
            <w:shd w:val="clear" w:color="auto" w:fill="auto"/>
            <w:vAlign w:val="bottom"/>
          </w:tcPr>
          <w:p w14:paraId="442F79AC" w14:textId="77777777" w:rsidR="00CC25B5" w:rsidRDefault="00CC25B5">
            <w:pPr>
              <w:rPr>
                <w:rFonts w:ascii="宋体"/>
              </w:rPr>
            </w:pPr>
          </w:p>
        </w:tc>
        <w:tc>
          <w:tcPr>
            <w:tcW w:w="26" w:type="pct"/>
            <w:shd w:val="clear" w:color="auto" w:fill="auto"/>
            <w:vAlign w:val="bottom"/>
          </w:tcPr>
          <w:p w14:paraId="442F79AD" w14:textId="77777777" w:rsidR="00CC25B5" w:rsidRDefault="00CC25B5">
            <w:pPr>
              <w:rPr>
                <w:rFonts w:ascii="宋体"/>
              </w:rPr>
            </w:pPr>
          </w:p>
        </w:tc>
        <w:tc>
          <w:tcPr>
            <w:tcW w:w="5" w:type="pct"/>
            <w:shd w:val="clear" w:color="auto" w:fill="auto"/>
            <w:vAlign w:val="bottom"/>
          </w:tcPr>
          <w:p w14:paraId="442F79AE" w14:textId="77777777" w:rsidR="00CC25B5" w:rsidRDefault="00CC25B5">
            <w:pPr>
              <w:rPr>
                <w:rFonts w:ascii="宋体"/>
              </w:rPr>
            </w:pPr>
          </w:p>
        </w:tc>
        <w:tc>
          <w:tcPr>
            <w:tcW w:w="50" w:type="pct"/>
            <w:shd w:val="clear" w:color="auto" w:fill="auto"/>
            <w:vAlign w:val="bottom"/>
          </w:tcPr>
          <w:p w14:paraId="442F79AF" w14:textId="77777777" w:rsidR="00CC25B5" w:rsidRDefault="00CC25B5">
            <w:pPr>
              <w:rPr>
                <w:rFonts w:ascii="宋体"/>
              </w:rPr>
            </w:pPr>
          </w:p>
        </w:tc>
        <w:tc>
          <w:tcPr>
            <w:tcW w:w="522" w:type="pct"/>
            <w:shd w:val="clear" w:color="auto" w:fill="auto"/>
            <w:vAlign w:val="bottom"/>
          </w:tcPr>
          <w:p w14:paraId="442F79B0" w14:textId="77777777" w:rsidR="00CC25B5" w:rsidRDefault="00CC25B5">
            <w:pPr>
              <w:rPr>
                <w:rFonts w:ascii="宋体"/>
              </w:rPr>
            </w:pPr>
          </w:p>
        </w:tc>
        <w:tc>
          <w:tcPr>
            <w:tcW w:w="5" w:type="pct"/>
            <w:shd w:val="clear" w:color="auto" w:fill="auto"/>
            <w:vAlign w:val="bottom"/>
          </w:tcPr>
          <w:p w14:paraId="442F79B1" w14:textId="77777777" w:rsidR="00CC25B5" w:rsidRDefault="00CC25B5">
            <w:pPr>
              <w:rPr>
                <w:rFonts w:ascii="宋体"/>
              </w:rPr>
            </w:pPr>
          </w:p>
        </w:tc>
        <w:tc>
          <w:tcPr>
            <w:tcW w:w="5" w:type="pct"/>
            <w:shd w:val="clear" w:color="auto" w:fill="auto"/>
            <w:vAlign w:val="bottom"/>
          </w:tcPr>
          <w:p w14:paraId="442F79B2" w14:textId="77777777" w:rsidR="00CC25B5" w:rsidRDefault="00CC25B5">
            <w:pPr>
              <w:rPr>
                <w:rFonts w:ascii="宋体"/>
              </w:rPr>
            </w:pPr>
          </w:p>
        </w:tc>
        <w:tc>
          <w:tcPr>
            <w:tcW w:w="26" w:type="pct"/>
            <w:shd w:val="clear" w:color="auto" w:fill="auto"/>
            <w:vAlign w:val="bottom"/>
          </w:tcPr>
          <w:p w14:paraId="442F79B3" w14:textId="77777777" w:rsidR="00CC25B5" w:rsidRDefault="00CC25B5">
            <w:pPr>
              <w:rPr>
                <w:rFonts w:ascii="宋体"/>
              </w:rPr>
            </w:pPr>
          </w:p>
        </w:tc>
        <w:tc>
          <w:tcPr>
            <w:tcW w:w="5" w:type="pct"/>
            <w:shd w:val="clear" w:color="auto" w:fill="auto"/>
            <w:vAlign w:val="bottom"/>
          </w:tcPr>
          <w:p w14:paraId="442F79B4" w14:textId="77777777" w:rsidR="00CC25B5" w:rsidRDefault="00CC25B5">
            <w:pPr>
              <w:rPr>
                <w:rFonts w:ascii="宋体"/>
              </w:rPr>
            </w:pPr>
          </w:p>
        </w:tc>
        <w:tc>
          <w:tcPr>
            <w:tcW w:w="50" w:type="pct"/>
            <w:shd w:val="clear" w:color="auto" w:fill="auto"/>
            <w:vAlign w:val="bottom"/>
          </w:tcPr>
          <w:p w14:paraId="442F79B5" w14:textId="77777777" w:rsidR="00CC25B5" w:rsidRDefault="00CC25B5">
            <w:pPr>
              <w:rPr>
                <w:rFonts w:ascii="宋体"/>
              </w:rPr>
            </w:pPr>
          </w:p>
        </w:tc>
        <w:tc>
          <w:tcPr>
            <w:tcW w:w="522" w:type="pct"/>
            <w:shd w:val="clear" w:color="auto" w:fill="auto"/>
            <w:vAlign w:val="bottom"/>
          </w:tcPr>
          <w:p w14:paraId="442F79B6" w14:textId="77777777" w:rsidR="00CC25B5" w:rsidRDefault="00CC25B5">
            <w:pPr>
              <w:rPr>
                <w:rFonts w:ascii="宋体"/>
              </w:rPr>
            </w:pPr>
          </w:p>
        </w:tc>
        <w:tc>
          <w:tcPr>
            <w:tcW w:w="5" w:type="pct"/>
            <w:shd w:val="clear" w:color="auto" w:fill="auto"/>
            <w:vAlign w:val="bottom"/>
          </w:tcPr>
          <w:p w14:paraId="442F79B7" w14:textId="77777777" w:rsidR="00CC25B5" w:rsidRDefault="00CC25B5">
            <w:pPr>
              <w:rPr>
                <w:rFonts w:ascii="宋体"/>
              </w:rPr>
            </w:pPr>
          </w:p>
        </w:tc>
        <w:tc>
          <w:tcPr>
            <w:tcW w:w="5" w:type="pct"/>
            <w:shd w:val="clear" w:color="auto" w:fill="auto"/>
            <w:vAlign w:val="bottom"/>
          </w:tcPr>
          <w:p w14:paraId="442F79B8" w14:textId="77777777" w:rsidR="00CC25B5" w:rsidRDefault="00CC25B5">
            <w:pPr>
              <w:rPr>
                <w:rFonts w:ascii="宋体"/>
              </w:rPr>
            </w:pPr>
          </w:p>
        </w:tc>
        <w:tc>
          <w:tcPr>
            <w:tcW w:w="26" w:type="pct"/>
            <w:shd w:val="clear" w:color="auto" w:fill="auto"/>
            <w:vAlign w:val="bottom"/>
          </w:tcPr>
          <w:p w14:paraId="442F79B9" w14:textId="77777777" w:rsidR="00CC25B5" w:rsidRDefault="00CC25B5">
            <w:pPr>
              <w:rPr>
                <w:rFonts w:ascii="宋体"/>
              </w:rPr>
            </w:pPr>
          </w:p>
        </w:tc>
        <w:tc>
          <w:tcPr>
            <w:tcW w:w="5" w:type="pct"/>
            <w:shd w:val="clear" w:color="auto" w:fill="auto"/>
            <w:vAlign w:val="bottom"/>
          </w:tcPr>
          <w:p w14:paraId="442F79BA" w14:textId="77777777" w:rsidR="00CC25B5" w:rsidRDefault="00CC25B5">
            <w:pPr>
              <w:rPr>
                <w:rFonts w:ascii="宋体"/>
              </w:rPr>
            </w:pPr>
          </w:p>
        </w:tc>
        <w:tc>
          <w:tcPr>
            <w:tcW w:w="50" w:type="pct"/>
            <w:shd w:val="clear" w:color="auto" w:fill="auto"/>
            <w:vAlign w:val="bottom"/>
          </w:tcPr>
          <w:p w14:paraId="442F79BB" w14:textId="77777777" w:rsidR="00CC25B5" w:rsidRDefault="00CC25B5">
            <w:pPr>
              <w:rPr>
                <w:rFonts w:ascii="宋体"/>
              </w:rPr>
            </w:pPr>
          </w:p>
        </w:tc>
        <w:tc>
          <w:tcPr>
            <w:tcW w:w="522" w:type="pct"/>
            <w:shd w:val="clear" w:color="auto" w:fill="auto"/>
            <w:vAlign w:val="bottom"/>
          </w:tcPr>
          <w:p w14:paraId="442F79BC" w14:textId="77777777" w:rsidR="00CC25B5" w:rsidRDefault="00CC25B5">
            <w:pPr>
              <w:rPr>
                <w:rFonts w:ascii="宋体"/>
              </w:rPr>
            </w:pPr>
          </w:p>
        </w:tc>
        <w:tc>
          <w:tcPr>
            <w:tcW w:w="5" w:type="pct"/>
            <w:shd w:val="clear" w:color="auto" w:fill="auto"/>
            <w:vAlign w:val="bottom"/>
          </w:tcPr>
          <w:p w14:paraId="442F79BD" w14:textId="77777777" w:rsidR="00CC25B5" w:rsidRDefault="00CC25B5">
            <w:pPr>
              <w:rPr>
                <w:rFonts w:ascii="宋体"/>
              </w:rPr>
            </w:pPr>
          </w:p>
        </w:tc>
        <w:tc>
          <w:tcPr>
            <w:tcW w:w="5" w:type="pct"/>
            <w:shd w:val="clear" w:color="auto" w:fill="auto"/>
            <w:vAlign w:val="bottom"/>
          </w:tcPr>
          <w:p w14:paraId="442F79BE" w14:textId="77777777" w:rsidR="00CC25B5" w:rsidRDefault="00CC25B5">
            <w:pPr>
              <w:rPr>
                <w:rFonts w:ascii="宋体"/>
              </w:rPr>
            </w:pPr>
          </w:p>
        </w:tc>
        <w:tc>
          <w:tcPr>
            <w:tcW w:w="26" w:type="pct"/>
            <w:shd w:val="clear" w:color="auto" w:fill="auto"/>
            <w:vAlign w:val="bottom"/>
          </w:tcPr>
          <w:p w14:paraId="442F79BF" w14:textId="77777777" w:rsidR="00CC25B5" w:rsidRDefault="00CC25B5">
            <w:pPr>
              <w:rPr>
                <w:rFonts w:ascii="宋体"/>
              </w:rPr>
            </w:pPr>
          </w:p>
        </w:tc>
        <w:tc>
          <w:tcPr>
            <w:tcW w:w="5" w:type="pct"/>
            <w:shd w:val="clear" w:color="auto" w:fill="auto"/>
            <w:vAlign w:val="bottom"/>
          </w:tcPr>
          <w:p w14:paraId="442F79C0" w14:textId="77777777" w:rsidR="00CC25B5" w:rsidRDefault="00CC25B5">
            <w:pPr>
              <w:rPr>
                <w:rFonts w:ascii="宋体"/>
              </w:rPr>
            </w:pPr>
          </w:p>
        </w:tc>
        <w:tc>
          <w:tcPr>
            <w:tcW w:w="50" w:type="pct"/>
            <w:shd w:val="clear" w:color="auto" w:fill="auto"/>
            <w:vAlign w:val="bottom"/>
          </w:tcPr>
          <w:p w14:paraId="442F79C1" w14:textId="77777777" w:rsidR="00CC25B5" w:rsidRDefault="00CC25B5">
            <w:pPr>
              <w:rPr>
                <w:rFonts w:ascii="宋体"/>
              </w:rPr>
            </w:pPr>
          </w:p>
        </w:tc>
        <w:tc>
          <w:tcPr>
            <w:tcW w:w="522" w:type="pct"/>
            <w:shd w:val="clear" w:color="auto" w:fill="auto"/>
            <w:vAlign w:val="bottom"/>
          </w:tcPr>
          <w:p w14:paraId="442F79C2" w14:textId="77777777" w:rsidR="00CC25B5" w:rsidRDefault="00CC25B5">
            <w:pPr>
              <w:rPr>
                <w:rFonts w:ascii="宋体"/>
              </w:rPr>
            </w:pPr>
          </w:p>
        </w:tc>
        <w:tc>
          <w:tcPr>
            <w:tcW w:w="5" w:type="pct"/>
            <w:shd w:val="clear" w:color="auto" w:fill="auto"/>
            <w:vAlign w:val="bottom"/>
          </w:tcPr>
          <w:p w14:paraId="442F79C3" w14:textId="77777777" w:rsidR="00CC25B5" w:rsidRDefault="00CC25B5">
            <w:pPr>
              <w:rPr>
                <w:rFonts w:ascii="宋体"/>
              </w:rPr>
            </w:pPr>
          </w:p>
        </w:tc>
      </w:tr>
      <w:tr w:rsidR="00CC25B5" w14:paraId="442F79CA" w14:textId="77777777">
        <w:trPr>
          <w:jc w:val="center"/>
        </w:trPr>
        <w:tc>
          <w:tcPr>
            <w:tcW w:w="0" w:type="auto"/>
            <w:gridSpan w:val="3"/>
            <w:shd w:val="clear" w:color="auto" w:fill="auto"/>
            <w:tcMar>
              <w:top w:w="40" w:type="dxa"/>
              <w:left w:w="20" w:type="dxa"/>
              <w:bottom w:w="40" w:type="dxa"/>
              <w:right w:w="20" w:type="dxa"/>
            </w:tcMar>
            <w:vAlign w:val="bottom"/>
          </w:tcPr>
          <w:p w14:paraId="442F79C5"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9C6"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9C7"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9C8"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9C9"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79D4" w14:textId="77777777">
        <w:trPr>
          <w:jc w:val="center"/>
        </w:trPr>
        <w:tc>
          <w:tcPr>
            <w:tcW w:w="0" w:type="auto"/>
            <w:gridSpan w:val="3"/>
            <w:shd w:val="clear" w:color="auto" w:fill="auto"/>
            <w:tcMar>
              <w:top w:w="40" w:type="dxa"/>
              <w:left w:w="20" w:type="dxa"/>
              <w:bottom w:w="40" w:type="dxa"/>
              <w:right w:w="20" w:type="dxa"/>
            </w:tcMar>
            <w:vAlign w:val="bottom"/>
          </w:tcPr>
          <w:p w14:paraId="442F79CB" w14:textId="77777777" w:rsidR="00CC25B5" w:rsidRDefault="00900968">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vAlign w:val="bottom"/>
          </w:tcPr>
          <w:p w14:paraId="442F79CC"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9CD"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9CE"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9CF"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9D0"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9D1"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9D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9D3"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9E6" w14:textId="77777777">
        <w:trPr>
          <w:jc w:val="center"/>
        </w:trPr>
        <w:tc>
          <w:tcPr>
            <w:tcW w:w="0" w:type="auto"/>
            <w:gridSpan w:val="3"/>
            <w:shd w:val="clear" w:color="auto" w:fill="CCEEFF"/>
            <w:tcMar>
              <w:top w:w="40" w:type="dxa"/>
              <w:left w:w="380" w:type="dxa"/>
              <w:bottom w:w="40" w:type="dxa"/>
              <w:right w:w="20" w:type="dxa"/>
            </w:tcMar>
            <w:vAlign w:val="center"/>
          </w:tcPr>
          <w:p w14:paraId="442F79D5" w14:textId="77777777" w:rsidR="00CC25B5" w:rsidRDefault="00900968">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vAlign w:val="bottom"/>
          </w:tcPr>
          <w:p w14:paraId="442F79D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9D7"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9D8" w14:textId="77777777" w:rsidR="00CC25B5" w:rsidRDefault="00900968">
            <w:pPr>
              <w:jc w:val="right"/>
              <w:textAlignment w:val="bottom"/>
            </w:pPr>
            <w:r>
              <w:rPr>
                <w:rFonts w:ascii="Times New Roman" w:eastAsia="宋体" w:hAnsi="Times New Roman"/>
                <w:color w:val="000000"/>
                <w:sz w:val="16"/>
                <w:szCs w:val="16"/>
              </w:rPr>
              <w:t>54,649 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9D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D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9DB"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9DC" w14:textId="77777777" w:rsidR="00CC25B5" w:rsidRDefault="00900968">
            <w:pPr>
              <w:jc w:val="right"/>
              <w:textAlignment w:val="bottom"/>
            </w:pPr>
            <w:r>
              <w:rPr>
                <w:rFonts w:ascii="Times New Roman" w:eastAsia="宋体" w:hAnsi="Times New Roman"/>
                <w:color w:val="000000"/>
                <w:sz w:val="16"/>
                <w:szCs w:val="16"/>
              </w:rPr>
              <w:t>51,545 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9D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D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9DF"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9E0" w14:textId="77777777" w:rsidR="00CC25B5" w:rsidRDefault="00900968">
            <w:pPr>
              <w:jc w:val="right"/>
              <w:textAlignment w:val="bottom"/>
            </w:pPr>
            <w:r>
              <w:rPr>
                <w:rFonts w:ascii="Times New Roman" w:eastAsia="宋体" w:hAnsi="Times New Roman"/>
                <w:color w:val="000000"/>
                <w:sz w:val="16"/>
                <w:szCs w:val="16"/>
              </w:rPr>
              <w:t>106,040 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9E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E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9E3"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9E4" w14:textId="77777777" w:rsidR="00CC25B5" w:rsidRDefault="00900968">
            <w:pPr>
              <w:jc w:val="right"/>
              <w:textAlignment w:val="bottom"/>
            </w:pPr>
            <w:r>
              <w:rPr>
                <w:rFonts w:ascii="Times New Roman" w:eastAsia="宋体" w:hAnsi="Times New Roman"/>
                <w:color w:val="000000"/>
                <w:sz w:val="16"/>
                <w:szCs w:val="16"/>
              </w:rPr>
              <w:t>104,466 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9E5" w14:textId="77777777" w:rsidR="00CC25B5" w:rsidRDefault="00CC25B5">
            <w:pPr>
              <w:jc w:val="right"/>
              <w:rPr>
                <w:rFonts w:ascii="宋体"/>
              </w:rPr>
            </w:pPr>
          </w:p>
        </w:tc>
      </w:tr>
      <w:tr w:rsidR="00CC25B5" w14:paraId="442F79F4" w14:textId="77777777">
        <w:trPr>
          <w:jc w:val="center"/>
        </w:trPr>
        <w:tc>
          <w:tcPr>
            <w:tcW w:w="0" w:type="auto"/>
            <w:gridSpan w:val="3"/>
            <w:shd w:val="clear" w:color="auto" w:fill="FFFFFF"/>
            <w:tcMar>
              <w:top w:w="40" w:type="dxa"/>
              <w:left w:w="380" w:type="dxa"/>
              <w:bottom w:w="40" w:type="dxa"/>
              <w:right w:w="20" w:type="dxa"/>
            </w:tcMar>
            <w:vAlign w:val="bottom"/>
          </w:tcPr>
          <w:p w14:paraId="442F79E7" w14:textId="77777777" w:rsidR="00CC25B5" w:rsidRDefault="00900968">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vAlign w:val="bottom"/>
          </w:tcPr>
          <w:p w14:paraId="442F79E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9E9" w14:textId="77777777" w:rsidR="00CC25B5" w:rsidRDefault="00900968">
            <w:pPr>
              <w:jc w:val="right"/>
              <w:textAlignment w:val="bottom"/>
            </w:pPr>
            <w:r>
              <w:rPr>
                <w:rFonts w:ascii="Times New Roman" w:eastAsia="宋体" w:hAnsi="Times New Roman"/>
                <w:color w:val="000000"/>
                <w:sz w:val="16"/>
                <w:szCs w:val="16"/>
              </w:rPr>
              <w:t>31,707 </w:t>
            </w:r>
          </w:p>
        </w:tc>
        <w:tc>
          <w:tcPr>
            <w:tcW w:w="0" w:type="auto"/>
            <w:shd w:val="clear" w:color="auto" w:fill="FFFFFF"/>
            <w:tcMar>
              <w:top w:w="40" w:type="dxa"/>
              <w:left w:w="0" w:type="dxa"/>
              <w:bottom w:w="40" w:type="dxa"/>
              <w:right w:w="20" w:type="dxa"/>
            </w:tcMar>
            <w:vAlign w:val="bottom"/>
          </w:tcPr>
          <w:p w14:paraId="442F79E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E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9EC" w14:textId="77777777" w:rsidR="00CC25B5" w:rsidRDefault="00900968">
            <w:pPr>
              <w:jc w:val="right"/>
              <w:textAlignment w:val="bottom"/>
            </w:pPr>
            <w:r>
              <w:rPr>
                <w:rFonts w:ascii="Times New Roman" w:eastAsia="宋体" w:hAnsi="Times New Roman"/>
                <w:color w:val="000000"/>
                <w:sz w:val="16"/>
                <w:szCs w:val="16"/>
              </w:rPr>
              <w:t>31,682 </w:t>
            </w:r>
          </w:p>
        </w:tc>
        <w:tc>
          <w:tcPr>
            <w:tcW w:w="0" w:type="auto"/>
            <w:shd w:val="clear" w:color="auto" w:fill="FFFFFF"/>
            <w:tcMar>
              <w:top w:w="40" w:type="dxa"/>
              <w:left w:w="0" w:type="dxa"/>
              <w:bottom w:w="40" w:type="dxa"/>
              <w:right w:w="20" w:type="dxa"/>
            </w:tcMar>
            <w:vAlign w:val="bottom"/>
          </w:tcPr>
          <w:p w14:paraId="442F79E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E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9EF" w14:textId="77777777" w:rsidR="00CC25B5" w:rsidRDefault="00900968">
            <w:pPr>
              <w:jc w:val="right"/>
              <w:textAlignment w:val="bottom"/>
            </w:pPr>
            <w:r>
              <w:rPr>
                <w:rFonts w:ascii="Times New Roman" w:eastAsia="宋体" w:hAnsi="Times New Roman"/>
                <w:color w:val="000000"/>
                <w:sz w:val="16"/>
                <w:szCs w:val="16"/>
              </w:rPr>
              <w:t>62,314 </w:t>
            </w:r>
          </w:p>
        </w:tc>
        <w:tc>
          <w:tcPr>
            <w:tcW w:w="0" w:type="auto"/>
            <w:shd w:val="clear" w:color="auto" w:fill="FFFFFF"/>
            <w:tcMar>
              <w:top w:w="40" w:type="dxa"/>
              <w:left w:w="0" w:type="dxa"/>
              <w:bottom w:w="40" w:type="dxa"/>
              <w:right w:w="20" w:type="dxa"/>
            </w:tcMar>
            <w:vAlign w:val="bottom"/>
          </w:tcPr>
          <w:p w14:paraId="442F79F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9F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9F2" w14:textId="77777777" w:rsidR="00CC25B5" w:rsidRDefault="00900968">
            <w:pPr>
              <w:jc w:val="right"/>
              <w:textAlignment w:val="bottom"/>
            </w:pPr>
            <w:r>
              <w:rPr>
                <w:rFonts w:ascii="Times New Roman" w:eastAsia="宋体" w:hAnsi="Times New Roman"/>
                <w:color w:val="000000"/>
                <w:sz w:val="16"/>
                <w:szCs w:val="16"/>
              </w:rPr>
              <w:t>57,148 </w:t>
            </w:r>
          </w:p>
        </w:tc>
        <w:tc>
          <w:tcPr>
            <w:tcW w:w="0" w:type="auto"/>
            <w:shd w:val="clear" w:color="auto" w:fill="FFFFFF"/>
            <w:tcMar>
              <w:top w:w="40" w:type="dxa"/>
              <w:left w:w="0" w:type="dxa"/>
              <w:bottom w:w="40" w:type="dxa"/>
              <w:right w:w="20" w:type="dxa"/>
            </w:tcMar>
            <w:vAlign w:val="bottom"/>
          </w:tcPr>
          <w:p w14:paraId="442F79F3" w14:textId="77777777" w:rsidR="00CC25B5" w:rsidRDefault="00CC25B5">
            <w:pPr>
              <w:jc w:val="right"/>
              <w:rPr>
                <w:rFonts w:ascii="宋体"/>
              </w:rPr>
            </w:pPr>
          </w:p>
        </w:tc>
      </w:tr>
      <w:tr w:rsidR="00CC25B5" w14:paraId="442F7A02" w14:textId="77777777">
        <w:trPr>
          <w:jc w:val="center"/>
        </w:trPr>
        <w:tc>
          <w:tcPr>
            <w:tcW w:w="0" w:type="auto"/>
            <w:gridSpan w:val="3"/>
            <w:shd w:val="clear" w:color="auto" w:fill="CCEEFF"/>
            <w:tcMar>
              <w:top w:w="40" w:type="dxa"/>
              <w:left w:w="380" w:type="dxa"/>
              <w:bottom w:w="40" w:type="dxa"/>
              <w:right w:w="20" w:type="dxa"/>
            </w:tcMar>
            <w:vAlign w:val="bottom"/>
          </w:tcPr>
          <w:p w14:paraId="442F79F5" w14:textId="77777777" w:rsidR="00CC25B5" w:rsidRDefault="00900968">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vAlign w:val="bottom"/>
          </w:tcPr>
          <w:p w14:paraId="442F79F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9F7" w14:textId="77777777" w:rsidR="00CC25B5" w:rsidRDefault="00900968">
            <w:pPr>
              <w:jc w:val="right"/>
              <w:textAlignment w:val="bottom"/>
            </w:pPr>
            <w:r>
              <w:rPr>
                <w:rFonts w:ascii="Times New Roman" w:eastAsia="宋体" w:hAnsi="Times New Roman"/>
                <w:color w:val="000000"/>
                <w:sz w:val="16"/>
                <w:szCs w:val="16"/>
              </w:rPr>
              <w:t>10,480 </w:t>
            </w:r>
          </w:p>
        </w:tc>
        <w:tc>
          <w:tcPr>
            <w:tcW w:w="0" w:type="auto"/>
            <w:shd w:val="clear" w:color="auto" w:fill="CCEEFF"/>
            <w:tcMar>
              <w:top w:w="40" w:type="dxa"/>
              <w:left w:w="0" w:type="dxa"/>
              <w:bottom w:w="40" w:type="dxa"/>
              <w:right w:w="20" w:type="dxa"/>
            </w:tcMar>
            <w:vAlign w:val="bottom"/>
          </w:tcPr>
          <w:p w14:paraId="442F79F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F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9FA" w14:textId="77777777" w:rsidR="00CC25B5" w:rsidRDefault="00900968">
            <w:pPr>
              <w:jc w:val="right"/>
              <w:textAlignment w:val="bottom"/>
            </w:pPr>
            <w:r>
              <w:rPr>
                <w:rFonts w:ascii="Times New Roman" w:eastAsia="宋体" w:hAnsi="Times New Roman"/>
                <w:color w:val="000000"/>
                <w:sz w:val="16"/>
                <w:szCs w:val="16"/>
              </w:rPr>
              <w:t>9,154 </w:t>
            </w:r>
          </w:p>
        </w:tc>
        <w:tc>
          <w:tcPr>
            <w:tcW w:w="0" w:type="auto"/>
            <w:shd w:val="clear" w:color="auto" w:fill="CCEEFF"/>
            <w:tcMar>
              <w:top w:w="40" w:type="dxa"/>
              <w:left w:w="0" w:type="dxa"/>
              <w:bottom w:w="40" w:type="dxa"/>
              <w:right w:w="20" w:type="dxa"/>
            </w:tcMar>
            <w:vAlign w:val="bottom"/>
          </w:tcPr>
          <w:p w14:paraId="442F79F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F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9FD" w14:textId="77777777" w:rsidR="00CC25B5" w:rsidRDefault="00900968">
            <w:pPr>
              <w:jc w:val="right"/>
              <w:textAlignment w:val="bottom"/>
            </w:pPr>
            <w:r>
              <w:rPr>
                <w:rFonts w:ascii="Times New Roman" w:eastAsia="宋体" w:hAnsi="Times New Roman"/>
                <w:color w:val="000000"/>
                <w:sz w:val="16"/>
                <w:szCs w:val="16"/>
              </w:rPr>
              <w:t>20,450 </w:t>
            </w:r>
          </w:p>
        </w:tc>
        <w:tc>
          <w:tcPr>
            <w:tcW w:w="0" w:type="auto"/>
            <w:shd w:val="clear" w:color="auto" w:fill="CCEEFF"/>
            <w:tcMar>
              <w:top w:w="40" w:type="dxa"/>
              <w:left w:w="0" w:type="dxa"/>
              <w:bottom w:w="40" w:type="dxa"/>
              <w:right w:w="20" w:type="dxa"/>
            </w:tcMar>
            <w:vAlign w:val="bottom"/>
          </w:tcPr>
          <w:p w14:paraId="442F79F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9F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00" w14:textId="77777777" w:rsidR="00CC25B5" w:rsidRDefault="00900968">
            <w:pPr>
              <w:jc w:val="right"/>
              <w:textAlignment w:val="bottom"/>
            </w:pPr>
            <w:r>
              <w:rPr>
                <w:rFonts w:ascii="Times New Roman" w:eastAsia="宋体" w:hAnsi="Times New Roman"/>
                <w:color w:val="000000"/>
                <w:sz w:val="16"/>
                <w:szCs w:val="16"/>
              </w:rPr>
              <w:t>18,754 </w:t>
            </w:r>
          </w:p>
        </w:tc>
        <w:tc>
          <w:tcPr>
            <w:tcW w:w="0" w:type="auto"/>
            <w:shd w:val="clear" w:color="auto" w:fill="CCEEFF"/>
            <w:tcMar>
              <w:top w:w="40" w:type="dxa"/>
              <w:left w:w="0" w:type="dxa"/>
              <w:bottom w:w="40" w:type="dxa"/>
              <w:right w:w="20" w:type="dxa"/>
            </w:tcMar>
            <w:vAlign w:val="bottom"/>
          </w:tcPr>
          <w:p w14:paraId="442F7A01" w14:textId="77777777" w:rsidR="00CC25B5" w:rsidRDefault="00CC25B5">
            <w:pPr>
              <w:jc w:val="right"/>
              <w:rPr>
                <w:rFonts w:ascii="宋体"/>
              </w:rPr>
            </w:pPr>
          </w:p>
        </w:tc>
      </w:tr>
      <w:tr w:rsidR="00CC25B5" w14:paraId="442F7A10" w14:textId="77777777">
        <w:trPr>
          <w:jc w:val="center"/>
        </w:trPr>
        <w:tc>
          <w:tcPr>
            <w:tcW w:w="0" w:type="auto"/>
            <w:gridSpan w:val="3"/>
            <w:shd w:val="clear" w:color="auto" w:fill="FFFFFF"/>
            <w:tcMar>
              <w:top w:w="40" w:type="dxa"/>
              <w:left w:w="380" w:type="dxa"/>
              <w:bottom w:w="40" w:type="dxa"/>
              <w:right w:w="20" w:type="dxa"/>
            </w:tcMar>
            <w:vAlign w:val="bottom"/>
          </w:tcPr>
          <w:p w14:paraId="442F7A03" w14:textId="77777777" w:rsidR="00CC25B5" w:rsidRDefault="00900968">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vAlign w:val="bottom"/>
          </w:tcPr>
          <w:p w14:paraId="442F7A0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05" w14:textId="77777777" w:rsidR="00CC25B5" w:rsidRDefault="00900968">
            <w:pPr>
              <w:jc w:val="right"/>
              <w:textAlignment w:val="bottom"/>
            </w:pPr>
            <w:r>
              <w:rPr>
                <w:rFonts w:ascii="Times New Roman" w:eastAsia="宋体" w:hAnsi="Times New Roman"/>
                <w:color w:val="000000"/>
                <w:sz w:val="16"/>
                <w:szCs w:val="16"/>
              </w:rPr>
              <w:t>1,356 </w:t>
            </w:r>
          </w:p>
        </w:tc>
        <w:tc>
          <w:tcPr>
            <w:tcW w:w="0" w:type="auto"/>
            <w:shd w:val="clear" w:color="auto" w:fill="FFFFFF"/>
            <w:tcMar>
              <w:top w:w="40" w:type="dxa"/>
              <w:left w:w="0" w:type="dxa"/>
              <w:bottom w:w="40" w:type="dxa"/>
              <w:right w:w="20" w:type="dxa"/>
            </w:tcMar>
            <w:vAlign w:val="bottom"/>
          </w:tcPr>
          <w:p w14:paraId="442F7A0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0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08" w14:textId="77777777" w:rsidR="00CC25B5" w:rsidRDefault="00900968">
            <w:pPr>
              <w:jc w:val="right"/>
              <w:textAlignment w:val="bottom"/>
            </w:pPr>
            <w:r>
              <w:rPr>
                <w:rFonts w:ascii="Times New Roman" w:eastAsia="宋体" w:hAnsi="Times New Roman"/>
                <w:color w:val="000000"/>
                <w:sz w:val="16"/>
                <w:szCs w:val="16"/>
              </w:rPr>
              <w:t>901 </w:t>
            </w:r>
          </w:p>
        </w:tc>
        <w:tc>
          <w:tcPr>
            <w:tcW w:w="0" w:type="auto"/>
            <w:shd w:val="clear" w:color="auto" w:fill="FFFFFF"/>
            <w:tcMar>
              <w:top w:w="40" w:type="dxa"/>
              <w:left w:w="0" w:type="dxa"/>
              <w:bottom w:w="40" w:type="dxa"/>
              <w:right w:w="20" w:type="dxa"/>
            </w:tcMar>
            <w:vAlign w:val="bottom"/>
          </w:tcPr>
          <w:p w14:paraId="442F7A0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0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0B" w14:textId="77777777" w:rsidR="00CC25B5" w:rsidRDefault="00900968">
            <w:pPr>
              <w:jc w:val="right"/>
              <w:textAlignment w:val="bottom"/>
            </w:pPr>
            <w:r>
              <w:rPr>
                <w:rFonts w:ascii="Times New Roman" w:eastAsia="宋体" w:hAnsi="Times New Roman"/>
                <w:color w:val="000000"/>
                <w:sz w:val="16"/>
                <w:szCs w:val="16"/>
              </w:rPr>
              <w:t>2,555 </w:t>
            </w:r>
          </w:p>
        </w:tc>
        <w:tc>
          <w:tcPr>
            <w:tcW w:w="0" w:type="auto"/>
            <w:shd w:val="clear" w:color="auto" w:fill="FFFFFF"/>
            <w:tcMar>
              <w:top w:w="40" w:type="dxa"/>
              <w:left w:w="0" w:type="dxa"/>
              <w:bottom w:w="40" w:type="dxa"/>
              <w:right w:w="20" w:type="dxa"/>
            </w:tcMar>
            <w:vAlign w:val="bottom"/>
          </w:tcPr>
          <w:p w14:paraId="442F7A0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0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0E" w14:textId="77777777" w:rsidR="00CC25B5" w:rsidRDefault="00900968">
            <w:pPr>
              <w:jc w:val="right"/>
              <w:textAlignment w:val="bottom"/>
            </w:pPr>
            <w:r>
              <w:rPr>
                <w:rFonts w:ascii="Times New Roman" w:eastAsia="宋体" w:hAnsi="Times New Roman"/>
                <w:color w:val="000000"/>
                <w:sz w:val="16"/>
                <w:szCs w:val="16"/>
              </w:rPr>
              <w:t>1,657 </w:t>
            </w:r>
          </w:p>
        </w:tc>
        <w:tc>
          <w:tcPr>
            <w:tcW w:w="0" w:type="auto"/>
            <w:shd w:val="clear" w:color="auto" w:fill="FFFFFF"/>
            <w:tcMar>
              <w:top w:w="40" w:type="dxa"/>
              <w:left w:w="0" w:type="dxa"/>
              <w:bottom w:w="40" w:type="dxa"/>
              <w:right w:w="20" w:type="dxa"/>
            </w:tcMar>
            <w:vAlign w:val="bottom"/>
          </w:tcPr>
          <w:p w14:paraId="442F7A0F" w14:textId="77777777" w:rsidR="00CC25B5" w:rsidRDefault="00CC25B5">
            <w:pPr>
              <w:jc w:val="right"/>
              <w:rPr>
                <w:rFonts w:ascii="宋体"/>
              </w:rPr>
            </w:pPr>
          </w:p>
        </w:tc>
      </w:tr>
      <w:tr w:rsidR="00CC25B5" w14:paraId="442F7A22" w14:textId="77777777">
        <w:trPr>
          <w:jc w:val="center"/>
        </w:trPr>
        <w:tc>
          <w:tcPr>
            <w:tcW w:w="0" w:type="auto"/>
            <w:gridSpan w:val="3"/>
            <w:shd w:val="clear" w:color="auto" w:fill="CCEEFF"/>
            <w:tcMar>
              <w:top w:w="40" w:type="dxa"/>
              <w:left w:w="20" w:type="dxa"/>
              <w:bottom w:w="40" w:type="dxa"/>
              <w:right w:w="20" w:type="dxa"/>
            </w:tcMar>
            <w:vAlign w:val="bottom"/>
          </w:tcPr>
          <w:p w14:paraId="442F7A11" w14:textId="77777777" w:rsidR="00CC25B5" w:rsidRDefault="00900968">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442F7A12"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A13"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A14" w14:textId="77777777" w:rsidR="00CC25B5" w:rsidRDefault="00900968">
            <w:pPr>
              <w:jc w:val="right"/>
              <w:textAlignment w:val="bottom"/>
            </w:pPr>
            <w:r>
              <w:rPr>
                <w:rFonts w:ascii="Times New Roman" w:eastAsia="宋体" w:hAnsi="Times New Roman"/>
                <w:color w:val="000000"/>
                <w:sz w:val="16"/>
                <w:szCs w:val="16"/>
              </w:rPr>
              <w:t>98,192 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A1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16"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A17"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A18" w14:textId="77777777" w:rsidR="00CC25B5" w:rsidRDefault="00900968">
            <w:pPr>
              <w:jc w:val="right"/>
              <w:textAlignment w:val="bottom"/>
            </w:pPr>
            <w:r>
              <w:rPr>
                <w:rFonts w:ascii="Times New Roman" w:eastAsia="宋体" w:hAnsi="Times New Roman"/>
                <w:color w:val="000000"/>
                <w:sz w:val="16"/>
                <w:szCs w:val="16"/>
              </w:rPr>
              <w:t>93,282 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A1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1A"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A1B"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A1C" w14:textId="77777777" w:rsidR="00CC25B5" w:rsidRDefault="00900968">
            <w:pPr>
              <w:jc w:val="right"/>
              <w:textAlignment w:val="bottom"/>
            </w:pPr>
            <w:r>
              <w:rPr>
                <w:rFonts w:ascii="Times New Roman" w:eastAsia="宋体" w:hAnsi="Times New Roman"/>
                <w:color w:val="000000"/>
                <w:sz w:val="16"/>
                <w:szCs w:val="16"/>
              </w:rPr>
              <w:t>191,359 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A1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1E"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F7A1F"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F7A20" w14:textId="77777777" w:rsidR="00CC25B5" w:rsidRDefault="00900968">
            <w:pPr>
              <w:jc w:val="right"/>
              <w:textAlignment w:val="bottom"/>
            </w:pPr>
            <w:r>
              <w:rPr>
                <w:rFonts w:ascii="Times New Roman" w:eastAsia="宋体" w:hAnsi="Times New Roman"/>
                <w:color w:val="000000"/>
                <w:sz w:val="16"/>
                <w:szCs w:val="16"/>
              </w:rPr>
              <w:t>182,025 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F7A21" w14:textId="77777777" w:rsidR="00CC25B5" w:rsidRDefault="00CC25B5">
            <w:pPr>
              <w:jc w:val="right"/>
              <w:rPr>
                <w:rFonts w:ascii="宋体"/>
              </w:rPr>
            </w:pPr>
          </w:p>
        </w:tc>
      </w:tr>
    </w:tbl>
    <w:p w14:paraId="442F7A23" w14:textId="77777777" w:rsidR="00CC25B5" w:rsidRDefault="00900968">
      <w:pPr>
        <w:spacing w:before="80"/>
      </w:pPr>
      <w:r>
        <w:rPr>
          <w:rFonts w:ascii="Times New Roman" w:eastAsia="宋体" w:hAnsi="Times New Roman"/>
          <w:color w:val="000000"/>
          <w:sz w:val="20"/>
          <w:szCs w:val="20"/>
        </w:rPr>
        <w:t xml:space="preserve">Of Walmart U.S.'s total net sales, approximately $11.2 billion and $10.5 billion related to </w:t>
      </w:r>
      <w:r>
        <w:rPr>
          <w:rFonts w:ascii="Times New Roman" w:eastAsia="宋体" w:hAnsi="Times New Roman"/>
          <w:color w:val="000000"/>
          <w:sz w:val="20"/>
          <w:szCs w:val="20"/>
        </w:rPr>
        <w:t>eCommerce for the three months ended July 31, 2021 and 2020, respectively, and approximately $22.5 billion and $18.8 billion related to eCommerce for the six months ended July 31,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108"/>
        <w:gridCol w:w="38"/>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5"/>
        <w:gridCol w:w="36"/>
      </w:tblGrid>
      <w:tr w:rsidR="00CC25B5" w14:paraId="442F7A3F" w14:textId="77777777">
        <w:tc>
          <w:tcPr>
            <w:tcW w:w="50" w:type="pct"/>
            <w:shd w:val="clear" w:color="auto" w:fill="auto"/>
            <w:vAlign w:val="bottom"/>
          </w:tcPr>
          <w:p w14:paraId="442F7A24" w14:textId="77777777" w:rsidR="00CC25B5" w:rsidRDefault="00CC25B5">
            <w:pPr>
              <w:rPr>
                <w:rFonts w:ascii="宋体"/>
              </w:rPr>
            </w:pPr>
          </w:p>
        </w:tc>
        <w:tc>
          <w:tcPr>
            <w:tcW w:w="2488" w:type="pct"/>
            <w:shd w:val="clear" w:color="auto" w:fill="auto"/>
            <w:vAlign w:val="bottom"/>
          </w:tcPr>
          <w:p w14:paraId="442F7A25" w14:textId="77777777" w:rsidR="00CC25B5" w:rsidRDefault="00CC25B5">
            <w:pPr>
              <w:rPr>
                <w:rFonts w:ascii="宋体"/>
              </w:rPr>
            </w:pPr>
          </w:p>
        </w:tc>
        <w:tc>
          <w:tcPr>
            <w:tcW w:w="5" w:type="pct"/>
            <w:shd w:val="clear" w:color="auto" w:fill="auto"/>
            <w:vAlign w:val="bottom"/>
          </w:tcPr>
          <w:p w14:paraId="442F7A26" w14:textId="77777777" w:rsidR="00CC25B5" w:rsidRDefault="00CC25B5">
            <w:pPr>
              <w:rPr>
                <w:rFonts w:ascii="宋体"/>
              </w:rPr>
            </w:pPr>
          </w:p>
        </w:tc>
        <w:tc>
          <w:tcPr>
            <w:tcW w:w="5" w:type="pct"/>
            <w:shd w:val="clear" w:color="auto" w:fill="auto"/>
            <w:vAlign w:val="bottom"/>
          </w:tcPr>
          <w:p w14:paraId="442F7A27" w14:textId="77777777" w:rsidR="00CC25B5" w:rsidRDefault="00CC25B5">
            <w:pPr>
              <w:rPr>
                <w:rFonts w:ascii="宋体"/>
              </w:rPr>
            </w:pPr>
          </w:p>
        </w:tc>
        <w:tc>
          <w:tcPr>
            <w:tcW w:w="26" w:type="pct"/>
            <w:shd w:val="clear" w:color="auto" w:fill="auto"/>
            <w:vAlign w:val="bottom"/>
          </w:tcPr>
          <w:p w14:paraId="442F7A28" w14:textId="77777777" w:rsidR="00CC25B5" w:rsidRDefault="00CC25B5">
            <w:pPr>
              <w:rPr>
                <w:rFonts w:ascii="宋体"/>
              </w:rPr>
            </w:pPr>
          </w:p>
        </w:tc>
        <w:tc>
          <w:tcPr>
            <w:tcW w:w="5" w:type="pct"/>
            <w:shd w:val="clear" w:color="auto" w:fill="auto"/>
            <w:vAlign w:val="bottom"/>
          </w:tcPr>
          <w:p w14:paraId="442F7A29" w14:textId="77777777" w:rsidR="00CC25B5" w:rsidRDefault="00CC25B5">
            <w:pPr>
              <w:rPr>
                <w:rFonts w:ascii="宋体"/>
              </w:rPr>
            </w:pPr>
          </w:p>
        </w:tc>
        <w:tc>
          <w:tcPr>
            <w:tcW w:w="50" w:type="pct"/>
            <w:shd w:val="clear" w:color="auto" w:fill="auto"/>
            <w:vAlign w:val="bottom"/>
          </w:tcPr>
          <w:p w14:paraId="442F7A2A" w14:textId="77777777" w:rsidR="00CC25B5" w:rsidRDefault="00CC25B5">
            <w:pPr>
              <w:rPr>
                <w:rFonts w:ascii="宋体"/>
              </w:rPr>
            </w:pPr>
          </w:p>
        </w:tc>
        <w:tc>
          <w:tcPr>
            <w:tcW w:w="522" w:type="pct"/>
            <w:shd w:val="clear" w:color="auto" w:fill="auto"/>
            <w:vAlign w:val="bottom"/>
          </w:tcPr>
          <w:p w14:paraId="442F7A2B" w14:textId="77777777" w:rsidR="00CC25B5" w:rsidRDefault="00CC25B5">
            <w:pPr>
              <w:rPr>
                <w:rFonts w:ascii="宋体"/>
              </w:rPr>
            </w:pPr>
          </w:p>
        </w:tc>
        <w:tc>
          <w:tcPr>
            <w:tcW w:w="5" w:type="pct"/>
            <w:shd w:val="clear" w:color="auto" w:fill="auto"/>
            <w:vAlign w:val="bottom"/>
          </w:tcPr>
          <w:p w14:paraId="442F7A2C" w14:textId="77777777" w:rsidR="00CC25B5" w:rsidRDefault="00CC25B5">
            <w:pPr>
              <w:rPr>
                <w:rFonts w:ascii="宋体"/>
              </w:rPr>
            </w:pPr>
          </w:p>
        </w:tc>
        <w:tc>
          <w:tcPr>
            <w:tcW w:w="5" w:type="pct"/>
            <w:shd w:val="clear" w:color="auto" w:fill="auto"/>
            <w:vAlign w:val="bottom"/>
          </w:tcPr>
          <w:p w14:paraId="442F7A2D" w14:textId="77777777" w:rsidR="00CC25B5" w:rsidRDefault="00CC25B5">
            <w:pPr>
              <w:rPr>
                <w:rFonts w:ascii="宋体"/>
              </w:rPr>
            </w:pPr>
          </w:p>
        </w:tc>
        <w:tc>
          <w:tcPr>
            <w:tcW w:w="26" w:type="pct"/>
            <w:shd w:val="clear" w:color="auto" w:fill="auto"/>
            <w:vAlign w:val="bottom"/>
          </w:tcPr>
          <w:p w14:paraId="442F7A2E" w14:textId="77777777" w:rsidR="00CC25B5" w:rsidRDefault="00CC25B5">
            <w:pPr>
              <w:rPr>
                <w:rFonts w:ascii="宋体"/>
              </w:rPr>
            </w:pPr>
          </w:p>
        </w:tc>
        <w:tc>
          <w:tcPr>
            <w:tcW w:w="5" w:type="pct"/>
            <w:shd w:val="clear" w:color="auto" w:fill="auto"/>
            <w:vAlign w:val="bottom"/>
          </w:tcPr>
          <w:p w14:paraId="442F7A2F" w14:textId="77777777" w:rsidR="00CC25B5" w:rsidRDefault="00CC25B5">
            <w:pPr>
              <w:rPr>
                <w:rFonts w:ascii="宋体"/>
              </w:rPr>
            </w:pPr>
          </w:p>
        </w:tc>
        <w:tc>
          <w:tcPr>
            <w:tcW w:w="50" w:type="pct"/>
            <w:shd w:val="clear" w:color="auto" w:fill="auto"/>
            <w:vAlign w:val="bottom"/>
          </w:tcPr>
          <w:p w14:paraId="442F7A30" w14:textId="77777777" w:rsidR="00CC25B5" w:rsidRDefault="00CC25B5">
            <w:pPr>
              <w:rPr>
                <w:rFonts w:ascii="宋体"/>
              </w:rPr>
            </w:pPr>
          </w:p>
        </w:tc>
        <w:tc>
          <w:tcPr>
            <w:tcW w:w="522" w:type="pct"/>
            <w:shd w:val="clear" w:color="auto" w:fill="auto"/>
            <w:vAlign w:val="bottom"/>
          </w:tcPr>
          <w:p w14:paraId="442F7A31" w14:textId="77777777" w:rsidR="00CC25B5" w:rsidRDefault="00CC25B5">
            <w:pPr>
              <w:rPr>
                <w:rFonts w:ascii="宋体"/>
              </w:rPr>
            </w:pPr>
          </w:p>
        </w:tc>
        <w:tc>
          <w:tcPr>
            <w:tcW w:w="5" w:type="pct"/>
            <w:shd w:val="clear" w:color="auto" w:fill="auto"/>
            <w:vAlign w:val="bottom"/>
          </w:tcPr>
          <w:p w14:paraId="442F7A32" w14:textId="77777777" w:rsidR="00CC25B5" w:rsidRDefault="00CC25B5">
            <w:pPr>
              <w:rPr>
                <w:rFonts w:ascii="宋体"/>
              </w:rPr>
            </w:pPr>
          </w:p>
        </w:tc>
        <w:tc>
          <w:tcPr>
            <w:tcW w:w="5" w:type="pct"/>
            <w:shd w:val="clear" w:color="auto" w:fill="auto"/>
            <w:vAlign w:val="bottom"/>
          </w:tcPr>
          <w:p w14:paraId="442F7A33" w14:textId="77777777" w:rsidR="00CC25B5" w:rsidRDefault="00CC25B5">
            <w:pPr>
              <w:rPr>
                <w:rFonts w:ascii="宋体"/>
              </w:rPr>
            </w:pPr>
          </w:p>
        </w:tc>
        <w:tc>
          <w:tcPr>
            <w:tcW w:w="26" w:type="pct"/>
            <w:shd w:val="clear" w:color="auto" w:fill="auto"/>
            <w:vAlign w:val="bottom"/>
          </w:tcPr>
          <w:p w14:paraId="442F7A34" w14:textId="77777777" w:rsidR="00CC25B5" w:rsidRDefault="00CC25B5">
            <w:pPr>
              <w:rPr>
                <w:rFonts w:ascii="宋体"/>
              </w:rPr>
            </w:pPr>
          </w:p>
        </w:tc>
        <w:tc>
          <w:tcPr>
            <w:tcW w:w="5" w:type="pct"/>
            <w:shd w:val="clear" w:color="auto" w:fill="auto"/>
            <w:vAlign w:val="bottom"/>
          </w:tcPr>
          <w:p w14:paraId="442F7A35" w14:textId="77777777" w:rsidR="00CC25B5" w:rsidRDefault="00CC25B5">
            <w:pPr>
              <w:rPr>
                <w:rFonts w:ascii="宋体"/>
              </w:rPr>
            </w:pPr>
          </w:p>
        </w:tc>
        <w:tc>
          <w:tcPr>
            <w:tcW w:w="50" w:type="pct"/>
            <w:shd w:val="clear" w:color="auto" w:fill="auto"/>
            <w:vAlign w:val="bottom"/>
          </w:tcPr>
          <w:p w14:paraId="442F7A36" w14:textId="77777777" w:rsidR="00CC25B5" w:rsidRDefault="00CC25B5">
            <w:pPr>
              <w:rPr>
                <w:rFonts w:ascii="宋体"/>
              </w:rPr>
            </w:pPr>
          </w:p>
        </w:tc>
        <w:tc>
          <w:tcPr>
            <w:tcW w:w="522" w:type="pct"/>
            <w:shd w:val="clear" w:color="auto" w:fill="auto"/>
            <w:vAlign w:val="bottom"/>
          </w:tcPr>
          <w:p w14:paraId="442F7A37" w14:textId="77777777" w:rsidR="00CC25B5" w:rsidRDefault="00CC25B5">
            <w:pPr>
              <w:rPr>
                <w:rFonts w:ascii="宋体"/>
              </w:rPr>
            </w:pPr>
          </w:p>
        </w:tc>
        <w:tc>
          <w:tcPr>
            <w:tcW w:w="5" w:type="pct"/>
            <w:shd w:val="clear" w:color="auto" w:fill="auto"/>
            <w:vAlign w:val="bottom"/>
          </w:tcPr>
          <w:p w14:paraId="442F7A38" w14:textId="77777777" w:rsidR="00CC25B5" w:rsidRDefault="00CC25B5">
            <w:pPr>
              <w:rPr>
                <w:rFonts w:ascii="宋体"/>
              </w:rPr>
            </w:pPr>
          </w:p>
        </w:tc>
        <w:tc>
          <w:tcPr>
            <w:tcW w:w="5" w:type="pct"/>
            <w:shd w:val="clear" w:color="auto" w:fill="auto"/>
            <w:vAlign w:val="bottom"/>
          </w:tcPr>
          <w:p w14:paraId="442F7A39" w14:textId="77777777" w:rsidR="00CC25B5" w:rsidRDefault="00CC25B5">
            <w:pPr>
              <w:rPr>
                <w:rFonts w:ascii="宋体"/>
              </w:rPr>
            </w:pPr>
          </w:p>
        </w:tc>
        <w:tc>
          <w:tcPr>
            <w:tcW w:w="26" w:type="pct"/>
            <w:shd w:val="clear" w:color="auto" w:fill="auto"/>
            <w:vAlign w:val="bottom"/>
          </w:tcPr>
          <w:p w14:paraId="442F7A3A" w14:textId="77777777" w:rsidR="00CC25B5" w:rsidRDefault="00CC25B5">
            <w:pPr>
              <w:rPr>
                <w:rFonts w:ascii="宋体"/>
              </w:rPr>
            </w:pPr>
          </w:p>
        </w:tc>
        <w:tc>
          <w:tcPr>
            <w:tcW w:w="5" w:type="pct"/>
            <w:shd w:val="clear" w:color="auto" w:fill="auto"/>
            <w:vAlign w:val="bottom"/>
          </w:tcPr>
          <w:p w14:paraId="442F7A3B" w14:textId="77777777" w:rsidR="00CC25B5" w:rsidRDefault="00CC25B5">
            <w:pPr>
              <w:rPr>
                <w:rFonts w:ascii="宋体"/>
              </w:rPr>
            </w:pPr>
          </w:p>
        </w:tc>
        <w:tc>
          <w:tcPr>
            <w:tcW w:w="50" w:type="pct"/>
            <w:shd w:val="clear" w:color="auto" w:fill="auto"/>
            <w:vAlign w:val="bottom"/>
          </w:tcPr>
          <w:p w14:paraId="442F7A3C" w14:textId="77777777" w:rsidR="00CC25B5" w:rsidRDefault="00CC25B5">
            <w:pPr>
              <w:rPr>
                <w:rFonts w:ascii="宋体"/>
              </w:rPr>
            </w:pPr>
          </w:p>
        </w:tc>
        <w:tc>
          <w:tcPr>
            <w:tcW w:w="522" w:type="pct"/>
            <w:shd w:val="clear" w:color="auto" w:fill="auto"/>
            <w:vAlign w:val="bottom"/>
          </w:tcPr>
          <w:p w14:paraId="442F7A3D" w14:textId="77777777" w:rsidR="00CC25B5" w:rsidRDefault="00CC25B5">
            <w:pPr>
              <w:rPr>
                <w:rFonts w:ascii="宋体"/>
              </w:rPr>
            </w:pPr>
          </w:p>
        </w:tc>
        <w:tc>
          <w:tcPr>
            <w:tcW w:w="5" w:type="pct"/>
            <w:shd w:val="clear" w:color="auto" w:fill="auto"/>
            <w:vAlign w:val="bottom"/>
          </w:tcPr>
          <w:p w14:paraId="442F7A3E" w14:textId="77777777" w:rsidR="00CC25B5" w:rsidRDefault="00CC25B5">
            <w:pPr>
              <w:rPr>
                <w:rFonts w:ascii="宋体"/>
              </w:rPr>
            </w:pPr>
          </w:p>
        </w:tc>
      </w:tr>
      <w:tr w:rsidR="00CC25B5" w14:paraId="442F7A45" w14:textId="77777777">
        <w:tc>
          <w:tcPr>
            <w:tcW w:w="0" w:type="auto"/>
            <w:gridSpan w:val="3"/>
            <w:shd w:val="clear" w:color="auto" w:fill="auto"/>
            <w:tcMar>
              <w:top w:w="40" w:type="dxa"/>
              <w:left w:w="20" w:type="dxa"/>
              <w:bottom w:w="40" w:type="dxa"/>
              <w:right w:w="20" w:type="dxa"/>
            </w:tcMar>
            <w:vAlign w:val="bottom"/>
          </w:tcPr>
          <w:p w14:paraId="442F7A40"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A41"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A42"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A43"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A44"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7A4F" w14:textId="77777777">
        <w:tc>
          <w:tcPr>
            <w:tcW w:w="0" w:type="auto"/>
            <w:gridSpan w:val="3"/>
            <w:shd w:val="clear" w:color="auto" w:fill="auto"/>
            <w:tcMar>
              <w:top w:w="40" w:type="dxa"/>
              <w:left w:w="20" w:type="dxa"/>
              <w:bottom w:w="40" w:type="dxa"/>
              <w:right w:w="20" w:type="dxa"/>
            </w:tcMar>
            <w:vAlign w:val="bottom"/>
          </w:tcPr>
          <w:p w14:paraId="442F7A46" w14:textId="77777777" w:rsidR="00CC25B5" w:rsidRDefault="00900968">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vAlign w:val="bottom"/>
          </w:tcPr>
          <w:p w14:paraId="442F7A4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48"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A4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4A"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A4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4C"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A4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4E"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A61" w14:textId="77777777">
        <w:tc>
          <w:tcPr>
            <w:tcW w:w="0" w:type="auto"/>
            <w:gridSpan w:val="3"/>
            <w:shd w:val="clear" w:color="auto" w:fill="CCEEFF"/>
            <w:tcMar>
              <w:top w:w="40" w:type="dxa"/>
              <w:left w:w="380" w:type="dxa"/>
              <w:bottom w:w="40" w:type="dxa"/>
              <w:right w:w="20" w:type="dxa"/>
            </w:tcMar>
            <w:vAlign w:val="bottom"/>
          </w:tcPr>
          <w:p w14:paraId="442F7A50" w14:textId="77777777" w:rsidR="00CC25B5" w:rsidRDefault="00900968">
            <w:pPr>
              <w:textAlignment w:val="bottom"/>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vAlign w:val="bottom"/>
          </w:tcPr>
          <w:p w14:paraId="442F7A51"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52"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53" w14:textId="77777777" w:rsidR="00CC25B5" w:rsidRDefault="00900968">
            <w:pPr>
              <w:jc w:val="right"/>
              <w:textAlignment w:val="bottom"/>
            </w:pPr>
            <w:r>
              <w:rPr>
                <w:rFonts w:ascii="Times New Roman" w:eastAsia="宋体" w:hAnsi="Times New Roman"/>
                <w:color w:val="000000"/>
                <w:sz w:val="16"/>
                <w:szCs w:val="16"/>
              </w:rPr>
              <w:t>8,658 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5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55"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56"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57" w14:textId="77777777" w:rsidR="00CC25B5" w:rsidRDefault="00900968">
            <w:pPr>
              <w:jc w:val="right"/>
              <w:textAlignment w:val="bottom"/>
            </w:pPr>
            <w:r>
              <w:rPr>
                <w:rFonts w:ascii="Times New Roman" w:eastAsia="宋体" w:hAnsi="Times New Roman"/>
                <w:color w:val="000000"/>
                <w:sz w:val="16"/>
                <w:szCs w:val="16"/>
              </w:rPr>
              <w:t>7,208 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5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59"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5A"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5B" w14:textId="77777777" w:rsidR="00CC25B5" w:rsidRDefault="00900968">
            <w:pPr>
              <w:jc w:val="right"/>
              <w:textAlignment w:val="bottom"/>
            </w:pPr>
            <w:r>
              <w:rPr>
                <w:rFonts w:ascii="Times New Roman" w:eastAsia="宋体" w:hAnsi="Times New Roman"/>
                <w:color w:val="000000"/>
                <w:sz w:val="16"/>
                <w:szCs w:val="16"/>
              </w:rPr>
              <w:t>16,988 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5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5D"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5E"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5F" w14:textId="77777777" w:rsidR="00CC25B5" w:rsidRDefault="00900968">
            <w:pPr>
              <w:jc w:val="right"/>
              <w:textAlignment w:val="bottom"/>
            </w:pPr>
            <w:r>
              <w:rPr>
                <w:rFonts w:ascii="Times New Roman" w:eastAsia="宋体" w:hAnsi="Times New Roman"/>
                <w:color w:val="000000"/>
                <w:sz w:val="16"/>
                <w:szCs w:val="16"/>
              </w:rPr>
              <w:t>15,704 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60" w14:textId="77777777" w:rsidR="00CC25B5" w:rsidRDefault="00CC25B5">
            <w:pPr>
              <w:jc w:val="right"/>
              <w:rPr>
                <w:rFonts w:ascii="宋体"/>
              </w:rPr>
            </w:pPr>
          </w:p>
        </w:tc>
      </w:tr>
      <w:tr w:rsidR="00CC25B5" w14:paraId="442F7A6F" w14:textId="77777777">
        <w:tc>
          <w:tcPr>
            <w:tcW w:w="0" w:type="auto"/>
            <w:gridSpan w:val="3"/>
            <w:shd w:val="clear" w:color="auto" w:fill="FFFFFF"/>
            <w:tcMar>
              <w:top w:w="40" w:type="dxa"/>
              <w:left w:w="380" w:type="dxa"/>
              <w:bottom w:w="40" w:type="dxa"/>
              <w:right w:w="20" w:type="dxa"/>
            </w:tcMar>
            <w:vAlign w:val="bottom"/>
          </w:tcPr>
          <w:p w14:paraId="442F7A62" w14:textId="77777777" w:rsidR="00CC25B5" w:rsidRDefault="00900968">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vAlign w:val="bottom"/>
          </w:tcPr>
          <w:p w14:paraId="442F7A6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64" w14:textId="77777777" w:rsidR="00CC25B5" w:rsidRDefault="00900968">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442F7A6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6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67" w14:textId="77777777" w:rsidR="00CC25B5" w:rsidRDefault="00900968">
            <w:pPr>
              <w:jc w:val="right"/>
              <w:textAlignment w:val="bottom"/>
            </w:pPr>
            <w:r>
              <w:rPr>
                <w:rFonts w:ascii="Times New Roman" w:eastAsia="宋体" w:hAnsi="Times New Roman"/>
                <w:color w:val="000000"/>
                <w:sz w:val="16"/>
                <w:szCs w:val="16"/>
              </w:rPr>
              <w:t>6,698 </w:t>
            </w:r>
          </w:p>
        </w:tc>
        <w:tc>
          <w:tcPr>
            <w:tcW w:w="0" w:type="auto"/>
            <w:shd w:val="clear" w:color="auto" w:fill="FFFFFF"/>
            <w:tcMar>
              <w:top w:w="40" w:type="dxa"/>
              <w:left w:w="0" w:type="dxa"/>
              <w:bottom w:w="40" w:type="dxa"/>
              <w:right w:w="20" w:type="dxa"/>
            </w:tcMar>
            <w:vAlign w:val="bottom"/>
          </w:tcPr>
          <w:p w14:paraId="442F7A6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6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6A" w14:textId="77777777" w:rsidR="00CC25B5" w:rsidRDefault="00900968">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442F7A6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6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6D" w14:textId="77777777" w:rsidR="00CC25B5" w:rsidRDefault="00900968">
            <w:pPr>
              <w:jc w:val="right"/>
              <w:textAlignment w:val="bottom"/>
            </w:pPr>
            <w:r>
              <w:rPr>
                <w:rFonts w:ascii="Times New Roman" w:eastAsia="宋体" w:hAnsi="Times New Roman"/>
                <w:color w:val="000000"/>
                <w:sz w:val="16"/>
                <w:szCs w:val="16"/>
              </w:rPr>
              <w:t>13,830 </w:t>
            </w:r>
          </w:p>
        </w:tc>
        <w:tc>
          <w:tcPr>
            <w:tcW w:w="0" w:type="auto"/>
            <w:shd w:val="clear" w:color="auto" w:fill="FFFFFF"/>
            <w:tcMar>
              <w:top w:w="40" w:type="dxa"/>
              <w:left w:w="0" w:type="dxa"/>
              <w:bottom w:w="40" w:type="dxa"/>
              <w:right w:w="20" w:type="dxa"/>
            </w:tcMar>
            <w:vAlign w:val="bottom"/>
          </w:tcPr>
          <w:p w14:paraId="442F7A6E" w14:textId="77777777" w:rsidR="00CC25B5" w:rsidRDefault="00CC25B5">
            <w:pPr>
              <w:jc w:val="right"/>
              <w:rPr>
                <w:rFonts w:ascii="宋体"/>
              </w:rPr>
            </w:pPr>
          </w:p>
        </w:tc>
      </w:tr>
      <w:tr w:rsidR="00CC25B5" w14:paraId="442F7A7D" w14:textId="77777777">
        <w:tc>
          <w:tcPr>
            <w:tcW w:w="0" w:type="auto"/>
            <w:gridSpan w:val="3"/>
            <w:shd w:val="clear" w:color="auto" w:fill="CCEEFF"/>
            <w:tcMar>
              <w:top w:w="40" w:type="dxa"/>
              <w:left w:w="380" w:type="dxa"/>
              <w:bottom w:w="40" w:type="dxa"/>
              <w:right w:w="20" w:type="dxa"/>
            </w:tcMar>
            <w:vAlign w:val="bottom"/>
          </w:tcPr>
          <w:p w14:paraId="442F7A70" w14:textId="77777777" w:rsidR="00CC25B5" w:rsidRDefault="00900968">
            <w:pPr>
              <w:textAlignment w:val="bottom"/>
            </w:pPr>
            <w:r>
              <w:rPr>
                <w:rFonts w:ascii="Times New Roman" w:eastAsia="宋体" w:hAnsi="Times New Roman"/>
                <w:color w:val="000000"/>
                <w:sz w:val="16"/>
                <w:szCs w:val="16"/>
              </w:rPr>
              <w:t>Canada</w:t>
            </w:r>
          </w:p>
        </w:tc>
        <w:tc>
          <w:tcPr>
            <w:tcW w:w="0" w:type="auto"/>
            <w:gridSpan w:val="3"/>
            <w:shd w:val="clear" w:color="auto" w:fill="CCEEFF"/>
            <w:tcMar>
              <w:top w:w="0" w:type="dxa"/>
              <w:left w:w="20" w:type="dxa"/>
              <w:bottom w:w="0" w:type="dxa"/>
              <w:right w:w="20" w:type="dxa"/>
            </w:tcMar>
            <w:vAlign w:val="bottom"/>
          </w:tcPr>
          <w:p w14:paraId="442F7A7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72" w14:textId="77777777" w:rsidR="00CC25B5" w:rsidRDefault="00900968">
            <w:pPr>
              <w:jc w:val="right"/>
              <w:textAlignment w:val="bottom"/>
            </w:pPr>
            <w:r>
              <w:rPr>
                <w:rFonts w:ascii="Times New Roman" w:eastAsia="宋体" w:hAnsi="Times New Roman"/>
                <w:color w:val="000000"/>
                <w:sz w:val="16"/>
                <w:szCs w:val="16"/>
              </w:rPr>
              <w:t>5,492 </w:t>
            </w:r>
          </w:p>
        </w:tc>
        <w:tc>
          <w:tcPr>
            <w:tcW w:w="0" w:type="auto"/>
            <w:shd w:val="clear" w:color="auto" w:fill="CCEEFF"/>
            <w:tcMar>
              <w:top w:w="40" w:type="dxa"/>
              <w:left w:w="0" w:type="dxa"/>
              <w:bottom w:w="40" w:type="dxa"/>
              <w:right w:w="20" w:type="dxa"/>
            </w:tcMar>
            <w:vAlign w:val="bottom"/>
          </w:tcPr>
          <w:p w14:paraId="442F7A7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7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75" w14:textId="77777777" w:rsidR="00CC25B5" w:rsidRDefault="00900968">
            <w:pPr>
              <w:jc w:val="right"/>
              <w:textAlignment w:val="bottom"/>
            </w:pPr>
            <w:r>
              <w:rPr>
                <w:rFonts w:ascii="Times New Roman" w:eastAsia="宋体" w:hAnsi="Times New Roman"/>
                <w:color w:val="000000"/>
                <w:sz w:val="16"/>
                <w:szCs w:val="16"/>
              </w:rPr>
              <w:t>5,127 </w:t>
            </w:r>
          </w:p>
        </w:tc>
        <w:tc>
          <w:tcPr>
            <w:tcW w:w="0" w:type="auto"/>
            <w:shd w:val="clear" w:color="auto" w:fill="CCEEFF"/>
            <w:tcMar>
              <w:top w:w="40" w:type="dxa"/>
              <w:left w:w="0" w:type="dxa"/>
              <w:bottom w:w="40" w:type="dxa"/>
              <w:right w:w="20" w:type="dxa"/>
            </w:tcMar>
            <w:vAlign w:val="bottom"/>
          </w:tcPr>
          <w:p w14:paraId="442F7A7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7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78" w14:textId="77777777" w:rsidR="00CC25B5" w:rsidRDefault="00900968">
            <w:pPr>
              <w:jc w:val="right"/>
              <w:textAlignment w:val="bottom"/>
            </w:pPr>
            <w:r>
              <w:rPr>
                <w:rFonts w:ascii="Times New Roman" w:eastAsia="宋体" w:hAnsi="Times New Roman"/>
                <w:color w:val="000000"/>
                <w:sz w:val="16"/>
                <w:szCs w:val="16"/>
              </w:rPr>
              <w:t>10,340 </w:t>
            </w:r>
          </w:p>
        </w:tc>
        <w:tc>
          <w:tcPr>
            <w:tcW w:w="0" w:type="auto"/>
            <w:shd w:val="clear" w:color="auto" w:fill="CCEEFF"/>
            <w:tcMar>
              <w:top w:w="40" w:type="dxa"/>
              <w:left w:w="0" w:type="dxa"/>
              <w:bottom w:w="40" w:type="dxa"/>
              <w:right w:w="20" w:type="dxa"/>
            </w:tcMar>
            <w:vAlign w:val="bottom"/>
          </w:tcPr>
          <w:p w14:paraId="442F7A7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7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7B" w14:textId="77777777" w:rsidR="00CC25B5" w:rsidRDefault="00900968">
            <w:pPr>
              <w:jc w:val="right"/>
              <w:textAlignment w:val="bottom"/>
            </w:pPr>
            <w:r>
              <w:rPr>
                <w:rFonts w:ascii="Times New Roman" w:eastAsia="宋体" w:hAnsi="Times New Roman"/>
                <w:color w:val="000000"/>
                <w:sz w:val="16"/>
                <w:szCs w:val="16"/>
              </w:rPr>
              <w:t>9,413 </w:t>
            </w:r>
          </w:p>
        </w:tc>
        <w:tc>
          <w:tcPr>
            <w:tcW w:w="0" w:type="auto"/>
            <w:shd w:val="clear" w:color="auto" w:fill="CCEEFF"/>
            <w:tcMar>
              <w:top w:w="40" w:type="dxa"/>
              <w:left w:w="0" w:type="dxa"/>
              <w:bottom w:w="40" w:type="dxa"/>
              <w:right w:w="20" w:type="dxa"/>
            </w:tcMar>
            <w:vAlign w:val="bottom"/>
          </w:tcPr>
          <w:p w14:paraId="442F7A7C" w14:textId="77777777" w:rsidR="00CC25B5" w:rsidRDefault="00CC25B5">
            <w:pPr>
              <w:jc w:val="right"/>
              <w:rPr>
                <w:rFonts w:ascii="宋体"/>
              </w:rPr>
            </w:pPr>
          </w:p>
        </w:tc>
      </w:tr>
      <w:tr w:rsidR="00CC25B5" w14:paraId="442F7A8B" w14:textId="77777777">
        <w:tc>
          <w:tcPr>
            <w:tcW w:w="0" w:type="auto"/>
            <w:gridSpan w:val="3"/>
            <w:shd w:val="clear" w:color="auto" w:fill="FFFFFF"/>
            <w:tcMar>
              <w:top w:w="40" w:type="dxa"/>
              <w:left w:w="380" w:type="dxa"/>
              <w:bottom w:w="40" w:type="dxa"/>
              <w:right w:w="20" w:type="dxa"/>
            </w:tcMar>
            <w:vAlign w:val="bottom"/>
          </w:tcPr>
          <w:p w14:paraId="442F7A7E" w14:textId="77777777" w:rsidR="00CC25B5" w:rsidRDefault="00900968">
            <w:pPr>
              <w:textAlignment w:val="bottom"/>
            </w:pPr>
            <w:r>
              <w:rPr>
                <w:rFonts w:ascii="Times New Roman" w:eastAsia="宋体" w:hAnsi="Times New Roman"/>
                <w:color w:val="000000"/>
                <w:sz w:val="16"/>
                <w:szCs w:val="16"/>
              </w:rPr>
              <w:t>China</w:t>
            </w:r>
          </w:p>
        </w:tc>
        <w:tc>
          <w:tcPr>
            <w:tcW w:w="0" w:type="auto"/>
            <w:gridSpan w:val="3"/>
            <w:shd w:val="clear" w:color="auto" w:fill="FFFFFF"/>
            <w:tcMar>
              <w:top w:w="0" w:type="dxa"/>
              <w:left w:w="20" w:type="dxa"/>
              <w:bottom w:w="0" w:type="dxa"/>
              <w:right w:w="20" w:type="dxa"/>
            </w:tcMar>
            <w:vAlign w:val="bottom"/>
          </w:tcPr>
          <w:p w14:paraId="442F7A7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80" w14:textId="77777777" w:rsidR="00CC25B5" w:rsidRDefault="00900968">
            <w:pPr>
              <w:jc w:val="right"/>
              <w:textAlignment w:val="bottom"/>
            </w:pPr>
            <w:r>
              <w:rPr>
                <w:rFonts w:ascii="Times New Roman" w:eastAsia="宋体" w:hAnsi="Times New Roman"/>
                <w:color w:val="000000"/>
                <w:sz w:val="16"/>
                <w:szCs w:val="16"/>
              </w:rPr>
              <w:t>3,001 </w:t>
            </w:r>
          </w:p>
        </w:tc>
        <w:tc>
          <w:tcPr>
            <w:tcW w:w="0" w:type="auto"/>
            <w:shd w:val="clear" w:color="auto" w:fill="FFFFFF"/>
            <w:tcMar>
              <w:top w:w="40" w:type="dxa"/>
              <w:left w:w="0" w:type="dxa"/>
              <w:bottom w:w="40" w:type="dxa"/>
              <w:right w:w="20" w:type="dxa"/>
            </w:tcMar>
            <w:vAlign w:val="bottom"/>
          </w:tcPr>
          <w:p w14:paraId="442F7A8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8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83" w14:textId="77777777" w:rsidR="00CC25B5" w:rsidRDefault="00900968">
            <w:pPr>
              <w:jc w:val="right"/>
              <w:textAlignment w:val="bottom"/>
            </w:pPr>
            <w:r>
              <w:rPr>
                <w:rFonts w:ascii="Times New Roman" w:eastAsia="宋体" w:hAnsi="Times New Roman"/>
                <w:color w:val="000000"/>
                <w:sz w:val="16"/>
                <w:szCs w:val="16"/>
              </w:rPr>
              <w:t>2,579 </w:t>
            </w:r>
          </w:p>
        </w:tc>
        <w:tc>
          <w:tcPr>
            <w:tcW w:w="0" w:type="auto"/>
            <w:shd w:val="clear" w:color="auto" w:fill="FFFFFF"/>
            <w:tcMar>
              <w:top w:w="40" w:type="dxa"/>
              <w:left w:w="0" w:type="dxa"/>
              <w:bottom w:w="40" w:type="dxa"/>
              <w:right w:w="20" w:type="dxa"/>
            </w:tcMar>
            <w:vAlign w:val="bottom"/>
          </w:tcPr>
          <w:p w14:paraId="442F7A8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8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86" w14:textId="77777777" w:rsidR="00CC25B5" w:rsidRDefault="00900968">
            <w:pPr>
              <w:jc w:val="right"/>
              <w:textAlignment w:val="bottom"/>
            </w:pPr>
            <w:r>
              <w:rPr>
                <w:rFonts w:ascii="Times New Roman" w:eastAsia="宋体" w:hAnsi="Times New Roman"/>
                <w:color w:val="000000"/>
                <w:sz w:val="16"/>
                <w:szCs w:val="16"/>
              </w:rPr>
              <w:t>6,774 </w:t>
            </w:r>
          </w:p>
        </w:tc>
        <w:tc>
          <w:tcPr>
            <w:tcW w:w="0" w:type="auto"/>
            <w:shd w:val="clear" w:color="auto" w:fill="FFFFFF"/>
            <w:tcMar>
              <w:top w:w="40" w:type="dxa"/>
              <w:left w:w="0" w:type="dxa"/>
              <w:bottom w:w="40" w:type="dxa"/>
              <w:right w:w="20" w:type="dxa"/>
            </w:tcMar>
            <w:vAlign w:val="bottom"/>
          </w:tcPr>
          <w:p w14:paraId="442F7A8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8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bottom"/>
          </w:tcPr>
          <w:p w14:paraId="442F7A89" w14:textId="77777777" w:rsidR="00CC25B5" w:rsidRDefault="00900968">
            <w:pPr>
              <w:jc w:val="right"/>
              <w:textAlignment w:val="bottom"/>
            </w:pPr>
            <w:r>
              <w:rPr>
                <w:rFonts w:ascii="Times New Roman" w:eastAsia="宋体" w:hAnsi="Times New Roman"/>
                <w:color w:val="000000"/>
                <w:sz w:val="16"/>
                <w:szCs w:val="16"/>
              </w:rPr>
              <w:t>5,947 </w:t>
            </w:r>
          </w:p>
        </w:tc>
        <w:tc>
          <w:tcPr>
            <w:tcW w:w="0" w:type="auto"/>
            <w:shd w:val="clear" w:color="auto" w:fill="FFFFFF"/>
            <w:tcMar>
              <w:top w:w="40" w:type="dxa"/>
              <w:left w:w="0" w:type="dxa"/>
              <w:bottom w:w="40" w:type="dxa"/>
              <w:right w:w="20" w:type="dxa"/>
            </w:tcMar>
            <w:vAlign w:val="bottom"/>
          </w:tcPr>
          <w:p w14:paraId="442F7A8A" w14:textId="77777777" w:rsidR="00CC25B5" w:rsidRDefault="00CC25B5">
            <w:pPr>
              <w:jc w:val="right"/>
              <w:rPr>
                <w:rFonts w:ascii="宋体"/>
              </w:rPr>
            </w:pPr>
          </w:p>
        </w:tc>
      </w:tr>
      <w:tr w:rsidR="00CC25B5" w14:paraId="442F7A99" w14:textId="77777777">
        <w:tc>
          <w:tcPr>
            <w:tcW w:w="0" w:type="auto"/>
            <w:gridSpan w:val="3"/>
            <w:shd w:val="clear" w:color="auto" w:fill="CCEEFF"/>
            <w:tcMar>
              <w:top w:w="40" w:type="dxa"/>
              <w:left w:w="380" w:type="dxa"/>
              <w:bottom w:w="40" w:type="dxa"/>
              <w:right w:w="20" w:type="dxa"/>
            </w:tcMar>
            <w:vAlign w:val="bottom"/>
          </w:tcPr>
          <w:p w14:paraId="442F7A8C" w14:textId="77777777" w:rsidR="00CC25B5" w:rsidRDefault="00900968">
            <w:pPr>
              <w:textAlignment w:val="bottom"/>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442F7A8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8E" w14:textId="77777777" w:rsidR="00CC25B5" w:rsidRDefault="00900968">
            <w:pPr>
              <w:jc w:val="right"/>
              <w:textAlignment w:val="bottom"/>
            </w:pPr>
            <w:r>
              <w:rPr>
                <w:rFonts w:ascii="Times New Roman" w:eastAsia="宋体" w:hAnsi="Times New Roman"/>
                <w:color w:val="000000"/>
                <w:sz w:val="16"/>
                <w:szCs w:val="16"/>
              </w:rPr>
              <w:t>5,884 </w:t>
            </w:r>
          </w:p>
        </w:tc>
        <w:tc>
          <w:tcPr>
            <w:tcW w:w="0" w:type="auto"/>
            <w:shd w:val="clear" w:color="auto" w:fill="CCEEFF"/>
            <w:tcMar>
              <w:top w:w="40" w:type="dxa"/>
              <w:left w:w="0" w:type="dxa"/>
              <w:bottom w:w="40" w:type="dxa"/>
              <w:right w:w="20" w:type="dxa"/>
            </w:tcMar>
            <w:vAlign w:val="bottom"/>
          </w:tcPr>
          <w:p w14:paraId="442F7A8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9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91" w14:textId="77777777" w:rsidR="00CC25B5" w:rsidRDefault="00900968">
            <w:pPr>
              <w:jc w:val="right"/>
              <w:textAlignment w:val="bottom"/>
            </w:pPr>
            <w:r>
              <w:rPr>
                <w:rFonts w:ascii="Times New Roman" w:eastAsia="宋体" w:hAnsi="Times New Roman"/>
                <w:color w:val="000000"/>
                <w:sz w:val="16"/>
                <w:szCs w:val="16"/>
              </w:rPr>
              <w:t>5,555 </w:t>
            </w:r>
          </w:p>
        </w:tc>
        <w:tc>
          <w:tcPr>
            <w:tcW w:w="0" w:type="auto"/>
            <w:shd w:val="clear" w:color="auto" w:fill="CCEEFF"/>
            <w:tcMar>
              <w:top w:w="40" w:type="dxa"/>
              <w:left w:w="0" w:type="dxa"/>
              <w:bottom w:w="40" w:type="dxa"/>
              <w:right w:w="20" w:type="dxa"/>
            </w:tcMar>
            <w:vAlign w:val="bottom"/>
          </w:tcPr>
          <w:p w14:paraId="442F7A9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9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94" w14:textId="77777777" w:rsidR="00CC25B5" w:rsidRDefault="00900968">
            <w:pPr>
              <w:jc w:val="right"/>
              <w:textAlignment w:val="bottom"/>
            </w:pPr>
            <w:r>
              <w:rPr>
                <w:rFonts w:ascii="Times New Roman" w:eastAsia="宋体" w:hAnsi="Times New Roman"/>
                <w:color w:val="000000"/>
                <w:sz w:val="16"/>
                <w:szCs w:val="16"/>
              </w:rPr>
              <w:t>12,422 </w:t>
            </w:r>
          </w:p>
        </w:tc>
        <w:tc>
          <w:tcPr>
            <w:tcW w:w="0" w:type="auto"/>
            <w:shd w:val="clear" w:color="auto" w:fill="CCEEFF"/>
            <w:tcMar>
              <w:top w:w="40" w:type="dxa"/>
              <w:left w:w="0" w:type="dxa"/>
              <w:bottom w:w="40" w:type="dxa"/>
              <w:right w:w="20" w:type="dxa"/>
            </w:tcMar>
            <w:vAlign w:val="bottom"/>
          </w:tcPr>
          <w:p w14:paraId="442F7A9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9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bottom"/>
          </w:tcPr>
          <w:p w14:paraId="442F7A97" w14:textId="77777777" w:rsidR="00CC25B5" w:rsidRDefault="00900968">
            <w:pPr>
              <w:jc w:val="right"/>
              <w:textAlignment w:val="bottom"/>
            </w:pPr>
            <w:r>
              <w:rPr>
                <w:rFonts w:ascii="Times New Roman" w:eastAsia="宋体" w:hAnsi="Times New Roman"/>
                <w:color w:val="000000"/>
                <w:sz w:val="16"/>
                <w:szCs w:val="16"/>
              </w:rPr>
              <w:t>12,039 </w:t>
            </w:r>
          </w:p>
        </w:tc>
        <w:tc>
          <w:tcPr>
            <w:tcW w:w="0" w:type="auto"/>
            <w:shd w:val="clear" w:color="auto" w:fill="CCEEFF"/>
            <w:tcMar>
              <w:top w:w="40" w:type="dxa"/>
              <w:left w:w="0" w:type="dxa"/>
              <w:bottom w:w="40" w:type="dxa"/>
              <w:right w:w="20" w:type="dxa"/>
            </w:tcMar>
            <w:vAlign w:val="bottom"/>
          </w:tcPr>
          <w:p w14:paraId="442F7A98" w14:textId="77777777" w:rsidR="00CC25B5" w:rsidRDefault="00CC25B5">
            <w:pPr>
              <w:jc w:val="right"/>
              <w:rPr>
                <w:rFonts w:ascii="宋体"/>
              </w:rPr>
            </w:pPr>
          </w:p>
        </w:tc>
      </w:tr>
      <w:tr w:rsidR="00CC25B5" w14:paraId="442F7AAB" w14:textId="77777777">
        <w:tc>
          <w:tcPr>
            <w:tcW w:w="0" w:type="auto"/>
            <w:gridSpan w:val="3"/>
            <w:shd w:val="clear" w:color="auto" w:fill="FFFFFF"/>
            <w:tcMar>
              <w:top w:w="40" w:type="dxa"/>
              <w:left w:w="20" w:type="dxa"/>
              <w:bottom w:w="40" w:type="dxa"/>
              <w:right w:w="20" w:type="dxa"/>
            </w:tcMar>
            <w:vAlign w:val="bottom"/>
          </w:tcPr>
          <w:p w14:paraId="442F7A9A" w14:textId="77777777" w:rsidR="00CC25B5" w:rsidRDefault="00900968">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442F7A9B"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F7A9C"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F7A9D" w14:textId="77777777" w:rsidR="00CC25B5" w:rsidRDefault="00900968">
            <w:pPr>
              <w:jc w:val="right"/>
              <w:textAlignment w:val="bottom"/>
            </w:pPr>
            <w:r>
              <w:rPr>
                <w:rFonts w:ascii="Times New Roman" w:eastAsia="宋体" w:hAnsi="Times New Roman"/>
                <w:color w:val="000000"/>
                <w:sz w:val="16"/>
                <w:szCs w:val="16"/>
              </w:rPr>
              <w:t>23,035 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F7A9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9F"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F7AA0"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F7AA1" w14:textId="77777777" w:rsidR="00CC25B5" w:rsidRDefault="00900968">
            <w:pPr>
              <w:jc w:val="right"/>
              <w:textAlignment w:val="bottom"/>
            </w:pPr>
            <w:r>
              <w:rPr>
                <w:rFonts w:ascii="Times New Roman" w:eastAsia="宋体" w:hAnsi="Times New Roman"/>
                <w:color w:val="000000"/>
                <w:sz w:val="16"/>
                <w:szCs w:val="16"/>
              </w:rPr>
              <w:t>27,167 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F7AA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A3"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F7AA4"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F7AA5" w14:textId="77777777" w:rsidR="00CC25B5" w:rsidRDefault="00900968">
            <w:pPr>
              <w:jc w:val="right"/>
              <w:textAlignment w:val="bottom"/>
            </w:pPr>
            <w:r>
              <w:rPr>
                <w:rFonts w:ascii="Times New Roman" w:eastAsia="宋体" w:hAnsi="Times New Roman"/>
                <w:color w:val="000000"/>
                <w:sz w:val="16"/>
                <w:szCs w:val="16"/>
              </w:rPr>
              <w:t>50,335 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F7AA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A7"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F7AA8"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F7AA9" w14:textId="77777777" w:rsidR="00CC25B5" w:rsidRDefault="00900968">
            <w:pPr>
              <w:jc w:val="right"/>
              <w:textAlignment w:val="bottom"/>
            </w:pPr>
            <w:r>
              <w:rPr>
                <w:rFonts w:ascii="Times New Roman" w:eastAsia="宋体" w:hAnsi="Times New Roman"/>
                <w:color w:val="000000"/>
                <w:sz w:val="16"/>
                <w:szCs w:val="16"/>
              </w:rPr>
              <w:t>56,933 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F7AAA" w14:textId="77777777" w:rsidR="00CC25B5" w:rsidRDefault="00CC25B5">
            <w:pPr>
              <w:jc w:val="right"/>
              <w:rPr>
                <w:rFonts w:ascii="宋体"/>
              </w:rPr>
            </w:pPr>
          </w:p>
        </w:tc>
      </w:tr>
    </w:tbl>
    <w:p w14:paraId="442F7AAC" w14:textId="77777777" w:rsidR="00CC25B5" w:rsidRDefault="00900968">
      <w:pPr>
        <w:spacing w:before="80"/>
      </w:pPr>
      <w:r>
        <w:rPr>
          <w:rFonts w:ascii="Times New Roman" w:eastAsia="宋体" w:hAnsi="Times New Roman"/>
          <w:color w:val="000000"/>
          <w:sz w:val="20"/>
          <w:szCs w:val="20"/>
        </w:rPr>
        <w:t>Of Walmart International's total net sales, approximately $4.1 billion and $3.3 billion relate</w:t>
      </w:r>
      <w:r>
        <w:rPr>
          <w:rFonts w:ascii="Times New Roman" w:eastAsia="宋体" w:hAnsi="Times New Roman"/>
          <w:color w:val="000000"/>
          <w:sz w:val="20"/>
          <w:szCs w:val="20"/>
        </w:rPr>
        <w:t>d to eCommerce for the three months ended July 31, 2021 and 2020, respectively, and approximately $8.4 billion and $6.2 billion related to eCommerce for the six months ended July 31, 2021 and 2020, respectively.</w:t>
      </w:r>
    </w:p>
    <w:p w14:paraId="442F7AAD" w14:textId="77777777" w:rsidR="00CC25B5" w:rsidRDefault="00900968">
      <w:pPr>
        <w:jc w:val="center"/>
      </w:pPr>
      <w:r>
        <w:rPr>
          <w:rFonts w:ascii="Times New Roman" w:eastAsia="宋体" w:hAnsi="Times New Roman"/>
          <w:color w:val="000000"/>
          <w:sz w:val="20"/>
          <w:szCs w:val="20"/>
        </w:rPr>
        <w:t>13</w:t>
      </w:r>
    </w:p>
    <w:p w14:paraId="442F7AAE" w14:textId="77777777" w:rsidR="00CC25B5" w:rsidRDefault="00900968">
      <w:r>
        <w:pict w14:anchorId="442F85D6">
          <v:rect id="_x0000_i1037" style="width:415.3pt;height:1.5pt" o:hralign="center" o:hrstd="t" o:hr="t" fillcolor="#a0a0a0" stroked="f"/>
        </w:pict>
      </w:r>
    </w:p>
    <w:p w14:paraId="442F7AAF" w14:textId="77777777" w:rsidR="00CC25B5" w:rsidRDefault="00900968">
      <w:hyperlink r:id="rId55" w:anchor="ie1710166881948a18c44f48eaa2dcf00_7"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08"/>
        <w:gridCol w:w="39"/>
        <w:gridCol w:w="36"/>
        <w:gridCol w:w="36"/>
        <w:gridCol w:w="36"/>
        <w:gridCol w:w="100"/>
        <w:gridCol w:w="793"/>
        <w:gridCol w:w="36"/>
        <w:gridCol w:w="36"/>
        <w:gridCol w:w="36"/>
        <w:gridCol w:w="36"/>
        <w:gridCol w:w="100"/>
        <w:gridCol w:w="793"/>
        <w:gridCol w:w="36"/>
        <w:gridCol w:w="36"/>
        <w:gridCol w:w="36"/>
        <w:gridCol w:w="36"/>
        <w:gridCol w:w="100"/>
        <w:gridCol w:w="793"/>
        <w:gridCol w:w="36"/>
        <w:gridCol w:w="36"/>
        <w:gridCol w:w="36"/>
        <w:gridCol w:w="36"/>
        <w:gridCol w:w="100"/>
        <w:gridCol w:w="794"/>
        <w:gridCol w:w="36"/>
      </w:tblGrid>
      <w:tr w:rsidR="00CC25B5" w14:paraId="442F7ACB" w14:textId="77777777">
        <w:trPr>
          <w:jc w:val="center"/>
        </w:trPr>
        <w:tc>
          <w:tcPr>
            <w:tcW w:w="50" w:type="pct"/>
            <w:shd w:val="clear" w:color="auto" w:fill="auto"/>
            <w:vAlign w:val="bottom"/>
          </w:tcPr>
          <w:p w14:paraId="442F7AB0" w14:textId="77777777" w:rsidR="00CC25B5" w:rsidRDefault="00CC25B5">
            <w:pPr>
              <w:rPr>
                <w:rFonts w:ascii="宋体"/>
              </w:rPr>
            </w:pPr>
          </w:p>
        </w:tc>
        <w:tc>
          <w:tcPr>
            <w:tcW w:w="2488" w:type="pct"/>
            <w:shd w:val="clear" w:color="auto" w:fill="auto"/>
            <w:vAlign w:val="bottom"/>
          </w:tcPr>
          <w:p w14:paraId="442F7AB1" w14:textId="77777777" w:rsidR="00CC25B5" w:rsidRDefault="00CC25B5">
            <w:pPr>
              <w:rPr>
                <w:rFonts w:ascii="宋体"/>
              </w:rPr>
            </w:pPr>
          </w:p>
        </w:tc>
        <w:tc>
          <w:tcPr>
            <w:tcW w:w="5" w:type="pct"/>
            <w:shd w:val="clear" w:color="auto" w:fill="auto"/>
            <w:vAlign w:val="bottom"/>
          </w:tcPr>
          <w:p w14:paraId="442F7AB2" w14:textId="77777777" w:rsidR="00CC25B5" w:rsidRDefault="00CC25B5">
            <w:pPr>
              <w:rPr>
                <w:rFonts w:ascii="宋体"/>
              </w:rPr>
            </w:pPr>
          </w:p>
        </w:tc>
        <w:tc>
          <w:tcPr>
            <w:tcW w:w="5" w:type="pct"/>
            <w:shd w:val="clear" w:color="auto" w:fill="auto"/>
            <w:vAlign w:val="bottom"/>
          </w:tcPr>
          <w:p w14:paraId="442F7AB3" w14:textId="77777777" w:rsidR="00CC25B5" w:rsidRDefault="00CC25B5">
            <w:pPr>
              <w:rPr>
                <w:rFonts w:ascii="宋体"/>
              </w:rPr>
            </w:pPr>
          </w:p>
        </w:tc>
        <w:tc>
          <w:tcPr>
            <w:tcW w:w="26" w:type="pct"/>
            <w:shd w:val="clear" w:color="auto" w:fill="auto"/>
            <w:vAlign w:val="bottom"/>
          </w:tcPr>
          <w:p w14:paraId="442F7AB4" w14:textId="77777777" w:rsidR="00CC25B5" w:rsidRDefault="00CC25B5">
            <w:pPr>
              <w:rPr>
                <w:rFonts w:ascii="宋体"/>
              </w:rPr>
            </w:pPr>
          </w:p>
        </w:tc>
        <w:tc>
          <w:tcPr>
            <w:tcW w:w="5" w:type="pct"/>
            <w:shd w:val="clear" w:color="auto" w:fill="auto"/>
            <w:vAlign w:val="bottom"/>
          </w:tcPr>
          <w:p w14:paraId="442F7AB5" w14:textId="77777777" w:rsidR="00CC25B5" w:rsidRDefault="00CC25B5">
            <w:pPr>
              <w:rPr>
                <w:rFonts w:ascii="宋体"/>
              </w:rPr>
            </w:pPr>
          </w:p>
        </w:tc>
        <w:tc>
          <w:tcPr>
            <w:tcW w:w="50" w:type="pct"/>
            <w:shd w:val="clear" w:color="auto" w:fill="auto"/>
            <w:vAlign w:val="bottom"/>
          </w:tcPr>
          <w:p w14:paraId="442F7AB6" w14:textId="77777777" w:rsidR="00CC25B5" w:rsidRDefault="00CC25B5">
            <w:pPr>
              <w:rPr>
                <w:rFonts w:ascii="宋体"/>
              </w:rPr>
            </w:pPr>
          </w:p>
        </w:tc>
        <w:tc>
          <w:tcPr>
            <w:tcW w:w="522" w:type="pct"/>
            <w:shd w:val="clear" w:color="auto" w:fill="auto"/>
            <w:vAlign w:val="bottom"/>
          </w:tcPr>
          <w:p w14:paraId="442F7AB7" w14:textId="77777777" w:rsidR="00CC25B5" w:rsidRDefault="00CC25B5">
            <w:pPr>
              <w:rPr>
                <w:rFonts w:ascii="宋体"/>
              </w:rPr>
            </w:pPr>
          </w:p>
        </w:tc>
        <w:tc>
          <w:tcPr>
            <w:tcW w:w="5" w:type="pct"/>
            <w:shd w:val="clear" w:color="auto" w:fill="auto"/>
            <w:vAlign w:val="bottom"/>
          </w:tcPr>
          <w:p w14:paraId="442F7AB8" w14:textId="77777777" w:rsidR="00CC25B5" w:rsidRDefault="00CC25B5">
            <w:pPr>
              <w:rPr>
                <w:rFonts w:ascii="宋体"/>
              </w:rPr>
            </w:pPr>
          </w:p>
        </w:tc>
        <w:tc>
          <w:tcPr>
            <w:tcW w:w="5" w:type="pct"/>
            <w:shd w:val="clear" w:color="auto" w:fill="auto"/>
            <w:vAlign w:val="bottom"/>
          </w:tcPr>
          <w:p w14:paraId="442F7AB9" w14:textId="77777777" w:rsidR="00CC25B5" w:rsidRDefault="00CC25B5">
            <w:pPr>
              <w:rPr>
                <w:rFonts w:ascii="宋体"/>
              </w:rPr>
            </w:pPr>
          </w:p>
        </w:tc>
        <w:tc>
          <w:tcPr>
            <w:tcW w:w="26" w:type="pct"/>
            <w:shd w:val="clear" w:color="auto" w:fill="auto"/>
            <w:vAlign w:val="bottom"/>
          </w:tcPr>
          <w:p w14:paraId="442F7ABA" w14:textId="77777777" w:rsidR="00CC25B5" w:rsidRDefault="00CC25B5">
            <w:pPr>
              <w:rPr>
                <w:rFonts w:ascii="宋体"/>
              </w:rPr>
            </w:pPr>
          </w:p>
        </w:tc>
        <w:tc>
          <w:tcPr>
            <w:tcW w:w="5" w:type="pct"/>
            <w:shd w:val="clear" w:color="auto" w:fill="auto"/>
            <w:vAlign w:val="bottom"/>
          </w:tcPr>
          <w:p w14:paraId="442F7ABB" w14:textId="77777777" w:rsidR="00CC25B5" w:rsidRDefault="00CC25B5">
            <w:pPr>
              <w:rPr>
                <w:rFonts w:ascii="宋体"/>
              </w:rPr>
            </w:pPr>
          </w:p>
        </w:tc>
        <w:tc>
          <w:tcPr>
            <w:tcW w:w="50" w:type="pct"/>
            <w:shd w:val="clear" w:color="auto" w:fill="auto"/>
            <w:vAlign w:val="bottom"/>
          </w:tcPr>
          <w:p w14:paraId="442F7ABC" w14:textId="77777777" w:rsidR="00CC25B5" w:rsidRDefault="00CC25B5">
            <w:pPr>
              <w:rPr>
                <w:rFonts w:ascii="宋体"/>
              </w:rPr>
            </w:pPr>
          </w:p>
        </w:tc>
        <w:tc>
          <w:tcPr>
            <w:tcW w:w="522" w:type="pct"/>
            <w:shd w:val="clear" w:color="auto" w:fill="auto"/>
            <w:vAlign w:val="bottom"/>
          </w:tcPr>
          <w:p w14:paraId="442F7ABD" w14:textId="77777777" w:rsidR="00CC25B5" w:rsidRDefault="00CC25B5">
            <w:pPr>
              <w:rPr>
                <w:rFonts w:ascii="宋体"/>
              </w:rPr>
            </w:pPr>
          </w:p>
        </w:tc>
        <w:tc>
          <w:tcPr>
            <w:tcW w:w="5" w:type="pct"/>
            <w:shd w:val="clear" w:color="auto" w:fill="auto"/>
            <w:vAlign w:val="bottom"/>
          </w:tcPr>
          <w:p w14:paraId="442F7ABE" w14:textId="77777777" w:rsidR="00CC25B5" w:rsidRDefault="00CC25B5">
            <w:pPr>
              <w:rPr>
                <w:rFonts w:ascii="宋体"/>
              </w:rPr>
            </w:pPr>
          </w:p>
        </w:tc>
        <w:tc>
          <w:tcPr>
            <w:tcW w:w="5" w:type="pct"/>
            <w:shd w:val="clear" w:color="auto" w:fill="auto"/>
            <w:vAlign w:val="bottom"/>
          </w:tcPr>
          <w:p w14:paraId="442F7ABF" w14:textId="77777777" w:rsidR="00CC25B5" w:rsidRDefault="00CC25B5">
            <w:pPr>
              <w:rPr>
                <w:rFonts w:ascii="宋体"/>
              </w:rPr>
            </w:pPr>
          </w:p>
        </w:tc>
        <w:tc>
          <w:tcPr>
            <w:tcW w:w="26" w:type="pct"/>
            <w:shd w:val="clear" w:color="auto" w:fill="auto"/>
            <w:vAlign w:val="bottom"/>
          </w:tcPr>
          <w:p w14:paraId="442F7AC0" w14:textId="77777777" w:rsidR="00CC25B5" w:rsidRDefault="00CC25B5">
            <w:pPr>
              <w:rPr>
                <w:rFonts w:ascii="宋体"/>
              </w:rPr>
            </w:pPr>
          </w:p>
        </w:tc>
        <w:tc>
          <w:tcPr>
            <w:tcW w:w="5" w:type="pct"/>
            <w:shd w:val="clear" w:color="auto" w:fill="auto"/>
            <w:vAlign w:val="bottom"/>
          </w:tcPr>
          <w:p w14:paraId="442F7AC1" w14:textId="77777777" w:rsidR="00CC25B5" w:rsidRDefault="00CC25B5">
            <w:pPr>
              <w:rPr>
                <w:rFonts w:ascii="宋体"/>
              </w:rPr>
            </w:pPr>
          </w:p>
        </w:tc>
        <w:tc>
          <w:tcPr>
            <w:tcW w:w="50" w:type="pct"/>
            <w:shd w:val="clear" w:color="auto" w:fill="auto"/>
            <w:vAlign w:val="bottom"/>
          </w:tcPr>
          <w:p w14:paraId="442F7AC2" w14:textId="77777777" w:rsidR="00CC25B5" w:rsidRDefault="00CC25B5">
            <w:pPr>
              <w:rPr>
                <w:rFonts w:ascii="宋体"/>
              </w:rPr>
            </w:pPr>
          </w:p>
        </w:tc>
        <w:tc>
          <w:tcPr>
            <w:tcW w:w="522" w:type="pct"/>
            <w:shd w:val="clear" w:color="auto" w:fill="auto"/>
            <w:vAlign w:val="bottom"/>
          </w:tcPr>
          <w:p w14:paraId="442F7AC3" w14:textId="77777777" w:rsidR="00CC25B5" w:rsidRDefault="00CC25B5">
            <w:pPr>
              <w:rPr>
                <w:rFonts w:ascii="宋体"/>
              </w:rPr>
            </w:pPr>
          </w:p>
        </w:tc>
        <w:tc>
          <w:tcPr>
            <w:tcW w:w="5" w:type="pct"/>
            <w:shd w:val="clear" w:color="auto" w:fill="auto"/>
            <w:vAlign w:val="bottom"/>
          </w:tcPr>
          <w:p w14:paraId="442F7AC4" w14:textId="77777777" w:rsidR="00CC25B5" w:rsidRDefault="00CC25B5">
            <w:pPr>
              <w:rPr>
                <w:rFonts w:ascii="宋体"/>
              </w:rPr>
            </w:pPr>
          </w:p>
        </w:tc>
        <w:tc>
          <w:tcPr>
            <w:tcW w:w="5" w:type="pct"/>
            <w:shd w:val="clear" w:color="auto" w:fill="auto"/>
            <w:vAlign w:val="bottom"/>
          </w:tcPr>
          <w:p w14:paraId="442F7AC5" w14:textId="77777777" w:rsidR="00CC25B5" w:rsidRDefault="00CC25B5">
            <w:pPr>
              <w:rPr>
                <w:rFonts w:ascii="宋体"/>
              </w:rPr>
            </w:pPr>
          </w:p>
        </w:tc>
        <w:tc>
          <w:tcPr>
            <w:tcW w:w="26" w:type="pct"/>
            <w:shd w:val="clear" w:color="auto" w:fill="auto"/>
            <w:vAlign w:val="bottom"/>
          </w:tcPr>
          <w:p w14:paraId="442F7AC6" w14:textId="77777777" w:rsidR="00CC25B5" w:rsidRDefault="00CC25B5">
            <w:pPr>
              <w:rPr>
                <w:rFonts w:ascii="宋体"/>
              </w:rPr>
            </w:pPr>
          </w:p>
        </w:tc>
        <w:tc>
          <w:tcPr>
            <w:tcW w:w="5" w:type="pct"/>
            <w:shd w:val="clear" w:color="auto" w:fill="auto"/>
            <w:vAlign w:val="bottom"/>
          </w:tcPr>
          <w:p w14:paraId="442F7AC7" w14:textId="77777777" w:rsidR="00CC25B5" w:rsidRDefault="00CC25B5">
            <w:pPr>
              <w:rPr>
                <w:rFonts w:ascii="宋体"/>
              </w:rPr>
            </w:pPr>
          </w:p>
        </w:tc>
        <w:tc>
          <w:tcPr>
            <w:tcW w:w="50" w:type="pct"/>
            <w:shd w:val="clear" w:color="auto" w:fill="auto"/>
            <w:vAlign w:val="bottom"/>
          </w:tcPr>
          <w:p w14:paraId="442F7AC8" w14:textId="77777777" w:rsidR="00CC25B5" w:rsidRDefault="00CC25B5">
            <w:pPr>
              <w:rPr>
                <w:rFonts w:ascii="宋体"/>
              </w:rPr>
            </w:pPr>
          </w:p>
        </w:tc>
        <w:tc>
          <w:tcPr>
            <w:tcW w:w="522" w:type="pct"/>
            <w:shd w:val="clear" w:color="auto" w:fill="auto"/>
            <w:vAlign w:val="bottom"/>
          </w:tcPr>
          <w:p w14:paraId="442F7AC9" w14:textId="77777777" w:rsidR="00CC25B5" w:rsidRDefault="00CC25B5">
            <w:pPr>
              <w:rPr>
                <w:rFonts w:ascii="宋体"/>
              </w:rPr>
            </w:pPr>
          </w:p>
        </w:tc>
        <w:tc>
          <w:tcPr>
            <w:tcW w:w="5" w:type="pct"/>
            <w:shd w:val="clear" w:color="auto" w:fill="auto"/>
            <w:vAlign w:val="bottom"/>
          </w:tcPr>
          <w:p w14:paraId="442F7ACA" w14:textId="77777777" w:rsidR="00CC25B5" w:rsidRDefault="00CC25B5">
            <w:pPr>
              <w:rPr>
                <w:rFonts w:ascii="宋体"/>
              </w:rPr>
            </w:pPr>
          </w:p>
        </w:tc>
      </w:tr>
      <w:tr w:rsidR="00CC25B5" w14:paraId="442F7AD1" w14:textId="77777777">
        <w:trPr>
          <w:jc w:val="center"/>
        </w:trPr>
        <w:tc>
          <w:tcPr>
            <w:tcW w:w="0" w:type="auto"/>
            <w:gridSpan w:val="3"/>
            <w:shd w:val="clear" w:color="auto" w:fill="auto"/>
            <w:tcMar>
              <w:top w:w="40" w:type="dxa"/>
              <w:left w:w="20" w:type="dxa"/>
              <w:bottom w:w="40" w:type="dxa"/>
              <w:right w:w="20" w:type="dxa"/>
            </w:tcMar>
            <w:vAlign w:val="bottom"/>
          </w:tcPr>
          <w:p w14:paraId="442F7ACC"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ACD"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ACE"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ACF"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AD0"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7ADB" w14:textId="77777777">
        <w:trPr>
          <w:jc w:val="center"/>
        </w:trPr>
        <w:tc>
          <w:tcPr>
            <w:tcW w:w="0" w:type="auto"/>
            <w:gridSpan w:val="3"/>
            <w:shd w:val="clear" w:color="auto" w:fill="auto"/>
            <w:tcMar>
              <w:top w:w="40" w:type="dxa"/>
              <w:left w:w="20" w:type="dxa"/>
              <w:bottom w:w="40" w:type="dxa"/>
              <w:right w:w="20" w:type="dxa"/>
            </w:tcMar>
            <w:vAlign w:val="bottom"/>
          </w:tcPr>
          <w:p w14:paraId="442F7AD2" w14:textId="77777777" w:rsidR="00CC25B5" w:rsidRDefault="00900968">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vAlign w:val="bottom"/>
          </w:tcPr>
          <w:p w14:paraId="442F7AD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D4"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AD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D6"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AD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D8"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AD9"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7ADA"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AED" w14:textId="77777777">
        <w:trPr>
          <w:jc w:val="center"/>
        </w:trPr>
        <w:tc>
          <w:tcPr>
            <w:tcW w:w="0" w:type="auto"/>
            <w:gridSpan w:val="3"/>
            <w:shd w:val="clear" w:color="auto" w:fill="CCEEFF"/>
            <w:tcMar>
              <w:top w:w="40" w:type="dxa"/>
              <w:left w:w="380" w:type="dxa"/>
              <w:bottom w:w="40" w:type="dxa"/>
              <w:right w:w="20" w:type="dxa"/>
            </w:tcMar>
            <w:vAlign w:val="center"/>
          </w:tcPr>
          <w:p w14:paraId="442F7ADC" w14:textId="77777777" w:rsidR="00CC25B5" w:rsidRDefault="00900968">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vAlign w:val="bottom"/>
          </w:tcPr>
          <w:p w14:paraId="442F7ADD"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DE"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DF" w14:textId="77777777" w:rsidR="00CC25B5" w:rsidRDefault="00900968">
            <w:pPr>
              <w:jc w:val="right"/>
              <w:textAlignment w:val="bottom"/>
            </w:pPr>
            <w:r>
              <w:rPr>
                <w:rFonts w:ascii="Times New Roman" w:eastAsia="宋体" w:hAnsi="Times New Roman"/>
                <w:color w:val="000000"/>
                <w:sz w:val="16"/>
                <w:szCs w:val="16"/>
              </w:rPr>
              <w:t>12,014 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E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E1"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E2"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E3" w14:textId="77777777" w:rsidR="00CC25B5" w:rsidRDefault="00900968">
            <w:pPr>
              <w:jc w:val="right"/>
              <w:textAlignment w:val="bottom"/>
            </w:pPr>
            <w:r>
              <w:rPr>
                <w:rFonts w:ascii="Times New Roman" w:eastAsia="宋体" w:hAnsi="Times New Roman"/>
                <w:color w:val="000000"/>
                <w:sz w:val="16"/>
                <w:szCs w:val="16"/>
              </w:rPr>
              <w:t>10,715 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E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E5"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E6"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E7" w14:textId="77777777" w:rsidR="00CC25B5" w:rsidRDefault="00900968">
            <w:pPr>
              <w:jc w:val="right"/>
              <w:textAlignment w:val="bottom"/>
            </w:pPr>
            <w:r>
              <w:rPr>
                <w:rFonts w:ascii="Times New Roman" w:eastAsia="宋体" w:hAnsi="Times New Roman"/>
                <w:color w:val="000000"/>
                <w:sz w:val="16"/>
                <w:szCs w:val="16"/>
              </w:rPr>
              <w:t>22,683 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E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AE9"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F7AEA" w14:textId="77777777" w:rsidR="00CC25B5" w:rsidRDefault="00900968">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F7AEB" w14:textId="77777777" w:rsidR="00CC25B5" w:rsidRDefault="00900968">
            <w:pPr>
              <w:jc w:val="right"/>
              <w:textAlignment w:val="bottom"/>
            </w:pPr>
            <w:r>
              <w:rPr>
                <w:rFonts w:ascii="Times New Roman" w:eastAsia="宋体" w:hAnsi="Times New Roman"/>
                <w:color w:val="000000"/>
                <w:sz w:val="16"/>
                <w:szCs w:val="16"/>
              </w:rPr>
              <w:t>21,076 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F7AEC" w14:textId="77777777" w:rsidR="00CC25B5" w:rsidRDefault="00CC25B5">
            <w:pPr>
              <w:jc w:val="right"/>
              <w:rPr>
                <w:rFonts w:ascii="宋体"/>
              </w:rPr>
            </w:pPr>
          </w:p>
        </w:tc>
      </w:tr>
      <w:tr w:rsidR="00CC25B5" w14:paraId="442F7AFB" w14:textId="77777777">
        <w:trPr>
          <w:jc w:val="center"/>
        </w:trPr>
        <w:tc>
          <w:tcPr>
            <w:tcW w:w="0" w:type="auto"/>
            <w:gridSpan w:val="3"/>
            <w:shd w:val="clear" w:color="auto" w:fill="FFFFFF"/>
            <w:tcMar>
              <w:top w:w="40" w:type="dxa"/>
              <w:left w:w="380" w:type="dxa"/>
              <w:bottom w:w="40" w:type="dxa"/>
              <w:right w:w="20" w:type="dxa"/>
            </w:tcMar>
            <w:vAlign w:val="center"/>
          </w:tcPr>
          <w:p w14:paraId="442F7AEE" w14:textId="77777777" w:rsidR="00CC25B5" w:rsidRDefault="00900968">
            <w:pPr>
              <w:textAlignment w:val="center"/>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vAlign w:val="bottom"/>
          </w:tcPr>
          <w:p w14:paraId="442F7AE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AF0" w14:textId="77777777" w:rsidR="00CC25B5" w:rsidRDefault="00900968">
            <w:pPr>
              <w:jc w:val="right"/>
              <w:textAlignment w:val="center"/>
            </w:pPr>
            <w:r>
              <w:rPr>
                <w:rFonts w:ascii="Times New Roman" w:eastAsia="宋体" w:hAnsi="Times New Roman"/>
                <w:color w:val="000000"/>
                <w:sz w:val="16"/>
                <w:szCs w:val="16"/>
              </w:rPr>
              <w:t>2,816 </w:t>
            </w:r>
          </w:p>
        </w:tc>
        <w:tc>
          <w:tcPr>
            <w:tcW w:w="0" w:type="auto"/>
            <w:shd w:val="clear" w:color="auto" w:fill="FFFFFF"/>
            <w:tcMar>
              <w:top w:w="40" w:type="dxa"/>
              <w:left w:w="0" w:type="dxa"/>
              <w:bottom w:w="40" w:type="dxa"/>
              <w:right w:w="20" w:type="dxa"/>
            </w:tcMar>
            <w:vAlign w:val="center"/>
          </w:tcPr>
          <w:p w14:paraId="442F7AF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F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AF3" w14:textId="77777777" w:rsidR="00CC25B5" w:rsidRDefault="00900968">
            <w:pPr>
              <w:jc w:val="right"/>
              <w:textAlignment w:val="center"/>
            </w:pPr>
            <w:r>
              <w:rPr>
                <w:rFonts w:ascii="Times New Roman" w:eastAsia="宋体" w:hAnsi="Times New Roman"/>
                <w:color w:val="000000"/>
                <w:sz w:val="16"/>
                <w:szCs w:val="16"/>
              </w:rPr>
              <w:t>2,068 </w:t>
            </w:r>
          </w:p>
        </w:tc>
        <w:tc>
          <w:tcPr>
            <w:tcW w:w="0" w:type="auto"/>
            <w:shd w:val="clear" w:color="auto" w:fill="FFFFFF"/>
            <w:tcMar>
              <w:top w:w="40" w:type="dxa"/>
              <w:left w:w="0" w:type="dxa"/>
              <w:bottom w:w="40" w:type="dxa"/>
              <w:right w:w="20" w:type="dxa"/>
            </w:tcMar>
            <w:vAlign w:val="center"/>
          </w:tcPr>
          <w:p w14:paraId="442F7AF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F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AF6" w14:textId="77777777" w:rsidR="00CC25B5" w:rsidRDefault="00900968">
            <w:pPr>
              <w:jc w:val="right"/>
              <w:textAlignment w:val="center"/>
            </w:pPr>
            <w:r>
              <w:rPr>
                <w:rFonts w:ascii="Times New Roman" w:eastAsia="宋体" w:hAnsi="Times New Roman"/>
                <w:color w:val="000000"/>
                <w:sz w:val="16"/>
                <w:szCs w:val="16"/>
              </w:rPr>
              <w:t>5,115 </w:t>
            </w:r>
          </w:p>
        </w:tc>
        <w:tc>
          <w:tcPr>
            <w:tcW w:w="0" w:type="auto"/>
            <w:shd w:val="clear" w:color="auto" w:fill="FFFFFF"/>
            <w:tcMar>
              <w:top w:w="40" w:type="dxa"/>
              <w:left w:w="0" w:type="dxa"/>
              <w:bottom w:w="40" w:type="dxa"/>
              <w:right w:w="20" w:type="dxa"/>
            </w:tcMar>
            <w:vAlign w:val="center"/>
          </w:tcPr>
          <w:p w14:paraId="442F7AF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AF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AF9" w14:textId="77777777" w:rsidR="00CC25B5" w:rsidRDefault="00900968">
            <w:pPr>
              <w:jc w:val="right"/>
              <w:textAlignment w:val="center"/>
            </w:pPr>
            <w:r>
              <w:rPr>
                <w:rFonts w:ascii="Times New Roman" w:eastAsia="宋体" w:hAnsi="Times New Roman"/>
                <w:color w:val="000000"/>
                <w:sz w:val="16"/>
                <w:szCs w:val="16"/>
              </w:rPr>
              <w:t>4,081 </w:t>
            </w:r>
          </w:p>
        </w:tc>
        <w:tc>
          <w:tcPr>
            <w:tcW w:w="0" w:type="auto"/>
            <w:shd w:val="clear" w:color="auto" w:fill="FFFFFF"/>
            <w:tcMar>
              <w:top w:w="40" w:type="dxa"/>
              <w:left w:w="0" w:type="dxa"/>
              <w:bottom w:w="40" w:type="dxa"/>
              <w:right w:w="20" w:type="dxa"/>
            </w:tcMar>
            <w:vAlign w:val="center"/>
          </w:tcPr>
          <w:p w14:paraId="442F7AFA" w14:textId="77777777" w:rsidR="00CC25B5" w:rsidRDefault="00CC25B5">
            <w:pPr>
              <w:jc w:val="right"/>
              <w:rPr>
                <w:rFonts w:ascii="宋体"/>
              </w:rPr>
            </w:pPr>
          </w:p>
        </w:tc>
      </w:tr>
      <w:tr w:rsidR="00CC25B5" w14:paraId="442F7B09" w14:textId="77777777">
        <w:trPr>
          <w:jc w:val="center"/>
        </w:trPr>
        <w:tc>
          <w:tcPr>
            <w:tcW w:w="0" w:type="auto"/>
            <w:gridSpan w:val="3"/>
            <w:shd w:val="clear" w:color="auto" w:fill="CCEEFF"/>
            <w:tcMar>
              <w:top w:w="40" w:type="dxa"/>
              <w:left w:w="380" w:type="dxa"/>
              <w:bottom w:w="40" w:type="dxa"/>
              <w:right w:w="20" w:type="dxa"/>
            </w:tcMar>
            <w:vAlign w:val="center"/>
          </w:tcPr>
          <w:p w14:paraId="442F7AFC" w14:textId="77777777" w:rsidR="00CC25B5" w:rsidRDefault="00900968">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vAlign w:val="bottom"/>
          </w:tcPr>
          <w:p w14:paraId="442F7AF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AFE" w14:textId="77777777" w:rsidR="00CC25B5" w:rsidRDefault="00900968">
            <w:pPr>
              <w:jc w:val="right"/>
              <w:textAlignment w:val="center"/>
            </w:pPr>
            <w:r>
              <w:rPr>
                <w:rFonts w:ascii="Times New Roman" w:eastAsia="宋体" w:hAnsi="Times New Roman"/>
                <w:color w:val="000000"/>
                <w:sz w:val="16"/>
                <w:szCs w:val="16"/>
              </w:rPr>
              <w:t>2,194 </w:t>
            </w:r>
          </w:p>
        </w:tc>
        <w:tc>
          <w:tcPr>
            <w:tcW w:w="0" w:type="auto"/>
            <w:shd w:val="clear" w:color="auto" w:fill="CCEEFF"/>
            <w:tcMar>
              <w:top w:w="40" w:type="dxa"/>
              <w:left w:w="0" w:type="dxa"/>
              <w:bottom w:w="40" w:type="dxa"/>
              <w:right w:w="20" w:type="dxa"/>
            </w:tcMar>
            <w:vAlign w:val="center"/>
          </w:tcPr>
          <w:p w14:paraId="442F7AF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B0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01" w14:textId="77777777" w:rsidR="00CC25B5" w:rsidRDefault="00900968">
            <w:pPr>
              <w:jc w:val="right"/>
              <w:textAlignment w:val="center"/>
            </w:pPr>
            <w:r>
              <w:rPr>
                <w:rFonts w:ascii="Times New Roman" w:eastAsia="宋体" w:hAnsi="Times New Roman"/>
                <w:color w:val="000000"/>
                <w:sz w:val="16"/>
                <w:szCs w:val="16"/>
              </w:rPr>
              <w:t>1,953 </w:t>
            </w:r>
          </w:p>
        </w:tc>
        <w:tc>
          <w:tcPr>
            <w:tcW w:w="0" w:type="auto"/>
            <w:shd w:val="clear" w:color="auto" w:fill="CCEEFF"/>
            <w:tcMar>
              <w:top w:w="40" w:type="dxa"/>
              <w:left w:w="0" w:type="dxa"/>
              <w:bottom w:w="40" w:type="dxa"/>
              <w:right w:w="20" w:type="dxa"/>
            </w:tcMar>
            <w:vAlign w:val="center"/>
          </w:tcPr>
          <w:p w14:paraId="442F7B0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B0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04" w14:textId="77777777" w:rsidR="00CC25B5" w:rsidRDefault="00900968">
            <w:pPr>
              <w:jc w:val="right"/>
              <w:textAlignment w:val="center"/>
            </w:pPr>
            <w:r>
              <w:rPr>
                <w:rFonts w:ascii="Times New Roman" w:eastAsia="宋体" w:hAnsi="Times New Roman"/>
                <w:color w:val="000000"/>
                <w:sz w:val="16"/>
                <w:szCs w:val="16"/>
              </w:rPr>
              <w:t>4,276 </w:t>
            </w:r>
          </w:p>
        </w:tc>
        <w:tc>
          <w:tcPr>
            <w:tcW w:w="0" w:type="auto"/>
            <w:shd w:val="clear" w:color="auto" w:fill="CCEEFF"/>
            <w:tcMar>
              <w:top w:w="40" w:type="dxa"/>
              <w:left w:w="0" w:type="dxa"/>
              <w:bottom w:w="40" w:type="dxa"/>
              <w:right w:w="20" w:type="dxa"/>
            </w:tcMar>
            <w:vAlign w:val="center"/>
          </w:tcPr>
          <w:p w14:paraId="442F7B0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B0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07" w14:textId="77777777" w:rsidR="00CC25B5" w:rsidRDefault="00900968">
            <w:pPr>
              <w:jc w:val="right"/>
              <w:textAlignment w:val="center"/>
            </w:pPr>
            <w:r>
              <w:rPr>
                <w:rFonts w:ascii="Times New Roman" w:eastAsia="宋体" w:hAnsi="Times New Roman"/>
                <w:color w:val="000000"/>
                <w:sz w:val="16"/>
                <w:szCs w:val="16"/>
              </w:rPr>
              <w:t>3,233 </w:t>
            </w:r>
          </w:p>
        </w:tc>
        <w:tc>
          <w:tcPr>
            <w:tcW w:w="0" w:type="auto"/>
            <w:shd w:val="clear" w:color="auto" w:fill="CCEEFF"/>
            <w:tcMar>
              <w:top w:w="40" w:type="dxa"/>
              <w:left w:w="0" w:type="dxa"/>
              <w:bottom w:w="40" w:type="dxa"/>
              <w:right w:w="20" w:type="dxa"/>
            </w:tcMar>
            <w:vAlign w:val="center"/>
          </w:tcPr>
          <w:p w14:paraId="442F7B08" w14:textId="77777777" w:rsidR="00CC25B5" w:rsidRDefault="00CC25B5">
            <w:pPr>
              <w:jc w:val="right"/>
              <w:rPr>
                <w:rFonts w:ascii="宋体"/>
              </w:rPr>
            </w:pPr>
          </w:p>
        </w:tc>
      </w:tr>
      <w:tr w:rsidR="00CC25B5" w14:paraId="442F7B17" w14:textId="77777777">
        <w:trPr>
          <w:jc w:val="center"/>
        </w:trPr>
        <w:tc>
          <w:tcPr>
            <w:tcW w:w="0" w:type="auto"/>
            <w:gridSpan w:val="3"/>
            <w:shd w:val="clear" w:color="auto" w:fill="FFFFFF"/>
            <w:tcMar>
              <w:top w:w="40" w:type="dxa"/>
              <w:left w:w="380" w:type="dxa"/>
              <w:bottom w:w="40" w:type="dxa"/>
              <w:right w:w="20" w:type="dxa"/>
            </w:tcMar>
            <w:vAlign w:val="center"/>
          </w:tcPr>
          <w:p w14:paraId="442F7B0A" w14:textId="77777777" w:rsidR="00CC25B5" w:rsidRDefault="00900968">
            <w:pPr>
              <w:textAlignment w:val="center"/>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vAlign w:val="bottom"/>
          </w:tcPr>
          <w:p w14:paraId="442F7B0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0C" w14:textId="77777777" w:rsidR="00CC25B5" w:rsidRDefault="00900968">
            <w:pPr>
              <w:jc w:val="right"/>
              <w:textAlignment w:val="center"/>
            </w:pPr>
            <w:r>
              <w:rPr>
                <w:rFonts w:ascii="Times New Roman" w:eastAsia="宋体" w:hAnsi="Times New Roman"/>
                <w:color w:val="000000"/>
                <w:sz w:val="16"/>
                <w:szCs w:val="16"/>
              </w:rPr>
              <w:t>956 </w:t>
            </w:r>
          </w:p>
        </w:tc>
        <w:tc>
          <w:tcPr>
            <w:tcW w:w="0" w:type="auto"/>
            <w:shd w:val="clear" w:color="auto" w:fill="FFFFFF"/>
            <w:tcMar>
              <w:top w:w="40" w:type="dxa"/>
              <w:left w:w="0" w:type="dxa"/>
              <w:bottom w:w="40" w:type="dxa"/>
              <w:right w:w="20" w:type="dxa"/>
            </w:tcMar>
            <w:vAlign w:val="center"/>
          </w:tcPr>
          <w:p w14:paraId="442F7B0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B0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0F" w14:textId="77777777" w:rsidR="00CC25B5" w:rsidRDefault="00900968">
            <w:pPr>
              <w:jc w:val="right"/>
              <w:textAlignment w:val="center"/>
            </w:pPr>
            <w:r>
              <w:rPr>
                <w:rFonts w:ascii="Times New Roman" w:eastAsia="宋体" w:hAnsi="Times New Roman"/>
                <w:color w:val="000000"/>
                <w:sz w:val="16"/>
                <w:szCs w:val="16"/>
              </w:rPr>
              <w:t>931 </w:t>
            </w:r>
          </w:p>
        </w:tc>
        <w:tc>
          <w:tcPr>
            <w:tcW w:w="0" w:type="auto"/>
            <w:shd w:val="clear" w:color="auto" w:fill="FFFFFF"/>
            <w:tcMar>
              <w:top w:w="40" w:type="dxa"/>
              <w:left w:w="0" w:type="dxa"/>
              <w:bottom w:w="40" w:type="dxa"/>
              <w:right w:w="20" w:type="dxa"/>
            </w:tcMar>
            <w:vAlign w:val="center"/>
          </w:tcPr>
          <w:p w14:paraId="442F7B1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B1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12" w14:textId="77777777" w:rsidR="00CC25B5" w:rsidRDefault="00900968">
            <w:pPr>
              <w:jc w:val="right"/>
              <w:textAlignment w:val="center"/>
            </w:pPr>
            <w:r>
              <w:rPr>
                <w:rFonts w:ascii="Times New Roman" w:eastAsia="宋体" w:hAnsi="Times New Roman"/>
                <w:color w:val="000000"/>
                <w:sz w:val="16"/>
                <w:szCs w:val="16"/>
              </w:rPr>
              <w:t>1,897 </w:t>
            </w:r>
          </w:p>
        </w:tc>
        <w:tc>
          <w:tcPr>
            <w:tcW w:w="0" w:type="auto"/>
            <w:shd w:val="clear" w:color="auto" w:fill="FFFFFF"/>
            <w:tcMar>
              <w:top w:w="40" w:type="dxa"/>
              <w:left w:w="0" w:type="dxa"/>
              <w:bottom w:w="40" w:type="dxa"/>
              <w:right w:w="20" w:type="dxa"/>
            </w:tcMar>
            <w:vAlign w:val="center"/>
          </w:tcPr>
          <w:p w14:paraId="442F7B13"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B1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15" w14:textId="77777777" w:rsidR="00CC25B5" w:rsidRDefault="00900968">
            <w:pPr>
              <w:jc w:val="right"/>
              <w:textAlignment w:val="center"/>
            </w:pPr>
            <w:r>
              <w:rPr>
                <w:rFonts w:ascii="Times New Roman" w:eastAsia="宋体" w:hAnsi="Times New Roman"/>
                <w:color w:val="000000"/>
                <w:sz w:val="16"/>
                <w:szCs w:val="16"/>
              </w:rPr>
              <w:t>1,832 </w:t>
            </w:r>
          </w:p>
        </w:tc>
        <w:tc>
          <w:tcPr>
            <w:tcW w:w="0" w:type="auto"/>
            <w:shd w:val="clear" w:color="auto" w:fill="FFFFFF"/>
            <w:tcMar>
              <w:top w:w="40" w:type="dxa"/>
              <w:left w:w="0" w:type="dxa"/>
              <w:bottom w:w="40" w:type="dxa"/>
              <w:right w:w="20" w:type="dxa"/>
            </w:tcMar>
            <w:vAlign w:val="center"/>
          </w:tcPr>
          <w:p w14:paraId="442F7B16" w14:textId="77777777" w:rsidR="00CC25B5" w:rsidRDefault="00CC25B5">
            <w:pPr>
              <w:jc w:val="right"/>
              <w:rPr>
                <w:rFonts w:ascii="宋体"/>
              </w:rPr>
            </w:pPr>
          </w:p>
        </w:tc>
      </w:tr>
      <w:tr w:rsidR="00CC25B5" w14:paraId="442F7B25" w14:textId="77777777">
        <w:trPr>
          <w:jc w:val="center"/>
        </w:trPr>
        <w:tc>
          <w:tcPr>
            <w:tcW w:w="0" w:type="auto"/>
            <w:gridSpan w:val="3"/>
            <w:shd w:val="clear" w:color="auto" w:fill="CCEEFF"/>
            <w:tcMar>
              <w:top w:w="40" w:type="dxa"/>
              <w:left w:w="380" w:type="dxa"/>
              <w:bottom w:w="40" w:type="dxa"/>
              <w:right w:w="20" w:type="dxa"/>
            </w:tcMar>
            <w:vAlign w:val="center"/>
          </w:tcPr>
          <w:p w14:paraId="442F7B18" w14:textId="77777777" w:rsidR="00CC25B5" w:rsidRDefault="00900968">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vAlign w:val="bottom"/>
          </w:tcPr>
          <w:p w14:paraId="442F7B1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1A" w14:textId="77777777" w:rsidR="00CC25B5" w:rsidRDefault="00900968">
            <w:pPr>
              <w:jc w:val="right"/>
              <w:textAlignment w:val="center"/>
            </w:pPr>
            <w:r>
              <w:rPr>
                <w:rFonts w:ascii="Times New Roman" w:eastAsia="宋体" w:hAnsi="Times New Roman"/>
                <w:color w:val="000000"/>
                <w:sz w:val="16"/>
                <w:szCs w:val="16"/>
              </w:rPr>
              <w:t>664 </w:t>
            </w:r>
          </w:p>
        </w:tc>
        <w:tc>
          <w:tcPr>
            <w:tcW w:w="0" w:type="auto"/>
            <w:shd w:val="clear" w:color="auto" w:fill="CCEEFF"/>
            <w:tcMar>
              <w:top w:w="40" w:type="dxa"/>
              <w:left w:w="0" w:type="dxa"/>
              <w:bottom w:w="40" w:type="dxa"/>
              <w:right w:w="20" w:type="dxa"/>
            </w:tcMar>
            <w:vAlign w:val="center"/>
          </w:tcPr>
          <w:p w14:paraId="442F7B1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B1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1D" w14:textId="77777777" w:rsidR="00CC25B5" w:rsidRDefault="00900968">
            <w:pPr>
              <w:jc w:val="right"/>
              <w:textAlignment w:val="center"/>
            </w:pPr>
            <w:r>
              <w:rPr>
                <w:rFonts w:ascii="Times New Roman" w:eastAsia="宋体" w:hAnsi="Times New Roman"/>
                <w:color w:val="000000"/>
                <w:sz w:val="16"/>
                <w:szCs w:val="16"/>
              </w:rPr>
              <w:t>708 </w:t>
            </w:r>
          </w:p>
        </w:tc>
        <w:tc>
          <w:tcPr>
            <w:tcW w:w="0" w:type="auto"/>
            <w:shd w:val="clear" w:color="auto" w:fill="CCEEFF"/>
            <w:tcMar>
              <w:top w:w="40" w:type="dxa"/>
              <w:left w:w="0" w:type="dxa"/>
              <w:bottom w:w="40" w:type="dxa"/>
              <w:right w:w="20" w:type="dxa"/>
            </w:tcMar>
            <w:vAlign w:val="center"/>
          </w:tcPr>
          <w:p w14:paraId="442F7B1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B1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20" w14:textId="77777777" w:rsidR="00CC25B5" w:rsidRDefault="00900968">
            <w:pPr>
              <w:jc w:val="right"/>
              <w:textAlignment w:val="center"/>
            </w:pPr>
            <w:r>
              <w:rPr>
                <w:rFonts w:ascii="Times New Roman" w:eastAsia="宋体" w:hAnsi="Times New Roman"/>
                <w:color w:val="000000"/>
                <w:sz w:val="16"/>
                <w:szCs w:val="16"/>
              </w:rPr>
              <w:t>1,365 </w:t>
            </w:r>
          </w:p>
        </w:tc>
        <w:tc>
          <w:tcPr>
            <w:tcW w:w="0" w:type="auto"/>
            <w:shd w:val="clear" w:color="auto" w:fill="CCEEFF"/>
            <w:tcMar>
              <w:top w:w="40" w:type="dxa"/>
              <w:left w:w="0" w:type="dxa"/>
              <w:bottom w:w="40" w:type="dxa"/>
              <w:right w:w="20" w:type="dxa"/>
            </w:tcMar>
            <w:vAlign w:val="center"/>
          </w:tcPr>
          <w:p w14:paraId="442F7B2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B22"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B23" w14:textId="77777777" w:rsidR="00CC25B5" w:rsidRDefault="00900968">
            <w:pPr>
              <w:jc w:val="right"/>
              <w:textAlignment w:val="center"/>
            </w:pPr>
            <w:r>
              <w:rPr>
                <w:rFonts w:ascii="Times New Roman" w:eastAsia="宋体" w:hAnsi="Times New Roman"/>
                <w:color w:val="000000"/>
                <w:sz w:val="16"/>
                <w:szCs w:val="16"/>
              </w:rPr>
              <w:t>1,316 </w:t>
            </w:r>
          </w:p>
        </w:tc>
        <w:tc>
          <w:tcPr>
            <w:tcW w:w="0" w:type="auto"/>
            <w:shd w:val="clear" w:color="auto" w:fill="CCEEFF"/>
            <w:tcMar>
              <w:top w:w="40" w:type="dxa"/>
              <w:left w:w="0" w:type="dxa"/>
              <w:bottom w:w="40" w:type="dxa"/>
              <w:right w:w="20" w:type="dxa"/>
            </w:tcMar>
            <w:vAlign w:val="center"/>
          </w:tcPr>
          <w:p w14:paraId="442F7B24" w14:textId="77777777" w:rsidR="00CC25B5" w:rsidRDefault="00CC25B5">
            <w:pPr>
              <w:jc w:val="right"/>
              <w:rPr>
                <w:rFonts w:ascii="宋体"/>
              </w:rPr>
            </w:pPr>
          </w:p>
        </w:tc>
      </w:tr>
      <w:tr w:rsidR="00CC25B5" w14:paraId="442F7B37" w14:textId="77777777">
        <w:trPr>
          <w:jc w:val="center"/>
        </w:trPr>
        <w:tc>
          <w:tcPr>
            <w:tcW w:w="0" w:type="auto"/>
            <w:gridSpan w:val="3"/>
            <w:shd w:val="clear" w:color="auto" w:fill="FFFFFF"/>
            <w:tcMar>
              <w:top w:w="40" w:type="dxa"/>
              <w:left w:w="20" w:type="dxa"/>
              <w:bottom w:w="40" w:type="dxa"/>
              <w:right w:w="20" w:type="dxa"/>
            </w:tcMar>
            <w:vAlign w:val="center"/>
          </w:tcPr>
          <w:p w14:paraId="442F7B26" w14:textId="77777777" w:rsidR="00CC25B5" w:rsidRDefault="00900968">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442F7B27"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B2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B29" w14:textId="77777777" w:rsidR="00CC25B5" w:rsidRDefault="00900968">
            <w:pPr>
              <w:jc w:val="right"/>
              <w:textAlignment w:val="center"/>
            </w:pPr>
            <w:r>
              <w:rPr>
                <w:rFonts w:ascii="Times New Roman" w:eastAsia="宋体" w:hAnsi="Times New Roman"/>
                <w:color w:val="000000"/>
                <w:sz w:val="16"/>
                <w:szCs w:val="16"/>
              </w:rPr>
              <w:t>18,644 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B2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B2B"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B2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B2D" w14:textId="77777777" w:rsidR="00CC25B5" w:rsidRDefault="00900968">
            <w:pPr>
              <w:jc w:val="right"/>
              <w:textAlignment w:val="center"/>
            </w:pPr>
            <w:r>
              <w:rPr>
                <w:rFonts w:ascii="Times New Roman" w:eastAsia="宋体" w:hAnsi="Times New Roman"/>
                <w:color w:val="000000"/>
                <w:sz w:val="16"/>
                <w:szCs w:val="16"/>
              </w:rPr>
              <w:t>16,375 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B2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B2F"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B3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B31" w14:textId="77777777" w:rsidR="00CC25B5" w:rsidRDefault="00900968">
            <w:pPr>
              <w:jc w:val="right"/>
              <w:textAlignment w:val="center"/>
            </w:pPr>
            <w:r>
              <w:rPr>
                <w:rFonts w:ascii="Times New Roman" w:eastAsia="宋体" w:hAnsi="Times New Roman"/>
                <w:color w:val="000000"/>
                <w:sz w:val="16"/>
                <w:szCs w:val="16"/>
              </w:rPr>
              <w:t>35,336 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B3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B33"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B3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B35" w14:textId="77777777" w:rsidR="00CC25B5" w:rsidRDefault="00900968">
            <w:pPr>
              <w:jc w:val="right"/>
              <w:textAlignment w:val="center"/>
            </w:pPr>
            <w:r>
              <w:rPr>
                <w:rFonts w:ascii="Times New Roman" w:eastAsia="宋体" w:hAnsi="Times New Roman"/>
                <w:color w:val="000000"/>
                <w:sz w:val="16"/>
                <w:szCs w:val="16"/>
              </w:rPr>
              <w:t>31,538 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B36" w14:textId="77777777" w:rsidR="00CC25B5" w:rsidRDefault="00CC25B5">
            <w:pPr>
              <w:jc w:val="right"/>
              <w:rPr>
                <w:rFonts w:ascii="宋体"/>
              </w:rPr>
            </w:pPr>
          </w:p>
        </w:tc>
      </w:tr>
    </w:tbl>
    <w:p w14:paraId="442F7B38" w14:textId="77777777" w:rsidR="00CC25B5" w:rsidRDefault="00900968">
      <w:pPr>
        <w:spacing w:before="80"/>
      </w:pPr>
      <w:r>
        <w:rPr>
          <w:rFonts w:ascii="Times New Roman" w:eastAsia="宋体" w:hAnsi="Times New Roman"/>
          <w:color w:val="000000"/>
          <w:sz w:val="20"/>
          <w:szCs w:val="20"/>
        </w:rPr>
        <w:t>Of Sam's Club's total net sales, approximately $1.6 billion and $1.3</w:t>
      </w:r>
      <w:r>
        <w:rPr>
          <w:rFonts w:ascii="Times New Roman" w:eastAsia="宋体" w:hAnsi="Times New Roman"/>
          <w:color w:val="000000"/>
          <w:sz w:val="20"/>
          <w:szCs w:val="20"/>
        </w:rPr>
        <w:t xml:space="preserve"> billion related to eCommerce for the three months ended July 31, 2021 and 2020, respectively, and approximately $3.2 billion and $2.3 billion related to eCommerce for the six months ended July 31, 2021 and 2020, respectively.</w:t>
      </w:r>
    </w:p>
    <w:p w14:paraId="442F7B39" w14:textId="77777777" w:rsidR="00CC25B5" w:rsidRDefault="00CC25B5">
      <w:pPr>
        <w:spacing w:before="180"/>
      </w:pPr>
    </w:p>
    <w:p w14:paraId="442F7B3A" w14:textId="77777777" w:rsidR="00CC25B5" w:rsidRDefault="00900968">
      <w:pPr>
        <w:jc w:val="center"/>
      </w:pPr>
      <w:r>
        <w:rPr>
          <w:rFonts w:ascii="Times New Roman" w:eastAsia="宋体" w:hAnsi="Times New Roman"/>
          <w:color w:val="000000"/>
          <w:sz w:val="20"/>
          <w:szCs w:val="20"/>
        </w:rPr>
        <w:t>14</w:t>
      </w:r>
    </w:p>
    <w:p w14:paraId="442F7B3B" w14:textId="77777777" w:rsidR="00CC25B5" w:rsidRDefault="00900968">
      <w:r>
        <w:pict w14:anchorId="442F85D7">
          <v:rect id="_x0000_i1038" style="width:415.3pt;height:1.5pt" o:hralign="center" o:hrstd="t" o:hr="t" fillcolor="#a0a0a0" stroked="f"/>
        </w:pict>
      </w:r>
    </w:p>
    <w:p w14:paraId="442F7B3C" w14:textId="77777777" w:rsidR="00CC25B5" w:rsidRDefault="00900968">
      <w:hyperlink r:id="rId56" w:anchor="ie1710166881948a18c44f48eaa2dcf00_7" w:history="1">
        <w:r>
          <w:rPr>
            <w:rStyle w:val="a5"/>
            <w:rFonts w:ascii="Times New Roman" w:eastAsia="宋体" w:hAnsi="Times New Roman"/>
            <w:sz w:val="20"/>
            <w:szCs w:val="20"/>
          </w:rPr>
          <w:t>Table of Contents</w:t>
        </w:r>
      </w:hyperlink>
    </w:p>
    <w:p w14:paraId="442F7B3D" w14:textId="77777777" w:rsidR="00CC25B5" w:rsidRDefault="00900968">
      <w:r>
        <w:rPr>
          <w:rFonts w:ascii="Times New Roman" w:eastAsia="宋体" w:hAnsi="Times New Roman"/>
          <w:b/>
          <w:bCs/>
          <w:color w:val="000000"/>
          <w:sz w:val="20"/>
          <w:szCs w:val="20"/>
        </w:rPr>
        <w:t>Item 2. Management's Discussion and Analysis of Financial Condition and Results of Ope</w:t>
      </w:r>
      <w:r>
        <w:rPr>
          <w:rFonts w:ascii="Times New Roman" w:eastAsia="宋体" w:hAnsi="Times New Roman"/>
          <w:b/>
          <w:bCs/>
          <w:color w:val="000000"/>
          <w:sz w:val="20"/>
          <w:szCs w:val="20"/>
        </w:rPr>
        <w:t>rations</w:t>
      </w:r>
    </w:p>
    <w:p w14:paraId="442F7B3E" w14:textId="77777777" w:rsidR="00CC25B5" w:rsidRDefault="00900968">
      <w:pPr>
        <w:spacing w:before="100"/>
      </w:pPr>
      <w:r>
        <w:rPr>
          <w:rFonts w:ascii="Times New Roman" w:eastAsia="宋体" w:hAnsi="Times New Roman"/>
          <w:b/>
          <w:bCs/>
          <w:color w:val="000000"/>
          <w:sz w:val="20"/>
          <w:szCs w:val="20"/>
        </w:rPr>
        <w:t>Overview</w:t>
      </w:r>
    </w:p>
    <w:p w14:paraId="442F7B3F" w14:textId="77777777" w:rsidR="00CC25B5" w:rsidRDefault="00900968">
      <w:pPr>
        <w:spacing w:before="60"/>
      </w:pPr>
      <w:r>
        <w:rPr>
          <w:rFonts w:ascii="Times New Roman" w:eastAsia="宋体" w:hAnsi="Times New Roman"/>
          <w:color w:val="000000"/>
          <w:sz w:val="20"/>
          <w:szCs w:val="20"/>
        </w:rPr>
        <w:t xml:space="preserve">This discussion, which presents Walmart Inc.'s ("Walmart," the "Company," "our," or "we") results for periods occurring in the fiscal year ending January 31, 2022 ("fiscal 2022") and the fiscal year ended January 31, 2021 ("fiscal 2021"), </w:t>
      </w:r>
      <w:r>
        <w:rPr>
          <w:rFonts w:ascii="Times New Roman" w:eastAsia="宋体" w:hAnsi="Times New Roman"/>
          <w:color w:val="000000"/>
          <w:sz w:val="20"/>
          <w:szCs w:val="20"/>
        </w:rPr>
        <w:t xml:space="preserve">should be read in conjunction with our Condensed Consolidated Financial Statements as of and for the three and six months ended July 31, 2021, and the accompanying notes included in </w:t>
      </w:r>
      <w:hyperlink r:id="rId57" w:anchor="ie1710166881948a18c44f48eaa2dcf00_13" w:history="1">
        <w:r>
          <w:rPr>
            <w:rStyle w:val="a5"/>
            <w:rFonts w:ascii="Times New Roman" w:eastAsia="宋体" w:hAnsi="Times New Roman"/>
            <w:sz w:val="20"/>
            <w:szCs w:val="20"/>
          </w:rPr>
          <w:t>Part I, Item 1</w:t>
        </w:r>
      </w:hyperlink>
      <w:r>
        <w:rPr>
          <w:rFonts w:ascii="Times New Roman" w:eastAsia="宋体" w:hAnsi="Times New Roman"/>
          <w:color w:val="000000"/>
          <w:sz w:val="20"/>
          <w:szCs w:val="20"/>
        </w:rPr>
        <w:t xml:space="preserve"> of this Quarterly Report on Form 10-Q, as well as our Consolidated Financial Statements as of and for the year ended January 31, 2021, the accompanying notes and </w:t>
      </w:r>
      <w:r>
        <w:rPr>
          <w:rFonts w:ascii="Times New Roman" w:eastAsia="宋体" w:hAnsi="Times New Roman"/>
          <w:color w:val="000000"/>
          <w:sz w:val="20"/>
          <w:szCs w:val="20"/>
        </w:rPr>
        <w:t>the related Management's Discussion and Analysis of Financial Condition and Results of Operations, contained in our Annual Report on Form 10-K for the year ended January 31, 2021.</w:t>
      </w:r>
    </w:p>
    <w:p w14:paraId="442F7B40" w14:textId="77777777" w:rsidR="00CC25B5" w:rsidRDefault="00900968">
      <w:pPr>
        <w:spacing w:before="100"/>
      </w:pPr>
      <w:r>
        <w:rPr>
          <w:rFonts w:ascii="Times New Roman" w:eastAsia="宋体" w:hAnsi="Times New Roman"/>
          <w:color w:val="000000"/>
          <w:sz w:val="20"/>
          <w:szCs w:val="20"/>
        </w:rPr>
        <w:t>We intend for this discussion to provide the reader with information that wi</w:t>
      </w:r>
      <w:r>
        <w:rPr>
          <w:rFonts w:ascii="Times New Roman" w:eastAsia="宋体" w:hAnsi="Times New Roman"/>
          <w:color w:val="000000"/>
          <w:sz w:val="20"/>
          <w:szCs w:val="20"/>
        </w:rPr>
        <w:t xml:space="preserve">ll assist in understanding our financial statements, the changes in certain key items in those financial statements from period to period and the primary factors that accounted for those changes. We also discuss certain performance metrics that management </w:t>
      </w:r>
      <w:r>
        <w:rPr>
          <w:rFonts w:ascii="Times New Roman" w:eastAsia="宋体" w:hAnsi="Times New Roman"/>
          <w:color w:val="000000"/>
          <w:sz w:val="20"/>
          <w:szCs w:val="20"/>
        </w:rPr>
        <w:t>uses to assess the Company's performance. Additionally, the discussion provides information about the financial results of each of the three segments of our business to provide a better understanding of how each of those segments and its results of operati</w:t>
      </w:r>
      <w:r>
        <w:rPr>
          <w:rFonts w:ascii="Times New Roman" w:eastAsia="宋体" w:hAnsi="Times New Roman"/>
          <w:color w:val="000000"/>
          <w:sz w:val="20"/>
          <w:szCs w:val="20"/>
        </w:rPr>
        <w:t xml:space="preserve">ons affect the financial condition and results of operations of the Company as a whole. </w:t>
      </w:r>
    </w:p>
    <w:p w14:paraId="442F7B41" w14:textId="77777777" w:rsidR="00CC25B5" w:rsidRDefault="00900968">
      <w:pPr>
        <w:spacing w:before="100"/>
      </w:pPr>
      <w:r>
        <w:rPr>
          <w:rFonts w:ascii="Times New Roman" w:eastAsia="宋体" w:hAnsi="Times New Roman"/>
          <w:color w:val="000000"/>
          <w:sz w:val="20"/>
          <w:szCs w:val="20"/>
        </w:rPr>
        <w:t>Throughout this Management's Discussion and Analysis of Financial Condition and Results of Operations, we discuss segment operating income, comparable store and club s</w:t>
      </w:r>
      <w:r>
        <w:rPr>
          <w:rFonts w:ascii="Times New Roman" w:eastAsia="宋体" w:hAnsi="Times New Roman"/>
          <w:color w:val="000000"/>
          <w:sz w:val="20"/>
          <w:szCs w:val="20"/>
        </w:rPr>
        <w:t>ales and other measures. Management measures the results of the Company's segments using each segment's operating income, including certain corporate overhead allocations, as well as other measures. From time to time, we revise the measurement of each segm</w:t>
      </w:r>
      <w:r>
        <w:rPr>
          <w:rFonts w:ascii="Times New Roman" w:eastAsia="宋体" w:hAnsi="Times New Roman"/>
          <w:color w:val="000000"/>
          <w:sz w:val="20"/>
          <w:szCs w:val="20"/>
        </w:rPr>
        <w:t xml:space="preserve">ent's operating income and other measures as determined by the information regularly reviewed by our chief operating decision maker. </w:t>
      </w:r>
    </w:p>
    <w:p w14:paraId="442F7B42" w14:textId="77777777" w:rsidR="00CC25B5" w:rsidRDefault="00900968">
      <w:pPr>
        <w:spacing w:before="100"/>
      </w:pPr>
      <w:r>
        <w:rPr>
          <w:rFonts w:ascii="Times New Roman" w:eastAsia="宋体" w:hAnsi="Times New Roman"/>
          <w:color w:val="000000"/>
          <w:sz w:val="20"/>
          <w:szCs w:val="20"/>
        </w:rPr>
        <w:t>Comparable store and club sales, or comparable sales, is a metric that indicates the performance of our existing stores an</w:t>
      </w:r>
      <w:r>
        <w:rPr>
          <w:rFonts w:ascii="Times New Roman" w:eastAsia="宋体" w:hAnsi="Times New Roman"/>
          <w:color w:val="000000"/>
          <w:sz w:val="20"/>
          <w:szCs w:val="20"/>
        </w:rPr>
        <w:t>d clubs by measuring the change in sales for such stores and clubs, including eCommerce sales, for a particular period from the corresponding prior year period. Walmart's definition of comparable sales includes sales from stores and clubs open for the prev</w:t>
      </w:r>
      <w:r>
        <w:rPr>
          <w:rFonts w:ascii="Times New Roman" w:eastAsia="宋体" w:hAnsi="Times New Roman"/>
          <w:color w:val="000000"/>
          <w:sz w:val="20"/>
          <w:szCs w:val="20"/>
        </w:rPr>
        <w:t>ious 12 months, including remodels, relocations, expansions and conversions, as well as eCommerce sales. We measure the eCommerce sales impact by including all sales initiated digitally, including omni-channel transactions which are fulfilled through our s</w:t>
      </w:r>
      <w:r>
        <w:rPr>
          <w:rFonts w:ascii="Times New Roman" w:eastAsia="宋体" w:hAnsi="Times New Roman"/>
          <w:color w:val="000000"/>
          <w:sz w:val="20"/>
          <w:szCs w:val="20"/>
        </w:rPr>
        <w:t>tores and clubs. Sales at a store that has changed in format are excluded from comparable sales when the conversion of that store is accompanied by a relocation or expansion that results in a change in the store's retail square feet of more than five perce</w:t>
      </w:r>
      <w:r>
        <w:rPr>
          <w:rFonts w:ascii="Times New Roman" w:eastAsia="宋体" w:hAnsi="Times New Roman"/>
          <w:color w:val="000000"/>
          <w:sz w:val="20"/>
          <w:szCs w:val="20"/>
        </w:rPr>
        <w:t xml:space="preserve">nt. Sales related to divested businesses are excluded from comparable sales, and sales related to acquisitions are excluded until such acquisitions have been owned for 12 months. Comparable sales are also referred to as "same-store" sales by others within </w:t>
      </w:r>
      <w:r>
        <w:rPr>
          <w:rFonts w:ascii="Times New Roman" w:eastAsia="宋体" w:hAnsi="Times New Roman"/>
          <w:color w:val="000000"/>
          <w:sz w:val="20"/>
          <w:szCs w:val="20"/>
        </w:rPr>
        <w:t xml:space="preserve">the retail industry. The method of calculating comparable sales varies across the retail industry. As a result, our calculation of comparable sales is not necessarily comparable to similarly titled measures reported by other companies. </w:t>
      </w:r>
    </w:p>
    <w:p w14:paraId="442F7B43" w14:textId="77777777" w:rsidR="00CC25B5" w:rsidRDefault="00900968">
      <w:pPr>
        <w:spacing w:before="100"/>
      </w:pPr>
      <w:r>
        <w:rPr>
          <w:rFonts w:ascii="Times New Roman" w:eastAsia="宋体" w:hAnsi="Times New Roman"/>
          <w:color w:val="000000"/>
          <w:sz w:val="20"/>
          <w:szCs w:val="20"/>
        </w:rPr>
        <w:t>In discussing our o</w:t>
      </w:r>
      <w:r>
        <w:rPr>
          <w:rFonts w:ascii="Times New Roman" w:eastAsia="宋体" w:hAnsi="Times New Roman"/>
          <w:color w:val="000000"/>
          <w:sz w:val="20"/>
          <w:szCs w:val="20"/>
        </w:rPr>
        <w:t>perating results, the term currency exchange rates refers to the currency exchange rates we use to convert the operating results for countries where the functional currency is not the U.S. dollar into U.S. dollars. We calculate the effect of changes in cur</w:t>
      </w:r>
      <w:r>
        <w:rPr>
          <w:rFonts w:ascii="Times New Roman" w:eastAsia="宋体" w:hAnsi="Times New Roman"/>
          <w:color w:val="000000"/>
          <w:sz w:val="20"/>
          <w:szCs w:val="20"/>
        </w:rPr>
        <w:t>rency exchange rates as the difference between current period activity translated using the current period’s currency exchange rates and the comparable prior year period’s currency exchange rates. Additionally, no currency exchange rate fluctuations are ca</w:t>
      </w:r>
      <w:r>
        <w:rPr>
          <w:rFonts w:ascii="Times New Roman" w:eastAsia="宋体" w:hAnsi="Times New Roman"/>
          <w:color w:val="000000"/>
          <w:sz w:val="20"/>
          <w:szCs w:val="20"/>
        </w:rPr>
        <w:t>lculated for non-USD acquisitions until owned for 12 months. Throughout our discussion, we refer to the results of this calculation as the impact of currency exchange rate fluctuations. Volatility in currency exchange rates may impact the results, includin</w:t>
      </w:r>
      <w:r>
        <w:rPr>
          <w:rFonts w:ascii="Times New Roman" w:eastAsia="宋体" w:hAnsi="Times New Roman"/>
          <w:color w:val="000000"/>
          <w:sz w:val="20"/>
          <w:szCs w:val="20"/>
        </w:rPr>
        <w:t>g net sales and operating income, of the Company and the Walmart International segment in the future.</w:t>
      </w:r>
    </w:p>
    <w:p w14:paraId="442F7B44" w14:textId="77777777" w:rsidR="00CC25B5" w:rsidRDefault="00900968">
      <w:pPr>
        <w:spacing w:before="100"/>
      </w:pPr>
      <w:r>
        <w:rPr>
          <w:rFonts w:ascii="Times New Roman" w:eastAsia="宋体" w:hAnsi="Times New Roman"/>
          <w:color w:val="000000"/>
          <w:sz w:val="20"/>
          <w:szCs w:val="20"/>
        </w:rPr>
        <w:t>Each of our segments contributes to the Company's operating results differently. Each, however, has generally maintained a consistent contribution rate to</w:t>
      </w:r>
      <w:r>
        <w:rPr>
          <w:rFonts w:ascii="Times New Roman" w:eastAsia="宋体" w:hAnsi="Times New Roman"/>
          <w:color w:val="000000"/>
          <w:sz w:val="20"/>
          <w:szCs w:val="20"/>
        </w:rPr>
        <w:t xml:space="preserve"> the Company's net sales and operating income in recent years other than minor changes to the contribution rate for the Walmart International segment due to fluctuations in currency exchange rates. Consistent with our strategy to strengthen our Walmart Int</w:t>
      </w:r>
      <w:r>
        <w:rPr>
          <w:rFonts w:ascii="Times New Roman" w:eastAsia="宋体" w:hAnsi="Times New Roman"/>
          <w:color w:val="000000"/>
          <w:sz w:val="20"/>
          <w:szCs w:val="20"/>
        </w:rPr>
        <w:t>ernational portfolio for the long-term, we completed the following actions during the six months ended July 31, 2021:</w:t>
      </w:r>
    </w:p>
    <w:p w14:paraId="442F7B45" w14:textId="77777777" w:rsidR="00CC25B5" w:rsidRDefault="00900968">
      <w:pPr>
        <w:spacing w:before="60" w:after="60"/>
        <w:ind w:hanging="360"/>
      </w:pPr>
      <w:r>
        <w:rPr>
          <w:rFonts w:ascii="Times New Roman" w:eastAsia="宋体" w:hAnsi="Times New Roman"/>
          <w:color w:val="000000"/>
          <w:sz w:val="20"/>
          <w:szCs w:val="20"/>
        </w:rPr>
        <w:t xml:space="preserve">•Completed the sale of Asda, our retail business in the U.K., for net consideration of $9.6 billion in February 2021. During the </w:t>
      </w:r>
      <w:r>
        <w:rPr>
          <w:rFonts w:ascii="Times New Roman" w:eastAsia="宋体" w:hAnsi="Times New Roman"/>
          <w:color w:val="000000"/>
          <w:sz w:val="20"/>
          <w:szCs w:val="20"/>
        </w:rPr>
        <w:t>first quarter of fiscal 2022, we recognized an incremental non-cash loss of $0.2 billion, after tax, primarily due to changes in the net assets of the disposal group, currency exchange rate fluctuations and customary purchase price adjustments upon closing</w:t>
      </w:r>
      <w:r>
        <w:rPr>
          <w:rFonts w:ascii="Times New Roman" w:eastAsia="宋体" w:hAnsi="Times New Roman"/>
          <w:color w:val="000000"/>
          <w:sz w:val="20"/>
          <w:szCs w:val="20"/>
        </w:rPr>
        <w:t>.</w:t>
      </w:r>
    </w:p>
    <w:p w14:paraId="442F7B46" w14:textId="77777777" w:rsidR="00CC25B5" w:rsidRDefault="00900968">
      <w:pPr>
        <w:spacing w:before="60" w:after="60"/>
        <w:ind w:hanging="360"/>
      </w:pPr>
      <w:r>
        <w:rPr>
          <w:rFonts w:ascii="Times New Roman" w:eastAsia="宋体" w:hAnsi="Times New Roman"/>
          <w:color w:val="000000"/>
          <w:sz w:val="20"/>
          <w:szCs w:val="20"/>
        </w:rPr>
        <w:t>•Completed the sale of Seiyu, our retail business in Japan, for net consideration of $1.2 billion in March 2021. During the first quarter of fiscal 2022, we recognized an incremental non-cash loss of $0.2 billion, after tax, primarily due to changes in t</w:t>
      </w:r>
      <w:r>
        <w:rPr>
          <w:rFonts w:ascii="Times New Roman" w:eastAsia="宋体" w:hAnsi="Times New Roman"/>
          <w:color w:val="000000"/>
          <w:sz w:val="20"/>
          <w:szCs w:val="20"/>
        </w:rPr>
        <w:t>he net assets of the disposal group, currency exchange rate fluctuations and customary purchase price adjustments upon closing.</w:t>
      </w:r>
    </w:p>
    <w:p w14:paraId="442F7B47" w14:textId="77777777" w:rsidR="00CC25B5" w:rsidRDefault="00900968">
      <w:pPr>
        <w:jc w:val="center"/>
      </w:pPr>
      <w:r>
        <w:rPr>
          <w:rFonts w:ascii="Times New Roman" w:eastAsia="宋体" w:hAnsi="Times New Roman"/>
          <w:color w:val="000000"/>
          <w:sz w:val="20"/>
          <w:szCs w:val="20"/>
        </w:rPr>
        <w:t>15</w:t>
      </w:r>
    </w:p>
    <w:p w14:paraId="442F7B48" w14:textId="77777777" w:rsidR="00CC25B5" w:rsidRDefault="00900968">
      <w:r>
        <w:pict w14:anchorId="442F85D8">
          <v:rect id="_x0000_i1039" style="width:415.3pt;height:1.5pt" o:hralign="center" o:hrstd="t" o:hr="t" fillcolor="#a0a0a0" stroked="f"/>
        </w:pict>
      </w:r>
    </w:p>
    <w:p w14:paraId="442F7B49" w14:textId="77777777" w:rsidR="00CC25B5" w:rsidRDefault="00900968">
      <w:hyperlink r:id="rId58" w:anchor="ie1710166881948a18c44f48eaa2dcf00_7" w:history="1">
        <w:r>
          <w:rPr>
            <w:rStyle w:val="a5"/>
            <w:rFonts w:ascii="Times New Roman" w:eastAsia="宋体" w:hAnsi="Times New Roman"/>
            <w:sz w:val="20"/>
            <w:szCs w:val="20"/>
          </w:rPr>
          <w:t>Table of Contents</w:t>
        </w:r>
      </w:hyperlink>
    </w:p>
    <w:p w14:paraId="442F7B4A" w14:textId="77777777" w:rsidR="00CC25B5" w:rsidRDefault="00900968">
      <w:pPr>
        <w:spacing w:before="100"/>
      </w:pPr>
      <w:r>
        <w:rPr>
          <w:rFonts w:ascii="Times New Roman" w:eastAsia="宋体" w:hAnsi="Times New Roman"/>
          <w:color w:val="000000"/>
          <w:sz w:val="20"/>
          <w:szCs w:val="20"/>
        </w:rPr>
        <w:t>We operate in the highly competitive omni-channel retail industry in all of the markets we serve. We face strong sales competition from other discount, department, drug, dollar, variety and specialty stores, w</w:t>
      </w:r>
      <w:r>
        <w:rPr>
          <w:rFonts w:ascii="Times New Roman" w:eastAsia="宋体" w:hAnsi="Times New Roman"/>
          <w:color w:val="000000"/>
          <w:sz w:val="20"/>
          <w:szCs w:val="20"/>
        </w:rPr>
        <w:t>arehouse clubs and supermarkets, as well as eCommerce businesses. Many of these competitors are national, regional or international chains or have a national or international omni-channel or eCommerce presence. We compete with a number of companies for att</w:t>
      </w:r>
      <w:r>
        <w:rPr>
          <w:rFonts w:ascii="Times New Roman" w:eastAsia="宋体" w:hAnsi="Times New Roman"/>
          <w:color w:val="000000"/>
          <w:sz w:val="20"/>
          <w:szCs w:val="20"/>
        </w:rPr>
        <w:t>racting and retaining quality employees ("associates"). We, along with other retail companies, are influenced by a number of factors including, but not limited to: catastrophic events, weather and other risks related to climate change, global health epidem</w:t>
      </w:r>
      <w:r>
        <w:rPr>
          <w:rFonts w:ascii="Times New Roman" w:eastAsia="宋体" w:hAnsi="Times New Roman"/>
          <w:color w:val="000000"/>
          <w:sz w:val="20"/>
          <w:szCs w:val="20"/>
        </w:rPr>
        <w:t>ics, including the ongoing COVID-19 pandemic, competitive pressures, consumer disposable income, consumer debt levels and buying patterns, consumer credit availability, cost of goods, currency exchange rate fluctuations, customer preferences, deflation, in</w:t>
      </w:r>
      <w:r>
        <w:rPr>
          <w:rFonts w:ascii="Times New Roman" w:eastAsia="宋体" w:hAnsi="Times New Roman"/>
          <w:color w:val="000000"/>
          <w:sz w:val="20"/>
          <w:szCs w:val="20"/>
        </w:rPr>
        <w:t>flation, fuel and energy prices, general economic conditions, insurance costs, interest rates, labor costs, tax rates, the imposition of tariffs, cybersecurity attacks and unemployment. Further information on the factors that can affect our operating resul</w:t>
      </w:r>
      <w:r>
        <w:rPr>
          <w:rFonts w:ascii="Times New Roman" w:eastAsia="宋体" w:hAnsi="Times New Roman"/>
          <w:color w:val="000000"/>
          <w:sz w:val="20"/>
          <w:szCs w:val="20"/>
        </w:rPr>
        <w:t>ts and on certain risks to our Company and an investment in our securities can be found herein under "</w:t>
      </w:r>
      <w:hyperlink r:id="rId59" w:anchor="ie1710166881948a18c44f48eaa2dcf00_124" w:history="1">
        <w:r>
          <w:rPr>
            <w:rStyle w:val="a5"/>
            <w:rFonts w:ascii="Times New Roman" w:eastAsia="宋体" w:hAnsi="Times New Roman"/>
            <w:sz w:val="20"/>
            <w:szCs w:val="20"/>
          </w:rPr>
          <w:t>Ite</w:t>
        </w:r>
        <w:r>
          <w:rPr>
            <w:rStyle w:val="a5"/>
            <w:rFonts w:ascii="Times New Roman" w:eastAsia="宋体" w:hAnsi="Times New Roman"/>
            <w:sz w:val="20"/>
            <w:szCs w:val="20"/>
          </w:rPr>
          <w:t>m 5. Other Information</w:t>
        </w:r>
      </w:hyperlink>
      <w:r>
        <w:rPr>
          <w:rFonts w:ascii="Times New Roman" w:eastAsia="宋体" w:hAnsi="Times New Roman"/>
          <w:color w:val="000000"/>
          <w:sz w:val="20"/>
          <w:szCs w:val="20"/>
        </w:rPr>
        <w:t xml:space="preserve">." </w:t>
      </w:r>
    </w:p>
    <w:p w14:paraId="442F7B4B" w14:textId="77777777" w:rsidR="00CC25B5" w:rsidRDefault="00900968">
      <w:pPr>
        <w:spacing w:before="100"/>
      </w:pPr>
      <w:r>
        <w:rPr>
          <w:rFonts w:ascii="Times New Roman" w:eastAsia="宋体" w:hAnsi="Times New Roman"/>
          <w:color w:val="000000"/>
          <w:sz w:val="20"/>
          <w:szCs w:val="20"/>
        </w:rPr>
        <w:t>We expect continued uncertainty in our business and the global economy due to the duration and intensity of the COVID–19 pandemic; the duration and extent of economic stimulus; timing and effectiveness of global vaccines; and v</w:t>
      </w:r>
      <w:r>
        <w:rPr>
          <w:rFonts w:ascii="Times New Roman" w:eastAsia="宋体" w:hAnsi="Times New Roman"/>
          <w:color w:val="000000"/>
          <w:sz w:val="20"/>
          <w:szCs w:val="20"/>
        </w:rPr>
        <w:t>olatility in employment trends and consumer confidence which may impact our results. For a detailed discussion on results of operations by reportable segment, refer to "</w:t>
      </w:r>
      <w:hyperlink r:id="rId60" w:anchor="ie1710166881948a18c44f48eaa2dcf00_88"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442F7B4C" w14:textId="77777777" w:rsidR="00CC25B5" w:rsidRDefault="00CC25B5"/>
    <w:p w14:paraId="442F7B4D" w14:textId="77777777" w:rsidR="00CC25B5" w:rsidRDefault="00900968">
      <w:r>
        <w:rPr>
          <w:rFonts w:ascii="Times New Roman" w:eastAsia="宋体" w:hAnsi="Times New Roman"/>
          <w:b/>
          <w:bCs/>
          <w:color w:val="000000"/>
          <w:sz w:val="20"/>
          <w:szCs w:val="20"/>
        </w:rPr>
        <w:t>Company Performance Metrics</w:t>
      </w:r>
    </w:p>
    <w:p w14:paraId="442F7B4E" w14:textId="77777777" w:rsidR="00CC25B5" w:rsidRDefault="00900968">
      <w:pPr>
        <w:spacing w:before="100"/>
      </w:pPr>
      <w:r>
        <w:rPr>
          <w:rFonts w:ascii="Times New Roman" w:eastAsia="宋体" w:hAnsi="Times New Roman"/>
          <w:color w:val="000000"/>
          <w:sz w:val="20"/>
          <w:szCs w:val="20"/>
        </w:rPr>
        <w:t xml:space="preserve">We are committed to helping customers save money and live better through everyday low prices, supported by everyday low costs.  At </w:t>
      </w:r>
      <w:r>
        <w:rPr>
          <w:rFonts w:ascii="Times New Roman" w:eastAsia="宋体" w:hAnsi="Times New Roman"/>
          <w:color w:val="000000"/>
          <w:sz w:val="20"/>
          <w:szCs w:val="20"/>
        </w:rPr>
        <w:t>times, we adjust our business strategies to maintain and strengthen our competitive positions in the countries in which we operate.  We define our financial framework as:</w:t>
      </w:r>
    </w:p>
    <w:p w14:paraId="442F7B4F" w14:textId="77777777" w:rsidR="00CC25B5" w:rsidRDefault="00900968">
      <w:pPr>
        <w:spacing w:before="100"/>
        <w:ind w:hanging="360"/>
      </w:pPr>
      <w:r>
        <w:rPr>
          <w:rFonts w:ascii="Times New Roman" w:eastAsia="宋体" w:hAnsi="Times New Roman"/>
          <w:color w:val="000000"/>
          <w:sz w:val="20"/>
          <w:szCs w:val="20"/>
        </w:rPr>
        <w:t>•strong, efficient growth;</w:t>
      </w:r>
    </w:p>
    <w:p w14:paraId="442F7B50" w14:textId="77777777" w:rsidR="00CC25B5" w:rsidRDefault="00900968">
      <w:pPr>
        <w:spacing w:before="100"/>
        <w:ind w:hanging="360"/>
      </w:pPr>
      <w:r>
        <w:rPr>
          <w:rFonts w:ascii="Times New Roman" w:eastAsia="宋体" w:hAnsi="Times New Roman"/>
          <w:color w:val="000000"/>
          <w:sz w:val="20"/>
          <w:szCs w:val="20"/>
        </w:rPr>
        <w:t>•consistent operating discipline; and</w:t>
      </w:r>
    </w:p>
    <w:p w14:paraId="442F7B51" w14:textId="77777777" w:rsidR="00CC25B5" w:rsidRDefault="00900968">
      <w:pPr>
        <w:spacing w:before="100"/>
        <w:ind w:hanging="360"/>
      </w:pPr>
      <w:r>
        <w:rPr>
          <w:rFonts w:ascii="Times New Roman" w:eastAsia="宋体" w:hAnsi="Times New Roman"/>
          <w:color w:val="000000"/>
          <w:sz w:val="20"/>
          <w:szCs w:val="20"/>
        </w:rPr>
        <w:t xml:space="preserve">•strategic </w:t>
      </w:r>
      <w:r>
        <w:rPr>
          <w:rFonts w:ascii="Times New Roman" w:eastAsia="宋体" w:hAnsi="Times New Roman"/>
          <w:color w:val="000000"/>
          <w:sz w:val="20"/>
          <w:szCs w:val="20"/>
        </w:rPr>
        <w:t>capital allocation.</w:t>
      </w:r>
    </w:p>
    <w:p w14:paraId="442F7B52" w14:textId="77777777" w:rsidR="00CC25B5" w:rsidRDefault="00900968">
      <w:pPr>
        <w:spacing w:before="100"/>
      </w:pPr>
      <w:r>
        <w:rPr>
          <w:rFonts w:ascii="Times New Roman" w:eastAsia="宋体" w:hAnsi="Times New Roman"/>
          <w:color w:val="000000"/>
          <w:sz w:val="20"/>
          <w:szCs w:val="20"/>
        </w:rPr>
        <w:t xml:space="preserve">As we execute on this financial framework, we believe our returns on capital will improve over time. </w:t>
      </w:r>
    </w:p>
    <w:p w14:paraId="442F7B53" w14:textId="77777777" w:rsidR="00CC25B5" w:rsidRDefault="00900968">
      <w:pPr>
        <w:spacing w:before="180"/>
      </w:pPr>
      <w:r>
        <w:rPr>
          <w:rFonts w:ascii="Times New Roman" w:eastAsia="宋体" w:hAnsi="Times New Roman"/>
          <w:b/>
          <w:bCs/>
          <w:color w:val="000000"/>
          <w:sz w:val="20"/>
          <w:szCs w:val="20"/>
          <w:u w:val="single"/>
        </w:rPr>
        <w:t>Strong, Efficient Growth</w:t>
      </w:r>
    </w:p>
    <w:p w14:paraId="442F7B54" w14:textId="77777777" w:rsidR="00CC25B5" w:rsidRDefault="00900968">
      <w:pPr>
        <w:spacing w:before="100"/>
      </w:pPr>
      <w:r>
        <w:rPr>
          <w:rFonts w:ascii="Times New Roman" w:eastAsia="宋体" w:hAnsi="Times New Roman"/>
          <w:color w:val="000000"/>
          <w:sz w:val="20"/>
          <w:szCs w:val="20"/>
        </w:rPr>
        <w:t>Our objective of prioritizing strong, efficient growth means we will focus on the most productive growth oppo</w:t>
      </w:r>
      <w:r>
        <w:rPr>
          <w:rFonts w:ascii="Times New Roman" w:eastAsia="宋体" w:hAnsi="Times New Roman"/>
          <w:color w:val="000000"/>
          <w:sz w:val="20"/>
          <w:szCs w:val="20"/>
        </w:rPr>
        <w:t xml:space="preserve">rtunities, increasing comparable store and club sales, accelerating eCommerce sales growth and expansion of omni-channel initiatives while slowing the rate of growth of new stores and clubs. At times, we make strategic investments which are focused on the </w:t>
      </w:r>
      <w:r>
        <w:rPr>
          <w:rFonts w:ascii="Times New Roman" w:eastAsia="宋体" w:hAnsi="Times New Roman"/>
          <w:color w:val="000000"/>
          <w:sz w:val="20"/>
          <w:szCs w:val="20"/>
        </w:rPr>
        <w:t xml:space="preserve">long-term growth of the Company. </w:t>
      </w:r>
    </w:p>
    <w:p w14:paraId="442F7B55" w14:textId="77777777" w:rsidR="00CC25B5" w:rsidRDefault="00900968">
      <w:pPr>
        <w:spacing w:before="100"/>
      </w:pPr>
      <w:r>
        <w:rPr>
          <w:rFonts w:ascii="Times New Roman" w:eastAsia="宋体" w:hAnsi="Times New Roman"/>
          <w:color w:val="000000"/>
          <w:sz w:val="20"/>
          <w:szCs w:val="20"/>
        </w:rPr>
        <w:t>Comparable sales is a metric that indicates the performance of our existing stores and clubs by measuring the change in sales for such stores and clubs, including eCommerce sales, for a particular period over the correspon</w:t>
      </w:r>
      <w:r>
        <w:rPr>
          <w:rFonts w:ascii="Times New Roman" w:eastAsia="宋体" w:hAnsi="Times New Roman"/>
          <w:color w:val="000000"/>
          <w:sz w:val="20"/>
          <w:szCs w:val="20"/>
        </w:rPr>
        <w:t>ding period in the previous year. The retail industry generally reports comparable sales using the retail calendar (also known as the 4-5-4 calendar). To be consistent with the retail industry, we provide comparable sales using the retail calendar in our q</w:t>
      </w:r>
      <w:r>
        <w:rPr>
          <w:rFonts w:ascii="Times New Roman" w:eastAsia="宋体" w:hAnsi="Times New Roman"/>
          <w:color w:val="000000"/>
          <w:sz w:val="20"/>
          <w:szCs w:val="20"/>
        </w:rPr>
        <w:t>uarterly earnings releases. However, when we discuss our comparable sales below, we are referring to our calendar comparable sales calculated using our fiscal calendar, which may result in differences when compared to comparable sales using the retail cale</w:t>
      </w:r>
      <w:r>
        <w:rPr>
          <w:rFonts w:ascii="Times New Roman" w:eastAsia="宋体" w:hAnsi="Times New Roman"/>
          <w:color w:val="000000"/>
          <w:sz w:val="20"/>
          <w:szCs w:val="20"/>
        </w:rPr>
        <w:t xml:space="preserve">ndar. </w:t>
      </w:r>
    </w:p>
    <w:p w14:paraId="442F7B56" w14:textId="77777777" w:rsidR="00CC25B5" w:rsidRDefault="00900968">
      <w:pPr>
        <w:spacing w:before="100"/>
      </w:pPr>
      <w:r>
        <w:rPr>
          <w:rFonts w:ascii="Times New Roman" w:eastAsia="宋体" w:hAnsi="Times New Roman"/>
          <w:color w:val="000000"/>
          <w:sz w:val="20"/>
          <w:szCs w:val="20"/>
        </w:rPr>
        <w:t>Calendar comparable sales, as well as the impact of fuel, for the three and six months ended July 31, 2021 and 2020,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829"/>
        <w:gridCol w:w="36"/>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5"/>
        <w:gridCol w:w="36"/>
        <w:gridCol w:w="36"/>
        <w:gridCol w:w="36"/>
        <w:gridCol w:w="42"/>
        <w:gridCol w:w="499"/>
        <w:gridCol w:w="154"/>
        <w:gridCol w:w="36"/>
        <w:gridCol w:w="36"/>
        <w:gridCol w:w="36"/>
        <w:gridCol w:w="42"/>
        <w:gridCol w:w="499"/>
        <w:gridCol w:w="154"/>
        <w:gridCol w:w="36"/>
        <w:gridCol w:w="36"/>
        <w:gridCol w:w="36"/>
        <w:gridCol w:w="42"/>
        <w:gridCol w:w="500"/>
        <w:gridCol w:w="154"/>
        <w:gridCol w:w="36"/>
        <w:gridCol w:w="36"/>
        <w:gridCol w:w="36"/>
        <w:gridCol w:w="42"/>
        <w:gridCol w:w="504"/>
        <w:gridCol w:w="154"/>
      </w:tblGrid>
      <w:tr w:rsidR="00CC25B5" w14:paraId="442F7B8A" w14:textId="77777777">
        <w:trPr>
          <w:jc w:val="center"/>
        </w:trPr>
        <w:tc>
          <w:tcPr>
            <w:tcW w:w="50" w:type="pct"/>
            <w:shd w:val="clear" w:color="auto" w:fill="auto"/>
            <w:vAlign w:val="bottom"/>
          </w:tcPr>
          <w:p w14:paraId="442F7B57" w14:textId="77777777" w:rsidR="00CC25B5" w:rsidRDefault="00CC25B5">
            <w:pPr>
              <w:rPr>
                <w:rFonts w:ascii="宋体"/>
              </w:rPr>
            </w:pPr>
          </w:p>
        </w:tc>
        <w:tc>
          <w:tcPr>
            <w:tcW w:w="1143" w:type="pct"/>
            <w:shd w:val="clear" w:color="auto" w:fill="auto"/>
            <w:vAlign w:val="bottom"/>
          </w:tcPr>
          <w:p w14:paraId="442F7B58" w14:textId="77777777" w:rsidR="00CC25B5" w:rsidRDefault="00CC25B5">
            <w:pPr>
              <w:rPr>
                <w:rFonts w:ascii="宋体"/>
              </w:rPr>
            </w:pPr>
          </w:p>
        </w:tc>
        <w:tc>
          <w:tcPr>
            <w:tcW w:w="5" w:type="pct"/>
            <w:shd w:val="clear" w:color="auto" w:fill="auto"/>
            <w:vAlign w:val="bottom"/>
          </w:tcPr>
          <w:p w14:paraId="442F7B59" w14:textId="77777777" w:rsidR="00CC25B5" w:rsidRDefault="00CC25B5">
            <w:pPr>
              <w:rPr>
                <w:rFonts w:ascii="宋体"/>
              </w:rPr>
            </w:pPr>
          </w:p>
        </w:tc>
        <w:tc>
          <w:tcPr>
            <w:tcW w:w="5" w:type="pct"/>
            <w:shd w:val="clear" w:color="auto" w:fill="auto"/>
            <w:vAlign w:val="bottom"/>
          </w:tcPr>
          <w:p w14:paraId="442F7B5A" w14:textId="77777777" w:rsidR="00CC25B5" w:rsidRDefault="00CC25B5">
            <w:pPr>
              <w:rPr>
                <w:rFonts w:ascii="宋体"/>
              </w:rPr>
            </w:pPr>
          </w:p>
        </w:tc>
        <w:tc>
          <w:tcPr>
            <w:tcW w:w="26" w:type="pct"/>
            <w:shd w:val="clear" w:color="auto" w:fill="auto"/>
            <w:vAlign w:val="bottom"/>
          </w:tcPr>
          <w:p w14:paraId="442F7B5B" w14:textId="77777777" w:rsidR="00CC25B5" w:rsidRDefault="00CC25B5">
            <w:pPr>
              <w:rPr>
                <w:rFonts w:ascii="宋体"/>
              </w:rPr>
            </w:pPr>
          </w:p>
        </w:tc>
        <w:tc>
          <w:tcPr>
            <w:tcW w:w="5" w:type="pct"/>
            <w:shd w:val="clear" w:color="auto" w:fill="auto"/>
            <w:vAlign w:val="bottom"/>
          </w:tcPr>
          <w:p w14:paraId="442F7B5C" w14:textId="77777777" w:rsidR="00CC25B5" w:rsidRDefault="00CC25B5">
            <w:pPr>
              <w:rPr>
                <w:rFonts w:ascii="宋体"/>
              </w:rPr>
            </w:pPr>
          </w:p>
        </w:tc>
        <w:tc>
          <w:tcPr>
            <w:tcW w:w="50" w:type="pct"/>
            <w:shd w:val="clear" w:color="auto" w:fill="auto"/>
            <w:vAlign w:val="bottom"/>
          </w:tcPr>
          <w:p w14:paraId="442F7B5D" w14:textId="77777777" w:rsidR="00CC25B5" w:rsidRDefault="00CC25B5">
            <w:pPr>
              <w:rPr>
                <w:rFonts w:ascii="宋体"/>
              </w:rPr>
            </w:pPr>
          </w:p>
        </w:tc>
        <w:tc>
          <w:tcPr>
            <w:tcW w:w="383" w:type="pct"/>
            <w:shd w:val="clear" w:color="auto" w:fill="auto"/>
            <w:vAlign w:val="bottom"/>
          </w:tcPr>
          <w:p w14:paraId="442F7B5E" w14:textId="77777777" w:rsidR="00CC25B5" w:rsidRDefault="00CC25B5">
            <w:pPr>
              <w:rPr>
                <w:rFonts w:ascii="宋体"/>
              </w:rPr>
            </w:pPr>
          </w:p>
        </w:tc>
        <w:tc>
          <w:tcPr>
            <w:tcW w:w="5" w:type="pct"/>
            <w:shd w:val="clear" w:color="auto" w:fill="auto"/>
            <w:vAlign w:val="bottom"/>
          </w:tcPr>
          <w:p w14:paraId="442F7B5F" w14:textId="77777777" w:rsidR="00CC25B5" w:rsidRDefault="00CC25B5">
            <w:pPr>
              <w:rPr>
                <w:rFonts w:ascii="宋体"/>
              </w:rPr>
            </w:pPr>
          </w:p>
        </w:tc>
        <w:tc>
          <w:tcPr>
            <w:tcW w:w="5" w:type="pct"/>
            <w:shd w:val="clear" w:color="auto" w:fill="auto"/>
            <w:vAlign w:val="bottom"/>
          </w:tcPr>
          <w:p w14:paraId="442F7B60" w14:textId="77777777" w:rsidR="00CC25B5" w:rsidRDefault="00CC25B5">
            <w:pPr>
              <w:rPr>
                <w:rFonts w:ascii="宋体"/>
              </w:rPr>
            </w:pPr>
          </w:p>
        </w:tc>
        <w:tc>
          <w:tcPr>
            <w:tcW w:w="26" w:type="pct"/>
            <w:shd w:val="clear" w:color="auto" w:fill="auto"/>
            <w:vAlign w:val="bottom"/>
          </w:tcPr>
          <w:p w14:paraId="442F7B61" w14:textId="77777777" w:rsidR="00CC25B5" w:rsidRDefault="00CC25B5">
            <w:pPr>
              <w:rPr>
                <w:rFonts w:ascii="宋体"/>
              </w:rPr>
            </w:pPr>
          </w:p>
        </w:tc>
        <w:tc>
          <w:tcPr>
            <w:tcW w:w="5" w:type="pct"/>
            <w:shd w:val="clear" w:color="auto" w:fill="auto"/>
            <w:vAlign w:val="bottom"/>
          </w:tcPr>
          <w:p w14:paraId="442F7B62" w14:textId="77777777" w:rsidR="00CC25B5" w:rsidRDefault="00CC25B5">
            <w:pPr>
              <w:rPr>
                <w:rFonts w:ascii="宋体"/>
              </w:rPr>
            </w:pPr>
          </w:p>
        </w:tc>
        <w:tc>
          <w:tcPr>
            <w:tcW w:w="50" w:type="pct"/>
            <w:shd w:val="clear" w:color="auto" w:fill="auto"/>
            <w:vAlign w:val="bottom"/>
          </w:tcPr>
          <w:p w14:paraId="442F7B63" w14:textId="77777777" w:rsidR="00CC25B5" w:rsidRDefault="00CC25B5">
            <w:pPr>
              <w:rPr>
                <w:rFonts w:ascii="宋体"/>
              </w:rPr>
            </w:pPr>
          </w:p>
        </w:tc>
        <w:tc>
          <w:tcPr>
            <w:tcW w:w="383" w:type="pct"/>
            <w:shd w:val="clear" w:color="auto" w:fill="auto"/>
            <w:vAlign w:val="bottom"/>
          </w:tcPr>
          <w:p w14:paraId="442F7B64" w14:textId="77777777" w:rsidR="00CC25B5" w:rsidRDefault="00CC25B5">
            <w:pPr>
              <w:rPr>
                <w:rFonts w:ascii="宋体"/>
              </w:rPr>
            </w:pPr>
          </w:p>
        </w:tc>
        <w:tc>
          <w:tcPr>
            <w:tcW w:w="5" w:type="pct"/>
            <w:shd w:val="clear" w:color="auto" w:fill="auto"/>
            <w:vAlign w:val="bottom"/>
          </w:tcPr>
          <w:p w14:paraId="442F7B65" w14:textId="77777777" w:rsidR="00CC25B5" w:rsidRDefault="00CC25B5">
            <w:pPr>
              <w:rPr>
                <w:rFonts w:ascii="宋体"/>
              </w:rPr>
            </w:pPr>
          </w:p>
        </w:tc>
        <w:tc>
          <w:tcPr>
            <w:tcW w:w="5" w:type="pct"/>
            <w:shd w:val="clear" w:color="auto" w:fill="auto"/>
            <w:vAlign w:val="bottom"/>
          </w:tcPr>
          <w:p w14:paraId="442F7B66" w14:textId="77777777" w:rsidR="00CC25B5" w:rsidRDefault="00CC25B5">
            <w:pPr>
              <w:rPr>
                <w:rFonts w:ascii="宋体"/>
              </w:rPr>
            </w:pPr>
          </w:p>
        </w:tc>
        <w:tc>
          <w:tcPr>
            <w:tcW w:w="26" w:type="pct"/>
            <w:shd w:val="clear" w:color="auto" w:fill="auto"/>
            <w:vAlign w:val="bottom"/>
          </w:tcPr>
          <w:p w14:paraId="442F7B67" w14:textId="77777777" w:rsidR="00CC25B5" w:rsidRDefault="00CC25B5">
            <w:pPr>
              <w:rPr>
                <w:rFonts w:ascii="宋体"/>
              </w:rPr>
            </w:pPr>
          </w:p>
        </w:tc>
        <w:tc>
          <w:tcPr>
            <w:tcW w:w="5" w:type="pct"/>
            <w:shd w:val="clear" w:color="auto" w:fill="auto"/>
            <w:vAlign w:val="bottom"/>
          </w:tcPr>
          <w:p w14:paraId="442F7B68" w14:textId="77777777" w:rsidR="00CC25B5" w:rsidRDefault="00CC25B5">
            <w:pPr>
              <w:rPr>
                <w:rFonts w:ascii="宋体"/>
              </w:rPr>
            </w:pPr>
          </w:p>
        </w:tc>
        <w:tc>
          <w:tcPr>
            <w:tcW w:w="50" w:type="pct"/>
            <w:shd w:val="clear" w:color="auto" w:fill="auto"/>
            <w:vAlign w:val="bottom"/>
          </w:tcPr>
          <w:p w14:paraId="442F7B69" w14:textId="77777777" w:rsidR="00CC25B5" w:rsidRDefault="00CC25B5">
            <w:pPr>
              <w:rPr>
                <w:rFonts w:ascii="宋体"/>
              </w:rPr>
            </w:pPr>
          </w:p>
        </w:tc>
        <w:tc>
          <w:tcPr>
            <w:tcW w:w="383" w:type="pct"/>
            <w:shd w:val="clear" w:color="auto" w:fill="auto"/>
            <w:vAlign w:val="bottom"/>
          </w:tcPr>
          <w:p w14:paraId="442F7B6A" w14:textId="77777777" w:rsidR="00CC25B5" w:rsidRDefault="00CC25B5">
            <w:pPr>
              <w:rPr>
                <w:rFonts w:ascii="宋体"/>
              </w:rPr>
            </w:pPr>
          </w:p>
        </w:tc>
        <w:tc>
          <w:tcPr>
            <w:tcW w:w="5" w:type="pct"/>
            <w:shd w:val="clear" w:color="auto" w:fill="auto"/>
            <w:vAlign w:val="bottom"/>
          </w:tcPr>
          <w:p w14:paraId="442F7B6B" w14:textId="77777777" w:rsidR="00CC25B5" w:rsidRDefault="00CC25B5">
            <w:pPr>
              <w:rPr>
                <w:rFonts w:ascii="宋体"/>
              </w:rPr>
            </w:pPr>
          </w:p>
        </w:tc>
        <w:tc>
          <w:tcPr>
            <w:tcW w:w="5" w:type="pct"/>
            <w:shd w:val="clear" w:color="auto" w:fill="auto"/>
            <w:vAlign w:val="bottom"/>
          </w:tcPr>
          <w:p w14:paraId="442F7B6C" w14:textId="77777777" w:rsidR="00CC25B5" w:rsidRDefault="00CC25B5">
            <w:pPr>
              <w:rPr>
                <w:rFonts w:ascii="宋体"/>
              </w:rPr>
            </w:pPr>
          </w:p>
        </w:tc>
        <w:tc>
          <w:tcPr>
            <w:tcW w:w="26" w:type="pct"/>
            <w:shd w:val="clear" w:color="auto" w:fill="auto"/>
            <w:vAlign w:val="bottom"/>
          </w:tcPr>
          <w:p w14:paraId="442F7B6D" w14:textId="77777777" w:rsidR="00CC25B5" w:rsidRDefault="00CC25B5">
            <w:pPr>
              <w:rPr>
                <w:rFonts w:ascii="宋体"/>
              </w:rPr>
            </w:pPr>
          </w:p>
        </w:tc>
        <w:tc>
          <w:tcPr>
            <w:tcW w:w="5" w:type="pct"/>
            <w:shd w:val="clear" w:color="auto" w:fill="auto"/>
            <w:vAlign w:val="bottom"/>
          </w:tcPr>
          <w:p w14:paraId="442F7B6E" w14:textId="77777777" w:rsidR="00CC25B5" w:rsidRDefault="00CC25B5">
            <w:pPr>
              <w:rPr>
                <w:rFonts w:ascii="宋体"/>
              </w:rPr>
            </w:pPr>
          </w:p>
        </w:tc>
        <w:tc>
          <w:tcPr>
            <w:tcW w:w="50" w:type="pct"/>
            <w:shd w:val="clear" w:color="auto" w:fill="auto"/>
            <w:vAlign w:val="bottom"/>
          </w:tcPr>
          <w:p w14:paraId="442F7B6F" w14:textId="77777777" w:rsidR="00CC25B5" w:rsidRDefault="00CC25B5">
            <w:pPr>
              <w:rPr>
                <w:rFonts w:ascii="宋体"/>
              </w:rPr>
            </w:pPr>
          </w:p>
        </w:tc>
        <w:tc>
          <w:tcPr>
            <w:tcW w:w="383" w:type="pct"/>
            <w:shd w:val="clear" w:color="auto" w:fill="auto"/>
            <w:vAlign w:val="bottom"/>
          </w:tcPr>
          <w:p w14:paraId="442F7B70" w14:textId="77777777" w:rsidR="00CC25B5" w:rsidRDefault="00CC25B5">
            <w:pPr>
              <w:rPr>
                <w:rFonts w:ascii="宋体"/>
              </w:rPr>
            </w:pPr>
          </w:p>
        </w:tc>
        <w:tc>
          <w:tcPr>
            <w:tcW w:w="5" w:type="pct"/>
            <w:shd w:val="clear" w:color="auto" w:fill="auto"/>
            <w:vAlign w:val="bottom"/>
          </w:tcPr>
          <w:p w14:paraId="442F7B71" w14:textId="77777777" w:rsidR="00CC25B5" w:rsidRDefault="00CC25B5">
            <w:pPr>
              <w:rPr>
                <w:rFonts w:ascii="宋体"/>
              </w:rPr>
            </w:pPr>
          </w:p>
        </w:tc>
        <w:tc>
          <w:tcPr>
            <w:tcW w:w="5" w:type="pct"/>
            <w:shd w:val="clear" w:color="auto" w:fill="auto"/>
            <w:vAlign w:val="bottom"/>
          </w:tcPr>
          <w:p w14:paraId="442F7B72" w14:textId="77777777" w:rsidR="00CC25B5" w:rsidRDefault="00CC25B5">
            <w:pPr>
              <w:rPr>
                <w:rFonts w:ascii="宋体"/>
              </w:rPr>
            </w:pPr>
          </w:p>
        </w:tc>
        <w:tc>
          <w:tcPr>
            <w:tcW w:w="26" w:type="pct"/>
            <w:shd w:val="clear" w:color="auto" w:fill="auto"/>
            <w:vAlign w:val="bottom"/>
          </w:tcPr>
          <w:p w14:paraId="442F7B73" w14:textId="77777777" w:rsidR="00CC25B5" w:rsidRDefault="00CC25B5">
            <w:pPr>
              <w:rPr>
                <w:rFonts w:ascii="宋体"/>
              </w:rPr>
            </w:pPr>
          </w:p>
        </w:tc>
        <w:tc>
          <w:tcPr>
            <w:tcW w:w="5" w:type="pct"/>
            <w:shd w:val="clear" w:color="auto" w:fill="auto"/>
            <w:vAlign w:val="bottom"/>
          </w:tcPr>
          <w:p w14:paraId="442F7B74" w14:textId="77777777" w:rsidR="00CC25B5" w:rsidRDefault="00CC25B5">
            <w:pPr>
              <w:rPr>
                <w:rFonts w:ascii="宋体"/>
              </w:rPr>
            </w:pPr>
          </w:p>
        </w:tc>
        <w:tc>
          <w:tcPr>
            <w:tcW w:w="50" w:type="pct"/>
            <w:shd w:val="clear" w:color="auto" w:fill="auto"/>
            <w:vAlign w:val="bottom"/>
          </w:tcPr>
          <w:p w14:paraId="442F7B75" w14:textId="77777777" w:rsidR="00CC25B5" w:rsidRDefault="00CC25B5">
            <w:pPr>
              <w:rPr>
                <w:rFonts w:ascii="宋体"/>
              </w:rPr>
            </w:pPr>
          </w:p>
        </w:tc>
        <w:tc>
          <w:tcPr>
            <w:tcW w:w="383" w:type="pct"/>
            <w:shd w:val="clear" w:color="auto" w:fill="auto"/>
            <w:vAlign w:val="bottom"/>
          </w:tcPr>
          <w:p w14:paraId="442F7B76" w14:textId="77777777" w:rsidR="00CC25B5" w:rsidRDefault="00CC25B5">
            <w:pPr>
              <w:rPr>
                <w:rFonts w:ascii="宋体"/>
              </w:rPr>
            </w:pPr>
          </w:p>
        </w:tc>
        <w:tc>
          <w:tcPr>
            <w:tcW w:w="5" w:type="pct"/>
            <w:shd w:val="clear" w:color="auto" w:fill="auto"/>
            <w:vAlign w:val="bottom"/>
          </w:tcPr>
          <w:p w14:paraId="442F7B77" w14:textId="77777777" w:rsidR="00CC25B5" w:rsidRDefault="00CC25B5">
            <w:pPr>
              <w:rPr>
                <w:rFonts w:ascii="宋体"/>
              </w:rPr>
            </w:pPr>
          </w:p>
        </w:tc>
        <w:tc>
          <w:tcPr>
            <w:tcW w:w="5" w:type="pct"/>
            <w:shd w:val="clear" w:color="auto" w:fill="auto"/>
            <w:vAlign w:val="bottom"/>
          </w:tcPr>
          <w:p w14:paraId="442F7B78" w14:textId="77777777" w:rsidR="00CC25B5" w:rsidRDefault="00CC25B5">
            <w:pPr>
              <w:rPr>
                <w:rFonts w:ascii="宋体"/>
              </w:rPr>
            </w:pPr>
          </w:p>
        </w:tc>
        <w:tc>
          <w:tcPr>
            <w:tcW w:w="26" w:type="pct"/>
            <w:shd w:val="clear" w:color="auto" w:fill="auto"/>
            <w:vAlign w:val="bottom"/>
          </w:tcPr>
          <w:p w14:paraId="442F7B79" w14:textId="77777777" w:rsidR="00CC25B5" w:rsidRDefault="00CC25B5">
            <w:pPr>
              <w:rPr>
                <w:rFonts w:ascii="宋体"/>
              </w:rPr>
            </w:pPr>
          </w:p>
        </w:tc>
        <w:tc>
          <w:tcPr>
            <w:tcW w:w="5" w:type="pct"/>
            <w:shd w:val="clear" w:color="auto" w:fill="auto"/>
            <w:vAlign w:val="bottom"/>
          </w:tcPr>
          <w:p w14:paraId="442F7B7A" w14:textId="77777777" w:rsidR="00CC25B5" w:rsidRDefault="00CC25B5">
            <w:pPr>
              <w:rPr>
                <w:rFonts w:ascii="宋体"/>
              </w:rPr>
            </w:pPr>
          </w:p>
        </w:tc>
        <w:tc>
          <w:tcPr>
            <w:tcW w:w="50" w:type="pct"/>
            <w:shd w:val="clear" w:color="auto" w:fill="auto"/>
            <w:vAlign w:val="bottom"/>
          </w:tcPr>
          <w:p w14:paraId="442F7B7B" w14:textId="77777777" w:rsidR="00CC25B5" w:rsidRDefault="00CC25B5">
            <w:pPr>
              <w:rPr>
                <w:rFonts w:ascii="宋体"/>
              </w:rPr>
            </w:pPr>
          </w:p>
        </w:tc>
        <w:tc>
          <w:tcPr>
            <w:tcW w:w="383" w:type="pct"/>
            <w:shd w:val="clear" w:color="auto" w:fill="auto"/>
            <w:vAlign w:val="bottom"/>
          </w:tcPr>
          <w:p w14:paraId="442F7B7C" w14:textId="77777777" w:rsidR="00CC25B5" w:rsidRDefault="00CC25B5">
            <w:pPr>
              <w:rPr>
                <w:rFonts w:ascii="宋体"/>
              </w:rPr>
            </w:pPr>
          </w:p>
        </w:tc>
        <w:tc>
          <w:tcPr>
            <w:tcW w:w="5" w:type="pct"/>
            <w:shd w:val="clear" w:color="auto" w:fill="auto"/>
            <w:vAlign w:val="bottom"/>
          </w:tcPr>
          <w:p w14:paraId="442F7B7D" w14:textId="77777777" w:rsidR="00CC25B5" w:rsidRDefault="00CC25B5">
            <w:pPr>
              <w:rPr>
                <w:rFonts w:ascii="宋体"/>
              </w:rPr>
            </w:pPr>
          </w:p>
        </w:tc>
        <w:tc>
          <w:tcPr>
            <w:tcW w:w="5" w:type="pct"/>
            <w:shd w:val="clear" w:color="auto" w:fill="auto"/>
            <w:vAlign w:val="bottom"/>
          </w:tcPr>
          <w:p w14:paraId="442F7B7E" w14:textId="77777777" w:rsidR="00CC25B5" w:rsidRDefault="00CC25B5">
            <w:pPr>
              <w:rPr>
                <w:rFonts w:ascii="宋体"/>
              </w:rPr>
            </w:pPr>
          </w:p>
        </w:tc>
        <w:tc>
          <w:tcPr>
            <w:tcW w:w="26" w:type="pct"/>
            <w:shd w:val="clear" w:color="auto" w:fill="auto"/>
            <w:vAlign w:val="bottom"/>
          </w:tcPr>
          <w:p w14:paraId="442F7B7F" w14:textId="77777777" w:rsidR="00CC25B5" w:rsidRDefault="00CC25B5">
            <w:pPr>
              <w:rPr>
                <w:rFonts w:ascii="宋体"/>
              </w:rPr>
            </w:pPr>
          </w:p>
        </w:tc>
        <w:tc>
          <w:tcPr>
            <w:tcW w:w="5" w:type="pct"/>
            <w:shd w:val="clear" w:color="auto" w:fill="auto"/>
            <w:vAlign w:val="bottom"/>
          </w:tcPr>
          <w:p w14:paraId="442F7B80" w14:textId="77777777" w:rsidR="00CC25B5" w:rsidRDefault="00CC25B5">
            <w:pPr>
              <w:rPr>
                <w:rFonts w:ascii="宋体"/>
              </w:rPr>
            </w:pPr>
          </w:p>
        </w:tc>
        <w:tc>
          <w:tcPr>
            <w:tcW w:w="50" w:type="pct"/>
            <w:shd w:val="clear" w:color="auto" w:fill="auto"/>
            <w:vAlign w:val="bottom"/>
          </w:tcPr>
          <w:p w14:paraId="442F7B81" w14:textId="77777777" w:rsidR="00CC25B5" w:rsidRDefault="00CC25B5">
            <w:pPr>
              <w:rPr>
                <w:rFonts w:ascii="宋体"/>
              </w:rPr>
            </w:pPr>
          </w:p>
        </w:tc>
        <w:tc>
          <w:tcPr>
            <w:tcW w:w="383" w:type="pct"/>
            <w:shd w:val="clear" w:color="auto" w:fill="auto"/>
            <w:vAlign w:val="bottom"/>
          </w:tcPr>
          <w:p w14:paraId="442F7B82" w14:textId="77777777" w:rsidR="00CC25B5" w:rsidRDefault="00CC25B5">
            <w:pPr>
              <w:rPr>
                <w:rFonts w:ascii="宋体"/>
              </w:rPr>
            </w:pPr>
          </w:p>
        </w:tc>
        <w:tc>
          <w:tcPr>
            <w:tcW w:w="5" w:type="pct"/>
            <w:shd w:val="clear" w:color="auto" w:fill="auto"/>
            <w:vAlign w:val="bottom"/>
          </w:tcPr>
          <w:p w14:paraId="442F7B83" w14:textId="77777777" w:rsidR="00CC25B5" w:rsidRDefault="00CC25B5">
            <w:pPr>
              <w:rPr>
                <w:rFonts w:ascii="宋体"/>
              </w:rPr>
            </w:pPr>
          </w:p>
        </w:tc>
        <w:tc>
          <w:tcPr>
            <w:tcW w:w="5" w:type="pct"/>
            <w:shd w:val="clear" w:color="auto" w:fill="auto"/>
            <w:vAlign w:val="bottom"/>
          </w:tcPr>
          <w:p w14:paraId="442F7B84" w14:textId="77777777" w:rsidR="00CC25B5" w:rsidRDefault="00CC25B5">
            <w:pPr>
              <w:rPr>
                <w:rFonts w:ascii="宋体"/>
              </w:rPr>
            </w:pPr>
          </w:p>
        </w:tc>
        <w:tc>
          <w:tcPr>
            <w:tcW w:w="26" w:type="pct"/>
            <w:shd w:val="clear" w:color="auto" w:fill="auto"/>
            <w:vAlign w:val="bottom"/>
          </w:tcPr>
          <w:p w14:paraId="442F7B85" w14:textId="77777777" w:rsidR="00CC25B5" w:rsidRDefault="00CC25B5">
            <w:pPr>
              <w:rPr>
                <w:rFonts w:ascii="宋体"/>
              </w:rPr>
            </w:pPr>
          </w:p>
        </w:tc>
        <w:tc>
          <w:tcPr>
            <w:tcW w:w="5" w:type="pct"/>
            <w:shd w:val="clear" w:color="auto" w:fill="auto"/>
            <w:vAlign w:val="bottom"/>
          </w:tcPr>
          <w:p w14:paraId="442F7B86" w14:textId="77777777" w:rsidR="00CC25B5" w:rsidRDefault="00CC25B5">
            <w:pPr>
              <w:rPr>
                <w:rFonts w:ascii="宋体"/>
              </w:rPr>
            </w:pPr>
          </w:p>
        </w:tc>
        <w:tc>
          <w:tcPr>
            <w:tcW w:w="50" w:type="pct"/>
            <w:shd w:val="clear" w:color="auto" w:fill="auto"/>
            <w:vAlign w:val="bottom"/>
          </w:tcPr>
          <w:p w14:paraId="442F7B87" w14:textId="77777777" w:rsidR="00CC25B5" w:rsidRDefault="00CC25B5">
            <w:pPr>
              <w:rPr>
                <w:rFonts w:ascii="宋体"/>
              </w:rPr>
            </w:pPr>
          </w:p>
        </w:tc>
        <w:tc>
          <w:tcPr>
            <w:tcW w:w="384" w:type="pct"/>
            <w:shd w:val="clear" w:color="auto" w:fill="auto"/>
            <w:vAlign w:val="bottom"/>
          </w:tcPr>
          <w:p w14:paraId="442F7B88" w14:textId="77777777" w:rsidR="00CC25B5" w:rsidRDefault="00CC25B5">
            <w:pPr>
              <w:rPr>
                <w:rFonts w:ascii="宋体"/>
              </w:rPr>
            </w:pPr>
          </w:p>
        </w:tc>
        <w:tc>
          <w:tcPr>
            <w:tcW w:w="5" w:type="pct"/>
            <w:shd w:val="clear" w:color="auto" w:fill="auto"/>
            <w:vAlign w:val="bottom"/>
          </w:tcPr>
          <w:p w14:paraId="442F7B89" w14:textId="77777777" w:rsidR="00CC25B5" w:rsidRDefault="00CC25B5">
            <w:pPr>
              <w:rPr>
                <w:rFonts w:ascii="宋体"/>
              </w:rPr>
            </w:pPr>
          </w:p>
        </w:tc>
      </w:tr>
      <w:tr w:rsidR="00CC25B5" w14:paraId="442F7B90" w14:textId="77777777">
        <w:trPr>
          <w:jc w:val="center"/>
        </w:trPr>
        <w:tc>
          <w:tcPr>
            <w:tcW w:w="0" w:type="auto"/>
            <w:gridSpan w:val="3"/>
            <w:shd w:val="clear" w:color="auto" w:fill="auto"/>
            <w:tcMar>
              <w:top w:w="40" w:type="dxa"/>
              <w:left w:w="20" w:type="dxa"/>
              <w:bottom w:w="40" w:type="dxa"/>
              <w:right w:w="20" w:type="dxa"/>
            </w:tcMar>
            <w:vAlign w:val="center"/>
          </w:tcPr>
          <w:p w14:paraId="442F7B8B"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B8C" w14:textId="77777777" w:rsidR="00CC25B5" w:rsidRDefault="00CC25B5">
            <w:pPr>
              <w:rPr>
                <w:rFonts w:ascii="宋体"/>
              </w:rPr>
            </w:pPr>
          </w:p>
        </w:tc>
        <w:tc>
          <w:tcPr>
            <w:tcW w:w="0" w:type="auto"/>
            <w:gridSpan w:val="21"/>
            <w:shd w:val="clear" w:color="auto" w:fill="auto"/>
            <w:tcMar>
              <w:top w:w="40" w:type="dxa"/>
              <w:left w:w="20" w:type="dxa"/>
              <w:bottom w:w="40" w:type="dxa"/>
              <w:right w:w="20" w:type="dxa"/>
            </w:tcMar>
            <w:vAlign w:val="center"/>
          </w:tcPr>
          <w:p w14:paraId="442F7B8D" w14:textId="77777777" w:rsidR="00CC25B5" w:rsidRDefault="00900968">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B8E" w14:textId="77777777" w:rsidR="00CC25B5" w:rsidRDefault="00CC25B5">
            <w:pPr>
              <w:rPr>
                <w:rFonts w:ascii="宋体"/>
              </w:rPr>
            </w:pPr>
          </w:p>
        </w:tc>
        <w:tc>
          <w:tcPr>
            <w:tcW w:w="0" w:type="auto"/>
            <w:gridSpan w:val="21"/>
            <w:shd w:val="clear" w:color="auto" w:fill="auto"/>
            <w:tcMar>
              <w:top w:w="40" w:type="dxa"/>
              <w:left w:w="20" w:type="dxa"/>
              <w:bottom w:w="40" w:type="dxa"/>
              <w:right w:w="20" w:type="dxa"/>
            </w:tcMar>
            <w:vAlign w:val="center"/>
          </w:tcPr>
          <w:p w14:paraId="442F7B8F" w14:textId="77777777" w:rsidR="00CC25B5" w:rsidRDefault="00900968">
            <w:pPr>
              <w:jc w:val="center"/>
              <w:textAlignment w:val="center"/>
            </w:pPr>
            <w:r>
              <w:rPr>
                <w:rFonts w:ascii="Times New Roman" w:eastAsia="宋体" w:hAnsi="Times New Roman"/>
                <w:b/>
                <w:bCs/>
                <w:color w:val="000000"/>
                <w:sz w:val="16"/>
                <w:szCs w:val="16"/>
              </w:rPr>
              <w:t>Six Months Ended July 31,</w:t>
            </w:r>
          </w:p>
        </w:tc>
      </w:tr>
      <w:tr w:rsidR="00CC25B5" w14:paraId="442F7BA2" w14:textId="77777777">
        <w:trPr>
          <w:jc w:val="center"/>
        </w:trPr>
        <w:tc>
          <w:tcPr>
            <w:tcW w:w="0" w:type="auto"/>
            <w:gridSpan w:val="3"/>
            <w:shd w:val="clear" w:color="auto" w:fill="auto"/>
            <w:tcMar>
              <w:top w:w="40" w:type="dxa"/>
              <w:left w:w="20" w:type="dxa"/>
              <w:bottom w:w="40" w:type="dxa"/>
              <w:right w:w="20" w:type="dxa"/>
            </w:tcMar>
            <w:vAlign w:val="center"/>
          </w:tcPr>
          <w:p w14:paraId="442F7B91"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B92"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7B93"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B94" w14:textId="77777777" w:rsidR="00CC25B5" w:rsidRDefault="00CC25B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42F7B95"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B96"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7B97"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B98" w14:textId="77777777" w:rsidR="00CC25B5" w:rsidRDefault="00CC25B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42F7B99"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B9A"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7B9B"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B9C" w14:textId="77777777" w:rsidR="00CC25B5" w:rsidRDefault="00CC25B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42F7B9D"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B9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7B9F"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BA0" w14:textId="77777777" w:rsidR="00CC25B5" w:rsidRDefault="00CC25B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42F7BA1" w14:textId="77777777" w:rsidR="00CC25B5" w:rsidRDefault="00900968">
            <w:pPr>
              <w:jc w:val="center"/>
              <w:textAlignment w:val="center"/>
            </w:pPr>
            <w:r>
              <w:rPr>
                <w:rFonts w:ascii="Times New Roman" w:eastAsia="宋体" w:hAnsi="Times New Roman"/>
                <w:b/>
                <w:bCs/>
                <w:color w:val="000000"/>
                <w:sz w:val="16"/>
                <w:szCs w:val="16"/>
              </w:rPr>
              <w:t>2020</w:t>
            </w:r>
          </w:p>
        </w:tc>
      </w:tr>
      <w:tr w:rsidR="00CC25B5" w14:paraId="442F7BAC" w14:textId="77777777">
        <w:trPr>
          <w:jc w:val="center"/>
        </w:trPr>
        <w:tc>
          <w:tcPr>
            <w:tcW w:w="0" w:type="auto"/>
            <w:gridSpan w:val="3"/>
            <w:shd w:val="clear" w:color="auto" w:fill="auto"/>
            <w:tcMar>
              <w:top w:w="40" w:type="dxa"/>
              <w:left w:w="20" w:type="dxa"/>
              <w:bottom w:w="40" w:type="dxa"/>
              <w:right w:w="20" w:type="dxa"/>
            </w:tcMar>
            <w:vAlign w:val="center"/>
          </w:tcPr>
          <w:p w14:paraId="442F7BA3"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BA4" w14:textId="77777777" w:rsidR="00CC25B5" w:rsidRDefault="00CC25B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42F7BA5" w14:textId="77777777" w:rsidR="00CC25B5" w:rsidRDefault="00900968">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442F7BA6" w14:textId="77777777" w:rsidR="00CC25B5" w:rsidRDefault="00CC25B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42F7BA7" w14:textId="77777777" w:rsidR="00CC25B5" w:rsidRDefault="00900968">
            <w:pPr>
              <w:jc w:val="center"/>
              <w:textAlignment w:val="center"/>
            </w:pPr>
            <w:r>
              <w:rPr>
                <w:rFonts w:ascii="Times New Roman" w:eastAsia="宋体" w:hAnsi="Times New Roman"/>
                <w:b/>
                <w:bCs/>
                <w:color w:val="000000"/>
                <w:sz w:val="16"/>
                <w:szCs w:val="16"/>
              </w:rPr>
              <w:t>Fuel Impact</w:t>
            </w:r>
          </w:p>
        </w:tc>
        <w:tc>
          <w:tcPr>
            <w:tcW w:w="0" w:type="auto"/>
            <w:gridSpan w:val="3"/>
            <w:shd w:val="clear" w:color="auto" w:fill="auto"/>
            <w:tcMar>
              <w:top w:w="0" w:type="dxa"/>
              <w:left w:w="20" w:type="dxa"/>
              <w:bottom w:w="0" w:type="dxa"/>
              <w:right w:w="20" w:type="dxa"/>
            </w:tcMar>
            <w:vAlign w:val="bottom"/>
          </w:tcPr>
          <w:p w14:paraId="442F7BA8" w14:textId="77777777" w:rsidR="00CC25B5" w:rsidRDefault="00CC25B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42F7BA9" w14:textId="77777777" w:rsidR="00CC25B5" w:rsidRDefault="00900968">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442F7BAA" w14:textId="77777777" w:rsidR="00CC25B5" w:rsidRDefault="00CC25B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42F7BAB" w14:textId="77777777" w:rsidR="00CC25B5" w:rsidRDefault="00900968">
            <w:pPr>
              <w:jc w:val="center"/>
              <w:textAlignment w:val="center"/>
            </w:pPr>
            <w:r>
              <w:rPr>
                <w:rFonts w:ascii="Times New Roman" w:eastAsia="宋体" w:hAnsi="Times New Roman"/>
                <w:b/>
                <w:bCs/>
                <w:color w:val="000000"/>
                <w:sz w:val="16"/>
                <w:szCs w:val="16"/>
              </w:rPr>
              <w:t>Fuel Impact</w:t>
            </w:r>
          </w:p>
        </w:tc>
      </w:tr>
      <w:tr w:rsidR="00CC25B5" w14:paraId="442F7BC6" w14:textId="77777777">
        <w:trPr>
          <w:jc w:val="center"/>
        </w:trPr>
        <w:tc>
          <w:tcPr>
            <w:tcW w:w="0" w:type="auto"/>
            <w:gridSpan w:val="3"/>
            <w:shd w:val="clear" w:color="auto" w:fill="CCEEFF"/>
            <w:tcMar>
              <w:top w:w="40" w:type="dxa"/>
              <w:left w:w="20" w:type="dxa"/>
              <w:bottom w:w="40" w:type="dxa"/>
              <w:right w:w="20" w:type="dxa"/>
            </w:tcMar>
            <w:vAlign w:val="center"/>
          </w:tcPr>
          <w:p w14:paraId="442F7BAD" w14:textId="77777777" w:rsidR="00CC25B5" w:rsidRDefault="00900968">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442F7BAE"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AF" w14:textId="77777777" w:rsidR="00CC25B5" w:rsidRDefault="00900968">
            <w:pPr>
              <w:jc w:val="right"/>
              <w:textAlignment w:val="center"/>
            </w:pPr>
            <w:r>
              <w:rPr>
                <w:rFonts w:ascii="Times New Roman" w:eastAsia="宋体" w:hAnsi="Times New Roman"/>
                <w:color w:val="000000"/>
                <w:sz w:val="16"/>
                <w:szCs w:val="16"/>
              </w:rPr>
              <w:t>5.4 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B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BB1"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B2" w14:textId="77777777" w:rsidR="00CC25B5" w:rsidRDefault="00900968">
            <w:pPr>
              <w:jc w:val="right"/>
              <w:textAlignment w:val="center"/>
            </w:pPr>
            <w:r>
              <w:rPr>
                <w:rFonts w:ascii="Times New Roman" w:eastAsia="宋体" w:hAnsi="Times New Roman"/>
                <w:color w:val="000000"/>
                <w:sz w:val="16"/>
                <w:szCs w:val="16"/>
              </w:rPr>
              <w:t>9.7 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B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B4"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B5" w14:textId="77777777" w:rsidR="00CC25B5" w:rsidRDefault="00900968">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B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BB7"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B8" w14:textId="77777777" w:rsidR="00CC25B5" w:rsidRDefault="00900968">
            <w:pPr>
              <w:jc w:val="right"/>
              <w:textAlignment w:val="center"/>
            </w:pPr>
            <w:r>
              <w:rPr>
                <w:rFonts w:ascii="Times New Roman" w:eastAsia="宋体" w:hAnsi="Times New Roman"/>
                <w:color w:val="000000"/>
                <w:sz w:val="16"/>
                <w:szCs w:val="16"/>
              </w:rPr>
              <w:t>(0.2)</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B9"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BA"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BB" w14:textId="77777777" w:rsidR="00CC25B5" w:rsidRDefault="00900968">
            <w:pPr>
              <w:jc w:val="right"/>
              <w:textAlignment w:val="center"/>
            </w:pPr>
            <w:r>
              <w:rPr>
                <w:rFonts w:ascii="Times New Roman" w:eastAsia="宋体" w:hAnsi="Times New Roman"/>
                <w:color w:val="000000"/>
                <w:sz w:val="16"/>
                <w:szCs w:val="16"/>
              </w:rPr>
              <w:t>5.4 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BC"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BBD"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BE" w14:textId="77777777" w:rsidR="00CC25B5" w:rsidRDefault="00900968">
            <w:pPr>
              <w:jc w:val="right"/>
              <w:textAlignment w:val="center"/>
            </w:pPr>
            <w:r>
              <w:rPr>
                <w:rFonts w:ascii="Times New Roman" w:eastAsia="宋体" w:hAnsi="Times New Roman"/>
                <w:color w:val="000000"/>
                <w:sz w:val="16"/>
                <w:szCs w:val="16"/>
              </w:rPr>
              <w:t>10.1 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BF"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C0"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C1" w14:textId="77777777" w:rsidR="00CC25B5" w:rsidRDefault="00900968">
            <w:pPr>
              <w:jc w:val="right"/>
              <w:textAlignment w:val="center"/>
            </w:pPr>
            <w:r>
              <w:rPr>
                <w:rFonts w:ascii="Times New Roman" w:eastAsia="宋体" w:hAnsi="Times New Roman"/>
                <w:color w:val="000000"/>
                <w:sz w:val="16"/>
                <w:szCs w:val="16"/>
              </w:rPr>
              <w:t>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C2"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F7BC3"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C4" w14:textId="77777777" w:rsidR="00CC25B5" w:rsidRDefault="00900968">
            <w:pPr>
              <w:jc w:val="right"/>
              <w:textAlignment w:val="center"/>
            </w:pPr>
            <w:r>
              <w:rPr>
                <w:rFonts w:ascii="Times New Roman" w:eastAsia="宋体" w:hAnsi="Times New Roman"/>
                <w:color w:val="000000"/>
                <w:sz w:val="16"/>
                <w:szCs w:val="16"/>
              </w:rPr>
              <w:t>(0.3)</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C5"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7BE0" w14:textId="77777777">
        <w:trPr>
          <w:jc w:val="center"/>
        </w:trPr>
        <w:tc>
          <w:tcPr>
            <w:tcW w:w="0" w:type="auto"/>
            <w:gridSpan w:val="3"/>
            <w:shd w:val="clear" w:color="auto" w:fill="FFFFFF"/>
            <w:tcMar>
              <w:top w:w="40" w:type="dxa"/>
              <w:left w:w="20" w:type="dxa"/>
              <w:bottom w:w="40" w:type="dxa"/>
              <w:right w:w="20" w:type="dxa"/>
            </w:tcMar>
            <w:vAlign w:val="center"/>
          </w:tcPr>
          <w:p w14:paraId="442F7BC7" w14:textId="77777777" w:rsidR="00CC25B5" w:rsidRDefault="00900968">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vAlign w:val="bottom"/>
          </w:tcPr>
          <w:p w14:paraId="442F7BC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C9" w14:textId="77777777" w:rsidR="00CC25B5" w:rsidRDefault="00900968">
            <w:pPr>
              <w:jc w:val="right"/>
              <w:textAlignment w:val="center"/>
            </w:pPr>
            <w:r>
              <w:rPr>
                <w:rFonts w:ascii="Times New Roman" w:eastAsia="宋体" w:hAnsi="Times New Roman"/>
                <w:color w:val="000000"/>
                <w:sz w:val="16"/>
                <w:szCs w:val="16"/>
              </w:rPr>
              <w:t>13.9 </w:t>
            </w:r>
          </w:p>
        </w:tc>
        <w:tc>
          <w:tcPr>
            <w:tcW w:w="0" w:type="auto"/>
            <w:shd w:val="clear" w:color="auto" w:fill="FFFFFF"/>
            <w:tcMar>
              <w:top w:w="40" w:type="dxa"/>
              <w:left w:w="0" w:type="dxa"/>
              <w:bottom w:w="40" w:type="dxa"/>
              <w:right w:w="20" w:type="dxa"/>
            </w:tcMar>
            <w:vAlign w:val="center"/>
          </w:tcPr>
          <w:p w14:paraId="442F7BC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C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CC" w14:textId="77777777" w:rsidR="00CC25B5" w:rsidRDefault="00900968">
            <w:pPr>
              <w:jc w:val="right"/>
              <w:textAlignment w:val="center"/>
            </w:pPr>
            <w:r>
              <w:rPr>
                <w:rFonts w:ascii="Times New Roman" w:eastAsia="宋体" w:hAnsi="Times New Roman"/>
                <w:color w:val="000000"/>
                <w:sz w:val="16"/>
                <w:szCs w:val="16"/>
              </w:rPr>
              <w:t>8.8 </w:t>
            </w:r>
          </w:p>
        </w:tc>
        <w:tc>
          <w:tcPr>
            <w:tcW w:w="0" w:type="auto"/>
            <w:shd w:val="clear" w:color="auto" w:fill="FFFFFF"/>
            <w:tcMar>
              <w:top w:w="40" w:type="dxa"/>
              <w:left w:w="0" w:type="dxa"/>
              <w:bottom w:w="40" w:type="dxa"/>
              <w:right w:w="20" w:type="dxa"/>
            </w:tcMar>
            <w:vAlign w:val="center"/>
          </w:tcPr>
          <w:p w14:paraId="442F7BCD"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C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CF" w14:textId="77777777" w:rsidR="00CC25B5" w:rsidRDefault="00900968">
            <w:pPr>
              <w:jc w:val="right"/>
              <w:textAlignment w:val="center"/>
            </w:pPr>
            <w:r>
              <w:rPr>
                <w:rFonts w:ascii="Times New Roman" w:eastAsia="宋体" w:hAnsi="Times New Roman"/>
                <w:color w:val="000000"/>
                <w:sz w:val="16"/>
                <w:szCs w:val="16"/>
              </w:rPr>
              <w:t>6.2 </w:t>
            </w:r>
          </w:p>
        </w:tc>
        <w:tc>
          <w:tcPr>
            <w:tcW w:w="0" w:type="auto"/>
            <w:shd w:val="clear" w:color="auto" w:fill="FFFFFF"/>
            <w:tcMar>
              <w:top w:w="40" w:type="dxa"/>
              <w:left w:w="0" w:type="dxa"/>
              <w:bottom w:w="40" w:type="dxa"/>
              <w:right w:w="20" w:type="dxa"/>
            </w:tcMar>
            <w:vAlign w:val="center"/>
          </w:tcPr>
          <w:p w14:paraId="442F7BD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D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D2" w14:textId="77777777" w:rsidR="00CC25B5" w:rsidRDefault="00900968">
            <w:pPr>
              <w:jc w:val="right"/>
              <w:textAlignment w:val="center"/>
            </w:pPr>
            <w:r>
              <w:rPr>
                <w:rFonts w:ascii="Times New Roman" w:eastAsia="宋体" w:hAnsi="Times New Roman"/>
                <w:color w:val="000000"/>
                <w:sz w:val="16"/>
                <w:szCs w:val="16"/>
              </w:rPr>
              <w:t>(4.7)</w:t>
            </w:r>
          </w:p>
        </w:tc>
        <w:tc>
          <w:tcPr>
            <w:tcW w:w="0" w:type="auto"/>
            <w:shd w:val="clear" w:color="auto" w:fill="FFFFFF"/>
            <w:tcMar>
              <w:top w:w="40" w:type="dxa"/>
              <w:left w:w="0" w:type="dxa"/>
              <w:bottom w:w="40" w:type="dxa"/>
              <w:right w:w="20" w:type="dxa"/>
            </w:tcMar>
            <w:vAlign w:val="center"/>
          </w:tcPr>
          <w:p w14:paraId="442F7BD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D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D5" w14:textId="77777777" w:rsidR="00CC25B5" w:rsidRDefault="00900968">
            <w:pPr>
              <w:jc w:val="right"/>
              <w:textAlignment w:val="center"/>
            </w:pPr>
            <w:r>
              <w:rPr>
                <w:rFonts w:ascii="Times New Roman" w:eastAsia="宋体" w:hAnsi="Times New Roman"/>
                <w:color w:val="000000"/>
                <w:sz w:val="16"/>
                <w:szCs w:val="16"/>
              </w:rPr>
              <w:t>12.0 </w:t>
            </w:r>
          </w:p>
        </w:tc>
        <w:tc>
          <w:tcPr>
            <w:tcW w:w="0" w:type="auto"/>
            <w:shd w:val="clear" w:color="auto" w:fill="FFFFFF"/>
            <w:tcMar>
              <w:top w:w="40" w:type="dxa"/>
              <w:left w:w="0" w:type="dxa"/>
              <w:bottom w:w="40" w:type="dxa"/>
              <w:right w:w="20" w:type="dxa"/>
            </w:tcMar>
            <w:vAlign w:val="center"/>
          </w:tcPr>
          <w:p w14:paraId="442F7BD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D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D8" w14:textId="77777777" w:rsidR="00CC25B5" w:rsidRDefault="00900968">
            <w:pPr>
              <w:jc w:val="right"/>
              <w:textAlignment w:val="center"/>
            </w:pPr>
            <w:r>
              <w:rPr>
                <w:rFonts w:ascii="Times New Roman" w:eastAsia="宋体" w:hAnsi="Times New Roman"/>
                <w:color w:val="000000"/>
                <w:sz w:val="16"/>
                <w:szCs w:val="16"/>
              </w:rPr>
              <w:t>9.2 </w:t>
            </w:r>
          </w:p>
        </w:tc>
        <w:tc>
          <w:tcPr>
            <w:tcW w:w="0" w:type="auto"/>
            <w:shd w:val="clear" w:color="auto" w:fill="FFFFFF"/>
            <w:tcMar>
              <w:top w:w="40" w:type="dxa"/>
              <w:left w:w="0" w:type="dxa"/>
              <w:bottom w:w="40" w:type="dxa"/>
              <w:right w:w="20" w:type="dxa"/>
            </w:tcMar>
            <w:vAlign w:val="center"/>
          </w:tcPr>
          <w:p w14:paraId="442F7BD9"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D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DB" w14:textId="77777777" w:rsidR="00CC25B5" w:rsidRDefault="00900968">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442F7BDC"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BD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BDE" w14:textId="77777777" w:rsidR="00CC25B5" w:rsidRDefault="00900968">
            <w:pPr>
              <w:jc w:val="right"/>
              <w:textAlignment w:val="center"/>
            </w:pPr>
            <w:r>
              <w:rPr>
                <w:rFonts w:ascii="Times New Roman" w:eastAsia="宋体" w:hAnsi="Times New Roman"/>
                <w:color w:val="000000"/>
                <w:sz w:val="16"/>
                <w:szCs w:val="16"/>
              </w:rPr>
              <w:t>(4.0)</w:t>
            </w:r>
          </w:p>
        </w:tc>
        <w:tc>
          <w:tcPr>
            <w:tcW w:w="0" w:type="auto"/>
            <w:shd w:val="clear" w:color="auto" w:fill="FFFFFF"/>
            <w:tcMar>
              <w:top w:w="40" w:type="dxa"/>
              <w:left w:w="0" w:type="dxa"/>
              <w:bottom w:w="40" w:type="dxa"/>
              <w:right w:w="20" w:type="dxa"/>
            </w:tcMar>
            <w:vAlign w:val="center"/>
          </w:tcPr>
          <w:p w14:paraId="442F7BDF"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7BFA" w14:textId="77777777">
        <w:trPr>
          <w:jc w:val="center"/>
        </w:trPr>
        <w:tc>
          <w:tcPr>
            <w:tcW w:w="0" w:type="auto"/>
            <w:gridSpan w:val="3"/>
            <w:shd w:val="clear" w:color="auto" w:fill="CCEEFF"/>
            <w:tcMar>
              <w:top w:w="40" w:type="dxa"/>
              <w:left w:w="20" w:type="dxa"/>
              <w:bottom w:w="40" w:type="dxa"/>
              <w:right w:w="20" w:type="dxa"/>
            </w:tcMar>
            <w:vAlign w:val="center"/>
          </w:tcPr>
          <w:p w14:paraId="442F7BE1" w14:textId="77777777" w:rsidR="00CC25B5" w:rsidRDefault="00900968">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vAlign w:val="bottom"/>
          </w:tcPr>
          <w:p w14:paraId="442F7BE2"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E3" w14:textId="77777777" w:rsidR="00CC25B5" w:rsidRDefault="00900968">
            <w:pPr>
              <w:jc w:val="right"/>
              <w:textAlignment w:val="center"/>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E4"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E5"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E6" w14:textId="77777777" w:rsidR="00CC25B5" w:rsidRDefault="00900968">
            <w:pPr>
              <w:jc w:val="right"/>
              <w:textAlignment w:val="center"/>
            </w:pPr>
            <w:r>
              <w:rPr>
                <w:rFonts w:ascii="Times New Roman" w:eastAsia="宋体" w:hAnsi="Times New Roman"/>
                <w:color w:val="000000"/>
                <w:sz w:val="16"/>
                <w:szCs w:val="16"/>
              </w:rPr>
              <w:t>9.6 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E7"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E8"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E9" w14:textId="77777777" w:rsidR="00CC25B5" w:rsidRDefault="00900968">
            <w:pPr>
              <w:jc w:val="right"/>
              <w:textAlignment w:val="center"/>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E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EB"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EC" w14:textId="77777777" w:rsidR="00CC25B5" w:rsidRDefault="00900968">
            <w:pPr>
              <w:jc w:val="right"/>
              <w:textAlignment w:val="center"/>
            </w:pPr>
            <w:r>
              <w:rPr>
                <w:rFonts w:ascii="Times New Roman" w:eastAsia="宋体" w:hAnsi="Times New Roman"/>
                <w:color w:val="000000"/>
                <w:sz w:val="16"/>
                <w:szCs w:val="16"/>
              </w:rPr>
              <w:t>(0.8)</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ED"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EE"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EF" w14:textId="77777777" w:rsidR="00CC25B5" w:rsidRDefault="00900968">
            <w:pPr>
              <w:jc w:val="right"/>
              <w:textAlignment w:val="center"/>
            </w:pPr>
            <w:r>
              <w:rPr>
                <w:rFonts w:ascii="Times New Roman" w:eastAsia="宋体" w:hAnsi="Times New Roman"/>
                <w:color w:val="000000"/>
                <w:sz w:val="16"/>
                <w:szCs w:val="16"/>
              </w:rPr>
              <w:t>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F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F1"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F2" w14:textId="77777777" w:rsidR="00CC25B5" w:rsidRDefault="00900968">
            <w:pPr>
              <w:jc w:val="right"/>
              <w:textAlignment w:val="center"/>
            </w:pPr>
            <w:r>
              <w:rPr>
                <w:rFonts w:ascii="Times New Roman" w:eastAsia="宋体" w:hAnsi="Times New Roman"/>
                <w:color w:val="000000"/>
                <w:sz w:val="16"/>
                <w:szCs w:val="16"/>
              </w:rPr>
              <w:t>10.0 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F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F4"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F5" w14:textId="77777777" w:rsidR="00CC25B5" w:rsidRDefault="00900968">
            <w:pPr>
              <w:jc w:val="right"/>
              <w:textAlignment w:val="center"/>
            </w:pPr>
            <w:r>
              <w:rPr>
                <w:rFonts w:ascii="Times New Roman" w:eastAsia="宋体" w:hAnsi="Times New Roman"/>
                <w:color w:val="000000"/>
                <w:sz w:val="16"/>
                <w:szCs w:val="16"/>
              </w:rPr>
              <w:t>1.1 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F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BF7"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7BF8" w14:textId="77777777" w:rsidR="00CC25B5" w:rsidRDefault="00900968">
            <w:pPr>
              <w:jc w:val="right"/>
              <w:textAlignment w:val="center"/>
            </w:pPr>
            <w:r>
              <w:rPr>
                <w:rFonts w:ascii="Times New Roman" w:eastAsia="宋体" w:hAnsi="Times New Roman"/>
                <w:color w:val="000000"/>
                <w:sz w:val="16"/>
                <w:szCs w:val="16"/>
              </w:rPr>
              <w:t>(0.7)</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BF9" w14:textId="77777777" w:rsidR="00CC25B5" w:rsidRDefault="00900968">
            <w:pPr>
              <w:jc w:val="right"/>
              <w:textAlignment w:val="center"/>
            </w:pPr>
            <w:r>
              <w:rPr>
                <w:rFonts w:ascii="Times New Roman" w:eastAsia="宋体" w:hAnsi="Times New Roman"/>
                <w:color w:val="000000"/>
                <w:sz w:val="16"/>
                <w:szCs w:val="16"/>
              </w:rPr>
              <w:t>%</w:t>
            </w:r>
          </w:p>
        </w:tc>
      </w:tr>
    </w:tbl>
    <w:p w14:paraId="442F7BFB" w14:textId="77777777" w:rsidR="00CC25B5" w:rsidRDefault="00900968">
      <w:pPr>
        <w:spacing w:before="80"/>
      </w:pPr>
      <w:r>
        <w:rPr>
          <w:rFonts w:ascii="Times New Roman" w:eastAsia="宋体" w:hAnsi="Times New Roman"/>
          <w:color w:val="000000"/>
          <w:sz w:val="20"/>
          <w:szCs w:val="20"/>
        </w:rPr>
        <w:t>Comparable sales in the U.S., including fuel, increased 6.7% and 6.4% for the three and six months ended July 31, 2021, respec</w:t>
      </w:r>
      <w:r>
        <w:rPr>
          <w:rFonts w:ascii="Times New Roman" w:eastAsia="宋体" w:hAnsi="Times New Roman"/>
          <w:color w:val="000000"/>
          <w:sz w:val="20"/>
          <w:szCs w:val="20"/>
        </w:rPr>
        <w:t xml:space="preserve">tively, when compared to the same period in the previous fiscal year. The Walmart U.S. segment had comparable sales growth of 5.4% for the three and six months ended July 31, 2021, driven by growth in average ticket during the first quarter of fiscal 2022 </w:t>
      </w:r>
      <w:r>
        <w:rPr>
          <w:rFonts w:ascii="Times New Roman" w:eastAsia="宋体" w:hAnsi="Times New Roman"/>
          <w:color w:val="000000"/>
          <w:sz w:val="20"/>
          <w:szCs w:val="20"/>
        </w:rPr>
        <w:t xml:space="preserve">primarily aided by stimulus spending while transactions decreased as customers consolidated shopping trips and purchased larger baskets. Transaction growth turned positive in April 2021 and continued with strong growth in the second quarter of fiscal 2022 </w:t>
      </w:r>
      <w:r>
        <w:rPr>
          <w:rFonts w:ascii="Times New Roman" w:eastAsia="宋体" w:hAnsi="Times New Roman"/>
          <w:color w:val="000000"/>
          <w:sz w:val="20"/>
          <w:szCs w:val="20"/>
        </w:rPr>
        <w:t xml:space="preserve">as customers started to return to pre-pandemic behaviors, partially offset by a decline in average ticket through the second quarter. The Walmart U.S. segment's eCommerce sales positively contributed approximately 0.3% and 1.9% to comparable sales for the </w:t>
      </w:r>
      <w:r>
        <w:rPr>
          <w:rFonts w:ascii="Times New Roman" w:eastAsia="宋体" w:hAnsi="Times New Roman"/>
          <w:color w:val="000000"/>
          <w:sz w:val="20"/>
          <w:szCs w:val="20"/>
        </w:rPr>
        <w:t xml:space="preserve">three and six months ended July 31, 2021, respectively, and was primarily driven by store pickup and delivery. </w:t>
      </w:r>
    </w:p>
    <w:p w14:paraId="442F7BFC" w14:textId="77777777" w:rsidR="00CC25B5" w:rsidRDefault="00900968">
      <w:pPr>
        <w:spacing w:before="100"/>
      </w:pPr>
      <w:r>
        <w:rPr>
          <w:rFonts w:ascii="Times New Roman" w:eastAsia="宋体" w:hAnsi="Times New Roman"/>
          <w:color w:val="000000"/>
          <w:sz w:val="20"/>
          <w:szCs w:val="20"/>
        </w:rPr>
        <w:t>Comparable sales at the Sam's Club segment increased 13.9% and 12.0% for the three and six months ended July 31, 2021, respectively. Growth in c</w:t>
      </w:r>
      <w:r>
        <w:rPr>
          <w:rFonts w:ascii="Times New Roman" w:eastAsia="宋体" w:hAnsi="Times New Roman"/>
          <w:color w:val="000000"/>
          <w:sz w:val="20"/>
          <w:szCs w:val="20"/>
        </w:rPr>
        <w:t xml:space="preserve">omparable sales benefited from growth in transactions and average ticket and was aided by stimulus </w:t>
      </w:r>
    </w:p>
    <w:p w14:paraId="442F7BFD" w14:textId="77777777" w:rsidR="00CC25B5" w:rsidRDefault="00900968">
      <w:pPr>
        <w:jc w:val="center"/>
      </w:pPr>
      <w:r>
        <w:rPr>
          <w:rFonts w:ascii="Times New Roman" w:eastAsia="宋体" w:hAnsi="Times New Roman"/>
          <w:color w:val="000000"/>
          <w:sz w:val="20"/>
          <w:szCs w:val="20"/>
        </w:rPr>
        <w:t>16</w:t>
      </w:r>
    </w:p>
    <w:p w14:paraId="442F7BFE" w14:textId="77777777" w:rsidR="00CC25B5" w:rsidRDefault="00900968">
      <w:r>
        <w:pict w14:anchorId="442F85D9">
          <v:rect id="_x0000_i1040" style="width:415.3pt;height:1.5pt" o:hralign="center" o:hrstd="t" o:hr="t" fillcolor="#a0a0a0" stroked="f"/>
        </w:pict>
      </w:r>
    </w:p>
    <w:p w14:paraId="442F7BFF" w14:textId="77777777" w:rsidR="00CC25B5" w:rsidRDefault="00900968">
      <w:hyperlink r:id="rId61" w:anchor="ie1710166881948a18c44f48eaa2dcf00_7"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442F7C00" w14:textId="77777777" w:rsidR="00CC25B5" w:rsidRDefault="00900968">
      <w:pPr>
        <w:spacing w:before="100"/>
      </w:pPr>
      <w:r>
        <w:rPr>
          <w:rFonts w:ascii="Times New Roman" w:eastAsia="宋体" w:hAnsi="Times New Roman"/>
          <w:color w:val="000000"/>
          <w:sz w:val="20"/>
          <w:szCs w:val="20"/>
        </w:rPr>
        <w:t>spending. The growth in comparable sales was partially offset by our decision to remove tobacco from certain club locations. The Sam's Club segment's eCommerce sales positively contributed approximately 1.1% and 1.9% to comparable sales for the three and s</w:t>
      </w:r>
      <w:r>
        <w:rPr>
          <w:rFonts w:ascii="Times New Roman" w:eastAsia="宋体" w:hAnsi="Times New Roman"/>
          <w:color w:val="000000"/>
          <w:sz w:val="20"/>
          <w:szCs w:val="20"/>
        </w:rPr>
        <w:t xml:space="preserve">ix months ended July 31, 2021, respectively. </w:t>
      </w:r>
    </w:p>
    <w:p w14:paraId="442F7C01" w14:textId="77777777" w:rsidR="00CC25B5" w:rsidRDefault="00900968">
      <w:pPr>
        <w:spacing w:before="180"/>
      </w:pPr>
      <w:r>
        <w:rPr>
          <w:rFonts w:ascii="Times New Roman" w:eastAsia="宋体" w:hAnsi="Times New Roman"/>
          <w:b/>
          <w:bCs/>
          <w:color w:val="000000"/>
          <w:sz w:val="20"/>
          <w:szCs w:val="20"/>
          <w:u w:val="single"/>
        </w:rPr>
        <w:t>Consistent Operating Discipline</w:t>
      </w:r>
    </w:p>
    <w:p w14:paraId="442F7C02" w14:textId="77777777" w:rsidR="00CC25B5" w:rsidRDefault="00900968">
      <w:pPr>
        <w:spacing w:before="100"/>
      </w:pPr>
      <w:r>
        <w:rPr>
          <w:rFonts w:ascii="Times New Roman" w:eastAsia="宋体" w:hAnsi="Times New Roman"/>
          <w:color w:val="000000"/>
          <w:sz w:val="20"/>
          <w:szCs w:val="20"/>
        </w:rPr>
        <w:t>We operate with discipline by managing expenses and optimizing the efficiency of how we work and creating an environment in which we have sustainable lowest cost to serve. We inv</w:t>
      </w:r>
      <w:r>
        <w:rPr>
          <w:rFonts w:ascii="Times New Roman" w:eastAsia="宋体" w:hAnsi="Times New Roman"/>
          <w:color w:val="000000"/>
          <w:sz w:val="20"/>
          <w:szCs w:val="20"/>
        </w:rPr>
        <w:t>est in technology and process improvements to increase productivity, manage inventory and reduce costs. We measure operating discipline through expense leverage, which we define as net sales growing at a faster rate than operating, selling, general and adm</w:t>
      </w:r>
      <w:r>
        <w:rPr>
          <w:rFonts w:ascii="Times New Roman" w:eastAsia="宋体" w:hAnsi="Times New Roman"/>
          <w:color w:val="000000"/>
          <w:sz w:val="20"/>
          <w:szCs w:val="20"/>
        </w:rPr>
        <w:t xml:space="preserve">inistrative ("operating") expenses.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82"/>
        <w:gridCol w:w="38"/>
        <w:gridCol w:w="36"/>
        <w:gridCol w:w="36"/>
        <w:gridCol w:w="36"/>
        <w:gridCol w:w="100"/>
        <w:gridCol w:w="576"/>
        <w:gridCol w:w="154"/>
        <w:gridCol w:w="36"/>
        <w:gridCol w:w="36"/>
        <w:gridCol w:w="36"/>
        <w:gridCol w:w="100"/>
        <w:gridCol w:w="601"/>
        <w:gridCol w:w="154"/>
        <w:gridCol w:w="36"/>
        <w:gridCol w:w="36"/>
        <w:gridCol w:w="36"/>
        <w:gridCol w:w="100"/>
        <w:gridCol w:w="626"/>
        <w:gridCol w:w="154"/>
        <w:gridCol w:w="36"/>
        <w:gridCol w:w="36"/>
        <w:gridCol w:w="36"/>
        <w:gridCol w:w="100"/>
        <w:gridCol w:w="626"/>
        <w:gridCol w:w="154"/>
      </w:tblGrid>
      <w:tr w:rsidR="00CC25B5" w14:paraId="442F7C1E" w14:textId="77777777">
        <w:trPr>
          <w:jc w:val="center"/>
        </w:trPr>
        <w:tc>
          <w:tcPr>
            <w:tcW w:w="50" w:type="pct"/>
            <w:shd w:val="clear" w:color="auto" w:fill="auto"/>
            <w:vAlign w:val="bottom"/>
          </w:tcPr>
          <w:p w14:paraId="442F7C03" w14:textId="77777777" w:rsidR="00CC25B5" w:rsidRDefault="00CC25B5">
            <w:pPr>
              <w:rPr>
                <w:rFonts w:ascii="宋体"/>
              </w:rPr>
            </w:pPr>
          </w:p>
        </w:tc>
        <w:tc>
          <w:tcPr>
            <w:tcW w:w="2708" w:type="pct"/>
            <w:shd w:val="clear" w:color="auto" w:fill="auto"/>
            <w:vAlign w:val="bottom"/>
          </w:tcPr>
          <w:p w14:paraId="442F7C04" w14:textId="77777777" w:rsidR="00CC25B5" w:rsidRDefault="00CC25B5">
            <w:pPr>
              <w:rPr>
                <w:rFonts w:ascii="宋体"/>
              </w:rPr>
            </w:pPr>
          </w:p>
        </w:tc>
        <w:tc>
          <w:tcPr>
            <w:tcW w:w="5" w:type="pct"/>
            <w:shd w:val="clear" w:color="auto" w:fill="auto"/>
            <w:vAlign w:val="bottom"/>
          </w:tcPr>
          <w:p w14:paraId="442F7C05" w14:textId="77777777" w:rsidR="00CC25B5" w:rsidRDefault="00CC25B5">
            <w:pPr>
              <w:rPr>
                <w:rFonts w:ascii="宋体"/>
              </w:rPr>
            </w:pPr>
          </w:p>
        </w:tc>
        <w:tc>
          <w:tcPr>
            <w:tcW w:w="5" w:type="pct"/>
            <w:shd w:val="clear" w:color="auto" w:fill="auto"/>
            <w:vAlign w:val="bottom"/>
          </w:tcPr>
          <w:p w14:paraId="442F7C06" w14:textId="77777777" w:rsidR="00CC25B5" w:rsidRDefault="00CC25B5">
            <w:pPr>
              <w:rPr>
                <w:rFonts w:ascii="宋体"/>
              </w:rPr>
            </w:pPr>
          </w:p>
        </w:tc>
        <w:tc>
          <w:tcPr>
            <w:tcW w:w="26" w:type="pct"/>
            <w:shd w:val="clear" w:color="auto" w:fill="auto"/>
            <w:vAlign w:val="bottom"/>
          </w:tcPr>
          <w:p w14:paraId="442F7C07" w14:textId="77777777" w:rsidR="00CC25B5" w:rsidRDefault="00CC25B5">
            <w:pPr>
              <w:rPr>
                <w:rFonts w:ascii="宋体"/>
              </w:rPr>
            </w:pPr>
          </w:p>
        </w:tc>
        <w:tc>
          <w:tcPr>
            <w:tcW w:w="5" w:type="pct"/>
            <w:shd w:val="clear" w:color="auto" w:fill="auto"/>
            <w:vAlign w:val="bottom"/>
          </w:tcPr>
          <w:p w14:paraId="442F7C08" w14:textId="77777777" w:rsidR="00CC25B5" w:rsidRDefault="00CC25B5">
            <w:pPr>
              <w:rPr>
                <w:rFonts w:ascii="宋体"/>
              </w:rPr>
            </w:pPr>
          </w:p>
        </w:tc>
        <w:tc>
          <w:tcPr>
            <w:tcW w:w="50" w:type="pct"/>
            <w:shd w:val="clear" w:color="auto" w:fill="auto"/>
            <w:vAlign w:val="bottom"/>
          </w:tcPr>
          <w:p w14:paraId="442F7C09" w14:textId="77777777" w:rsidR="00CC25B5" w:rsidRDefault="00CC25B5">
            <w:pPr>
              <w:rPr>
                <w:rFonts w:ascii="宋体"/>
              </w:rPr>
            </w:pPr>
          </w:p>
        </w:tc>
        <w:tc>
          <w:tcPr>
            <w:tcW w:w="449" w:type="pct"/>
            <w:shd w:val="clear" w:color="auto" w:fill="auto"/>
            <w:vAlign w:val="bottom"/>
          </w:tcPr>
          <w:p w14:paraId="442F7C0A" w14:textId="77777777" w:rsidR="00CC25B5" w:rsidRDefault="00CC25B5">
            <w:pPr>
              <w:rPr>
                <w:rFonts w:ascii="宋体"/>
              </w:rPr>
            </w:pPr>
          </w:p>
        </w:tc>
        <w:tc>
          <w:tcPr>
            <w:tcW w:w="5" w:type="pct"/>
            <w:shd w:val="clear" w:color="auto" w:fill="auto"/>
            <w:vAlign w:val="bottom"/>
          </w:tcPr>
          <w:p w14:paraId="442F7C0B" w14:textId="77777777" w:rsidR="00CC25B5" w:rsidRDefault="00CC25B5">
            <w:pPr>
              <w:rPr>
                <w:rFonts w:ascii="宋体"/>
              </w:rPr>
            </w:pPr>
          </w:p>
        </w:tc>
        <w:tc>
          <w:tcPr>
            <w:tcW w:w="5" w:type="pct"/>
            <w:shd w:val="clear" w:color="auto" w:fill="auto"/>
            <w:vAlign w:val="bottom"/>
          </w:tcPr>
          <w:p w14:paraId="442F7C0C" w14:textId="77777777" w:rsidR="00CC25B5" w:rsidRDefault="00CC25B5">
            <w:pPr>
              <w:rPr>
                <w:rFonts w:ascii="宋体"/>
              </w:rPr>
            </w:pPr>
          </w:p>
        </w:tc>
        <w:tc>
          <w:tcPr>
            <w:tcW w:w="41" w:type="pct"/>
            <w:shd w:val="clear" w:color="auto" w:fill="auto"/>
            <w:vAlign w:val="bottom"/>
          </w:tcPr>
          <w:p w14:paraId="442F7C0D" w14:textId="77777777" w:rsidR="00CC25B5" w:rsidRDefault="00CC25B5">
            <w:pPr>
              <w:rPr>
                <w:rFonts w:ascii="宋体"/>
              </w:rPr>
            </w:pPr>
          </w:p>
        </w:tc>
        <w:tc>
          <w:tcPr>
            <w:tcW w:w="5" w:type="pct"/>
            <w:shd w:val="clear" w:color="auto" w:fill="auto"/>
            <w:vAlign w:val="bottom"/>
          </w:tcPr>
          <w:p w14:paraId="442F7C0E" w14:textId="77777777" w:rsidR="00CC25B5" w:rsidRDefault="00CC25B5">
            <w:pPr>
              <w:rPr>
                <w:rFonts w:ascii="宋体"/>
              </w:rPr>
            </w:pPr>
          </w:p>
        </w:tc>
        <w:tc>
          <w:tcPr>
            <w:tcW w:w="50" w:type="pct"/>
            <w:shd w:val="clear" w:color="auto" w:fill="auto"/>
            <w:vAlign w:val="bottom"/>
          </w:tcPr>
          <w:p w14:paraId="442F7C0F" w14:textId="77777777" w:rsidR="00CC25B5" w:rsidRDefault="00CC25B5">
            <w:pPr>
              <w:rPr>
                <w:rFonts w:ascii="宋体"/>
              </w:rPr>
            </w:pPr>
          </w:p>
        </w:tc>
        <w:tc>
          <w:tcPr>
            <w:tcW w:w="449" w:type="pct"/>
            <w:shd w:val="clear" w:color="auto" w:fill="auto"/>
            <w:vAlign w:val="bottom"/>
          </w:tcPr>
          <w:p w14:paraId="442F7C10" w14:textId="77777777" w:rsidR="00CC25B5" w:rsidRDefault="00CC25B5">
            <w:pPr>
              <w:rPr>
                <w:rFonts w:ascii="宋体"/>
              </w:rPr>
            </w:pPr>
          </w:p>
        </w:tc>
        <w:tc>
          <w:tcPr>
            <w:tcW w:w="5" w:type="pct"/>
            <w:shd w:val="clear" w:color="auto" w:fill="auto"/>
            <w:vAlign w:val="bottom"/>
          </w:tcPr>
          <w:p w14:paraId="442F7C11" w14:textId="77777777" w:rsidR="00CC25B5" w:rsidRDefault="00CC25B5">
            <w:pPr>
              <w:rPr>
                <w:rFonts w:ascii="宋体"/>
              </w:rPr>
            </w:pPr>
          </w:p>
        </w:tc>
        <w:tc>
          <w:tcPr>
            <w:tcW w:w="5" w:type="pct"/>
            <w:shd w:val="clear" w:color="auto" w:fill="auto"/>
            <w:vAlign w:val="bottom"/>
          </w:tcPr>
          <w:p w14:paraId="442F7C12" w14:textId="77777777" w:rsidR="00CC25B5" w:rsidRDefault="00CC25B5">
            <w:pPr>
              <w:rPr>
                <w:rFonts w:ascii="宋体"/>
              </w:rPr>
            </w:pPr>
          </w:p>
        </w:tc>
        <w:tc>
          <w:tcPr>
            <w:tcW w:w="26" w:type="pct"/>
            <w:shd w:val="clear" w:color="auto" w:fill="auto"/>
            <w:vAlign w:val="bottom"/>
          </w:tcPr>
          <w:p w14:paraId="442F7C13" w14:textId="77777777" w:rsidR="00CC25B5" w:rsidRDefault="00CC25B5">
            <w:pPr>
              <w:rPr>
                <w:rFonts w:ascii="宋体"/>
              </w:rPr>
            </w:pPr>
          </w:p>
        </w:tc>
        <w:tc>
          <w:tcPr>
            <w:tcW w:w="5" w:type="pct"/>
            <w:shd w:val="clear" w:color="auto" w:fill="auto"/>
            <w:vAlign w:val="bottom"/>
          </w:tcPr>
          <w:p w14:paraId="442F7C14" w14:textId="77777777" w:rsidR="00CC25B5" w:rsidRDefault="00CC25B5">
            <w:pPr>
              <w:rPr>
                <w:rFonts w:ascii="宋体"/>
              </w:rPr>
            </w:pPr>
          </w:p>
        </w:tc>
        <w:tc>
          <w:tcPr>
            <w:tcW w:w="50" w:type="pct"/>
            <w:shd w:val="clear" w:color="auto" w:fill="auto"/>
            <w:vAlign w:val="bottom"/>
          </w:tcPr>
          <w:p w14:paraId="442F7C15" w14:textId="77777777" w:rsidR="00CC25B5" w:rsidRDefault="00CC25B5">
            <w:pPr>
              <w:rPr>
                <w:rFonts w:ascii="宋体"/>
              </w:rPr>
            </w:pPr>
          </w:p>
        </w:tc>
        <w:tc>
          <w:tcPr>
            <w:tcW w:w="478" w:type="pct"/>
            <w:shd w:val="clear" w:color="auto" w:fill="auto"/>
            <w:vAlign w:val="bottom"/>
          </w:tcPr>
          <w:p w14:paraId="442F7C16" w14:textId="77777777" w:rsidR="00CC25B5" w:rsidRDefault="00CC25B5">
            <w:pPr>
              <w:rPr>
                <w:rFonts w:ascii="宋体"/>
              </w:rPr>
            </w:pPr>
          </w:p>
        </w:tc>
        <w:tc>
          <w:tcPr>
            <w:tcW w:w="5" w:type="pct"/>
            <w:shd w:val="clear" w:color="auto" w:fill="auto"/>
            <w:vAlign w:val="bottom"/>
          </w:tcPr>
          <w:p w14:paraId="442F7C17" w14:textId="77777777" w:rsidR="00CC25B5" w:rsidRDefault="00CC25B5">
            <w:pPr>
              <w:rPr>
                <w:rFonts w:ascii="宋体"/>
              </w:rPr>
            </w:pPr>
          </w:p>
        </w:tc>
        <w:tc>
          <w:tcPr>
            <w:tcW w:w="5" w:type="pct"/>
            <w:shd w:val="clear" w:color="auto" w:fill="auto"/>
            <w:vAlign w:val="bottom"/>
          </w:tcPr>
          <w:p w14:paraId="442F7C18" w14:textId="77777777" w:rsidR="00CC25B5" w:rsidRDefault="00CC25B5">
            <w:pPr>
              <w:rPr>
                <w:rFonts w:ascii="宋体"/>
              </w:rPr>
            </w:pPr>
          </w:p>
        </w:tc>
        <w:tc>
          <w:tcPr>
            <w:tcW w:w="26" w:type="pct"/>
            <w:shd w:val="clear" w:color="auto" w:fill="auto"/>
            <w:vAlign w:val="bottom"/>
          </w:tcPr>
          <w:p w14:paraId="442F7C19" w14:textId="77777777" w:rsidR="00CC25B5" w:rsidRDefault="00CC25B5">
            <w:pPr>
              <w:rPr>
                <w:rFonts w:ascii="宋体"/>
              </w:rPr>
            </w:pPr>
          </w:p>
        </w:tc>
        <w:tc>
          <w:tcPr>
            <w:tcW w:w="5" w:type="pct"/>
            <w:shd w:val="clear" w:color="auto" w:fill="auto"/>
            <w:vAlign w:val="bottom"/>
          </w:tcPr>
          <w:p w14:paraId="442F7C1A" w14:textId="77777777" w:rsidR="00CC25B5" w:rsidRDefault="00CC25B5">
            <w:pPr>
              <w:rPr>
                <w:rFonts w:ascii="宋体"/>
              </w:rPr>
            </w:pPr>
          </w:p>
        </w:tc>
        <w:tc>
          <w:tcPr>
            <w:tcW w:w="50" w:type="pct"/>
            <w:shd w:val="clear" w:color="auto" w:fill="auto"/>
            <w:vAlign w:val="bottom"/>
          </w:tcPr>
          <w:p w14:paraId="442F7C1B" w14:textId="77777777" w:rsidR="00CC25B5" w:rsidRDefault="00CC25B5">
            <w:pPr>
              <w:rPr>
                <w:rFonts w:ascii="宋体"/>
              </w:rPr>
            </w:pPr>
          </w:p>
        </w:tc>
        <w:tc>
          <w:tcPr>
            <w:tcW w:w="478" w:type="pct"/>
            <w:shd w:val="clear" w:color="auto" w:fill="auto"/>
            <w:vAlign w:val="bottom"/>
          </w:tcPr>
          <w:p w14:paraId="442F7C1C" w14:textId="77777777" w:rsidR="00CC25B5" w:rsidRDefault="00CC25B5">
            <w:pPr>
              <w:rPr>
                <w:rFonts w:ascii="宋体"/>
              </w:rPr>
            </w:pPr>
          </w:p>
        </w:tc>
        <w:tc>
          <w:tcPr>
            <w:tcW w:w="5" w:type="pct"/>
            <w:shd w:val="clear" w:color="auto" w:fill="auto"/>
            <w:vAlign w:val="bottom"/>
          </w:tcPr>
          <w:p w14:paraId="442F7C1D" w14:textId="77777777" w:rsidR="00CC25B5" w:rsidRDefault="00CC25B5">
            <w:pPr>
              <w:rPr>
                <w:rFonts w:ascii="宋体"/>
              </w:rPr>
            </w:pPr>
          </w:p>
        </w:tc>
      </w:tr>
      <w:tr w:rsidR="00CC25B5" w14:paraId="442F7C24" w14:textId="77777777">
        <w:trPr>
          <w:jc w:val="center"/>
        </w:trPr>
        <w:tc>
          <w:tcPr>
            <w:tcW w:w="0" w:type="auto"/>
            <w:gridSpan w:val="3"/>
            <w:shd w:val="clear" w:color="auto" w:fill="auto"/>
            <w:tcMar>
              <w:top w:w="0" w:type="dxa"/>
              <w:left w:w="20" w:type="dxa"/>
              <w:bottom w:w="0" w:type="dxa"/>
              <w:right w:w="20" w:type="dxa"/>
            </w:tcMar>
            <w:vAlign w:val="bottom"/>
          </w:tcPr>
          <w:p w14:paraId="442F7C1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C20"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tcPr>
          <w:p w14:paraId="442F7C21" w14:textId="77777777" w:rsidR="00CC25B5" w:rsidRDefault="00900968">
            <w:pPr>
              <w:jc w:val="center"/>
              <w:textAlignment w:val="top"/>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C22"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tcPr>
          <w:p w14:paraId="442F7C23" w14:textId="77777777" w:rsidR="00CC25B5" w:rsidRDefault="00900968">
            <w:pPr>
              <w:jc w:val="center"/>
              <w:textAlignment w:val="top"/>
            </w:pPr>
            <w:r>
              <w:rPr>
                <w:rFonts w:ascii="Times New Roman" w:eastAsia="宋体" w:hAnsi="Times New Roman"/>
                <w:b/>
                <w:bCs/>
                <w:color w:val="000000"/>
                <w:sz w:val="16"/>
                <w:szCs w:val="16"/>
              </w:rPr>
              <w:t>Six Months Ended July 31,</w:t>
            </w:r>
          </w:p>
        </w:tc>
      </w:tr>
      <w:tr w:rsidR="00CC25B5" w14:paraId="442F7C2E" w14:textId="77777777">
        <w:trPr>
          <w:jc w:val="center"/>
        </w:trPr>
        <w:tc>
          <w:tcPr>
            <w:tcW w:w="0" w:type="auto"/>
            <w:gridSpan w:val="3"/>
            <w:shd w:val="clear" w:color="auto" w:fill="auto"/>
            <w:tcMar>
              <w:top w:w="40" w:type="dxa"/>
              <w:left w:w="20" w:type="dxa"/>
              <w:bottom w:w="40" w:type="dxa"/>
              <w:right w:w="20" w:type="dxa"/>
            </w:tcMar>
            <w:vAlign w:val="bottom"/>
          </w:tcPr>
          <w:p w14:paraId="442F7C25"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C26"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C27"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C28"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C29"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C2A"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C2B"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C2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C2D"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C40" w14:textId="77777777">
        <w:trPr>
          <w:jc w:val="center"/>
        </w:trPr>
        <w:tc>
          <w:tcPr>
            <w:tcW w:w="0" w:type="auto"/>
            <w:gridSpan w:val="3"/>
            <w:shd w:val="clear" w:color="auto" w:fill="CCEEFF"/>
            <w:tcMar>
              <w:top w:w="40" w:type="dxa"/>
              <w:left w:w="20" w:type="dxa"/>
              <w:bottom w:w="40" w:type="dxa"/>
              <w:right w:w="20" w:type="dxa"/>
            </w:tcMar>
            <w:vAlign w:val="center"/>
          </w:tcPr>
          <w:p w14:paraId="442F7C2F"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42F7C30"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C3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C32" w14:textId="77777777" w:rsidR="00CC25B5" w:rsidRDefault="00900968">
            <w:pPr>
              <w:jc w:val="right"/>
              <w:textAlignment w:val="center"/>
            </w:pPr>
            <w:r>
              <w:rPr>
                <w:rFonts w:ascii="Times New Roman" w:eastAsia="宋体" w:hAnsi="Times New Roman"/>
                <w:color w:val="000000"/>
                <w:sz w:val="16"/>
                <w:szCs w:val="16"/>
              </w:rPr>
              <w:t>139,871 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C3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34"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C3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C36" w14:textId="77777777" w:rsidR="00CC25B5" w:rsidRDefault="00900968">
            <w:pPr>
              <w:jc w:val="right"/>
              <w:textAlignment w:val="center"/>
            </w:pPr>
            <w:r>
              <w:rPr>
                <w:rFonts w:ascii="Times New Roman" w:eastAsia="宋体" w:hAnsi="Times New Roman"/>
                <w:color w:val="000000"/>
                <w:sz w:val="16"/>
                <w:szCs w:val="16"/>
              </w:rPr>
              <w:t>136,824 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C3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38"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C3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C3A" w14:textId="77777777" w:rsidR="00CC25B5" w:rsidRDefault="00900968">
            <w:pPr>
              <w:jc w:val="right"/>
              <w:textAlignment w:val="center"/>
            </w:pPr>
            <w:r>
              <w:rPr>
                <w:rFonts w:ascii="Times New Roman" w:eastAsia="宋体" w:hAnsi="Times New Roman"/>
                <w:color w:val="000000"/>
                <w:sz w:val="16"/>
                <w:szCs w:val="16"/>
              </w:rPr>
              <w:t>277,030 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C3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3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C3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C3E" w14:textId="77777777" w:rsidR="00CC25B5" w:rsidRDefault="00900968">
            <w:pPr>
              <w:jc w:val="right"/>
              <w:textAlignment w:val="center"/>
            </w:pPr>
            <w:r>
              <w:rPr>
                <w:rFonts w:ascii="Times New Roman" w:eastAsia="宋体" w:hAnsi="Times New Roman"/>
                <w:color w:val="000000"/>
                <w:sz w:val="16"/>
                <w:szCs w:val="16"/>
              </w:rPr>
              <w:t>270,496 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C3F" w14:textId="77777777" w:rsidR="00CC25B5" w:rsidRDefault="00CC25B5">
            <w:pPr>
              <w:jc w:val="right"/>
              <w:rPr>
                <w:rFonts w:ascii="宋体"/>
              </w:rPr>
            </w:pPr>
          </w:p>
        </w:tc>
      </w:tr>
      <w:tr w:rsidR="00CC25B5" w14:paraId="442F7C4E" w14:textId="77777777">
        <w:trPr>
          <w:jc w:val="center"/>
        </w:trPr>
        <w:tc>
          <w:tcPr>
            <w:tcW w:w="0" w:type="auto"/>
            <w:gridSpan w:val="3"/>
            <w:shd w:val="clear" w:color="auto" w:fill="FFFFFF"/>
            <w:tcMar>
              <w:top w:w="40" w:type="dxa"/>
              <w:left w:w="20" w:type="dxa"/>
              <w:bottom w:w="40" w:type="dxa"/>
              <w:right w:w="20" w:type="dxa"/>
            </w:tcMar>
            <w:vAlign w:val="center"/>
          </w:tcPr>
          <w:p w14:paraId="442F7C41"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7C4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43" w14:textId="77777777" w:rsidR="00CC25B5" w:rsidRDefault="00900968">
            <w:pPr>
              <w:jc w:val="right"/>
              <w:textAlignment w:val="center"/>
            </w:pPr>
            <w:r>
              <w:rPr>
                <w:rFonts w:ascii="Times New Roman" w:eastAsia="宋体" w:hAnsi="Times New Roman"/>
                <w:color w:val="000000"/>
                <w:sz w:val="16"/>
                <w:szCs w:val="16"/>
              </w:rPr>
              <w:t>2.2 </w:t>
            </w:r>
          </w:p>
        </w:tc>
        <w:tc>
          <w:tcPr>
            <w:tcW w:w="0" w:type="auto"/>
            <w:shd w:val="clear" w:color="auto" w:fill="FFFFFF"/>
            <w:tcMar>
              <w:top w:w="40" w:type="dxa"/>
              <w:left w:w="0" w:type="dxa"/>
              <w:bottom w:w="40" w:type="dxa"/>
              <w:right w:w="20" w:type="dxa"/>
            </w:tcMar>
            <w:vAlign w:val="center"/>
          </w:tcPr>
          <w:p w14:paraId="442F7C44"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C4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46" w14:textId="77777777" w:rsidR="00CC25B5" w:rsidRDefault="00900968">
            <w:pPr>
              <w:jc w:val="right"/>
              <w:textAlignment w:val="center"/>
            </w:pPr>
            <w:r>
              <w:rPr>
                <w:rFonts w:ascii="Times New Roman" w:eastAsia="宋体" w:hAnsi="Times New Roman"/>
                <w:color w:val="000000"/>
                <w:sz w:val="16"/>
                <w:szCs w:val="16"/>
              </w:rPr>
              <w:t>5.7 </w:t>
            </w:r>
          </w:p>
        </w:tc>
        <w:tc>
          <w:tcPr>
            <w:tcW w:w="0" w:type="auto"/>
            <w:shd w:val="clear" w:color="auto" w:fill="FFFFFF"/>
            <w:tcMar>
              <w:top w:w="40" w:type="dxa"/>
              <w:left w:w="0" w:type="dxa"/>
              <w:bottom w:w="40" w:type="dxa"/>
              <w:right w:w="20" w:type="dxa"/>
            </w:tcMar>
            <w:vAlign w:val="center"/>
          </w:tcPr>
          <w:p w14:paraId="442F7C47"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C4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49" w14:textId="77777777" w:rsidR="00CC25B5" w:rsidRDefault="00900968">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42F7C4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C4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4C" w14:textId="77777777" w:rsidR="00CC25B5" w:rsidRDefault="00900968">
            <w:pPr>
              <w:jc w:val="right"/>
              <w:textAlignment w:val="center"/>
            </w:pPr>
            <w:r>
              <w:rPr>
                <w:rFonts w:ascii="Times New Roman" w:eastAsia="宋体" w:hAnsi="Times New Roman"/>
                <w:color w:val="000000"/>
                <w:sz w:val="16"/>
                <w:szCs w:val="16"/>
              </w:rPr>
              <w:t>7.2 </w:t>
            </w:r>
          </w:p>
        </w:tc>
        <w:tc>
          <w:tcPr>
            <w:tcW w:w="0" w:type="auto"/>
            <w:shd w:val="clear" w:color="auto" w:fill="FFFFFF"/>
            <w:tcMar>
              <w:top w:w="40" w:type="dxa"/>
              <w:left w:w="0" w:type="dxa"/>
              <w:bottom w:w="40" w:type="dxa"/>
              <w:right w:w="20" w:type="dxa"/>
            </w:tcMar>
            <w:vAlign w:val="center"/>
          </w:tcPr>
          <w:p w14:paraId="442F7C4D"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7C60" w14:textId="77777777">
        <w:trPr>
          <w:jc w:val="center"/>
        </w:trPr>
        <w:tc>
          <w:tcPr>
            <w:tcW w:w="0" w:type="auto"/>
            <w:gridSpan w:val="3"/>
            <w:shd w:val="clear" w:color="auto" w:fill="CCEEFF"/>
            <w:tcMar>
              <w:top w:w="40" w:type="dxa"/>
              <w:left w:w="20" w:type="dxa"/>
              <w:bottom w:w="40" w:type="dxa"/>
              <w:right w:w="20" w:type="dxa"/>
            </w:tcMar>
            <w:vAlign w:val="center"/>
          </w:tcPr>
          <w:p w14:paraId="442F7C4F" w14:textId="77777777" w:rsidR="00CC25B5" w:rsidRDefault="00900968">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442F7C50"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C5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C52" w14:textId="77777777" w:rsidR="00CC25B5" w:rsidRDefault="00900968">
            <w:pPr>
              <w:jc w:val="right"/>
              <w:textAlignment w:val="center"/>
            </w:pPr>
            <w:r>
              <w:rPr>
                <w:rFonts w:ascii="Times New Roman" w:eastAsia="宋体" w:hAnsi="Times New Roman"/>
                <w:color w:val="000000"/>
                <w:sz w:val="16"/>
                <w:szCs w:val="16"/>
              </w:rPr>
              <w:t>28,511 </w:t>
            </w:r>
          </w:p>
        </w:tc>
        <w:tc>
          <w:tcPr>
            <w:tcW w:w="0" w:type="auto"/>
            <w:shd w:val="clear" w:color="auto" w:fill="CCEEFF"/>
            <w:tcMar>
              <w:top w:w="40" w:type="dxa"/>
              <w:left w:w="0" w:type="dxa"/>
              <w:bottom w:w="40" w:type="dxa"/>
              <w:right w:w="20" w:type="dxa"/>
            </w:tcMar>
            <w:vAlign w:val="center"/>
          </w:tcPr>
          <w:p w14:paraId="442F7C5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54"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C5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C56" w14:textId="77777777" w:rsidR="00CC25B5" w:rsidRDefault="00900968">
            <w:pPr>
              <w:jc w:val="right"/>
              <w:textAlignment w:val="center"/>
            </w:pPr>
            <w:r>
              <w:rPr>
                <w:rFonts w:ascii="Times New Roman" w:eastAsia="宋体" w:hAnsi="Times New Roman"/>
                <w:color w:val="000000"/>
                <w:sz w:val="16"/>
                <w:szCs w:val="16"/>
              </w:rPr>
              <w:t>28,994 </w:t>
            </w:r>
          </w:p>
        </w:tc>
        <w:tc>
          <w:tcPr>
            <w:tcW w:w="0" w:type="auto"/>
            <w:shd w:val="clear" w:color="auto" w:fill="CCEEFF"/>
            <w:tcMar>
              <w:top w:w="40" w:type="dxa"/>
              <w:left w:w="0" w:type="dxa"/>
              <w:bottom w:w="40" w:type="dxa"/>
              <w:right w:w="20" w:type="dxa"/>
            </w:tcMar>
            <w:vAlign w:val="center"/>
          </w:tcPr>
          <w:p w14:paraId="442F7C5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58"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C5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C5A" w14:textId="77777777" w:rsidR="00CC25B5" w:rsidRDefault="00900968">
            <w:pPr>
              <w:jc w:val="right"/>
              <w:textAlignment w:val="center"/>
            </w:pPr>
            <w:r>
              <w:rPr>
                <w:rFonts w:ascii="Times New Roman" w:eastAsia="宋体" w:hAnsi="Times New Roman"/>
                <w:color w:val="000000"/>
                <w:sz w:val="16"/>
                <w:szCs w:val="16"/>
              </w:rPr>
              <w:t>56,640 </w:t>
            </w:r>
          </w:p>
        </w:tc>
        <w:tc>
          <w:tcPr>
            <w:tcW w:w="0" w:type="auto"/>
            <w:shd w:val="clear" w:color="auto" w:fill="CCEEFF"/>
            <w:tcMar>
              <w:top w:w="40" w:type="dxa"/>
              <w:left w:w="0" w:type="dxa"/>
              <w:bottom w:w="40" w:type="dxa"/>
              <w:right w:w="20" w:type="dxa"/>
            </w:tcMar>
            <w:vAlign w:val="center"/>
          </w:tcPr>
          <w:p w14:paraId="442F7C5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5C"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C5D"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C5E" w14:textId="77777777" w:rsidR="00CC25B5" w:rsidRDefault="00900968">
            <w:pPr>
              <w:jc w:val="right"/>
              <w:textAlignment w:val="center"/>
            </w:pPr>
            <w:r>
              <w:rPr>
                <w:rFonts w:ascii="Times New Roman" w:eastAsia="宋体" w:hAnsi="Times New Roman"/>
                <w:color w:val="000000"/>
                <w:sz w:val="16"/>
                <w:szCs w:val="16"/>
              </w:rPr>
              <w:t>56,366 </w:t>
            </w:r>
          </w:p>
        </w:tc>
        <w:tc>
          <w:tcPr>
            <w:tcW w:w="0" w:type="auto"/>
            <w:shd w:val="clear" w:color="auto" w:fill="CCEEFF"/>
            <w:tcMar>
              <w:top w:w="40" w:type="dxa"/>
              <w:left w:w="0" w:type="dxa"/>
              <w:bottom w:w="40" w:type="dxa"/>
              <w:right w:w="20" w:type="dxa"/>
            </w:tcMar>
            <w:vAlign w:val="center"/>
          </w:tcPr>
          <w:p w14:paraId="442F7C5F" w14:textId="77777777" w:rsidR="00CC25B5" w:rsidRDefault="00CC25B5">
            <w:pPr>
              <w:jc w:val="right"/>
              <w:rPr>
                <w:rFonts w:ascii="宋体"/>
              </w:rPr>
            </w:pPr>
          </w:p>
        </w:tc>
      </w:tr>
      <w:tr w:rsidR="00CC25B5" w14:paraId="442F7C6E" w14:textId="77777777">
        <w:trPr>
          <w:jc w:val="center"/>
        </w:trPr>
        <w:tc>
          <w:tcPr>
            <w:tcW w:w="0" w:type="auto"/>
            <w:gridSpan w:val="3"/>
            <w:shd w:val="clear" w:color="auto" w:fill="FFFFFF"/>
            <w:tcMar>
              <w:top w:w="40" w:type="dxa"/>
              <w:left w:w="20" w:type="dxa"/>
              <w:bottom w:w="40" w:type="dxa"/>
              <w:right w:w="20" w:type="dxa"/>
            </w:tcMar>
            <w:vAlign w:val="center"/>
          </w:tcPr>
          <w:p w14:paraId="442F7C61"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7C6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63" w14:textId="77777777" w:rsidR="00CC25B5" w:rsidRDefault="00900968">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442F7C64"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C6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66" w14:textId="77777777" w:rsidR="00CC25B5" w:rsidRDefault="00900968">
            <w:pPr>
              <w:jc w:val="right"/>
              <w:textAlignment w:val="center"/>
            </w:pPr>
            <w:r>
              <w:rPr>
                <w:rFonts w:ascii="Times New Roman" w:eastAsia="宋体" w:hAnsi="Times New Roman"/>
                <w:color w:val="000000"/>
                <w:sz w:val="16"/>
                <w:szCs w:val="16"/>
              </w:rPr>
              <w:t>7.9 </w:t>
            </w:r>
          </w:p>
        </w:tc>
        <w:tc>
          <w:tcPr>
            <w:tcW w:w="0" w:type="auto"/>
            <w:shd w:val="clear" w:color="auto" w:fill="FFFFFF"/>
            <w:tcMar>
              <w:top w:w="40" w:type="dxa"/>
              <w:left w:w="0" w:type="dxa"/>
              <w:bottom w:w="40" w:type="dxa"/>
              <w:right w:w="20" w:type="dxa"/>
            </w:tcMar>
            <w:vAlign w:val="center"/>
          </w:tcPr>
          <w:p w14:paraId="442F7C67"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C6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69" w14:textId="77777777" w:rsidR="00CC25B5" w:rsidRDefault="00900968">
            <w:pPr>
              <w:jc w:val="right"/>
              <w:textAlignment w:val="center"/>
            </w:pPr>
            <w:r>
              <w:rPr>
                <w:rFonts w:ascii="Times New Roman" w:eastAsia="宋体" w:hAnsi="Times New Roman"/>
                <w:color w:val="000000"/>
                <w:sz w:val="16"/>
                <w:szCs w:val="16"/>
              </w:rPr>
              <w:t>0.5 </w:t>
            </w:r>
          </w:p>
        </w:tc>
        <w:tc>
          <w:tcPr>
            <w:tcW w:w="0" w:type="auto"/>
            <w:shd w:val="clear" w:color="auto" w:fill="FFFFFF"/>
            <w:tcMar>
              <w:top w:w="40" w:type="dxa"/>
              <w:left w:w="0" w:type="dxa"/>
              <w:bottom w:w="40" w:type="dxa"/>
              <w:right w:w="20" w:type="dxa"/>
            </w:tcMar>
            <w:vAlign w:val="center"/>
          </w:tcPr>
          <w:p w14:paraId="442F7C6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C6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6C" w14:textId="77777777" w:rsidR="00CC25B5" w:rsidRDefault="00900968">
            <w:pPr>
              <w:jc w:val="right"/>
              <w:textAlignment w:val="center"/>
            </w:pPr>
            <w:r>
              <w:rPr>
                <w:rFonts w:ascii="Times New Roman" w:eastAsia="宋体" w:hAnsi="Times New Roman"/>
                <w:color w:val="000000"/>
                <w:sz w:val="16"/>
                <w:szCs w:val="16"/>
              </w:rPr>
              <w:t>6.7 </w:t>
            </w:r>
          </w:p>
        </w:tc>
        <w:tc>
          <w:tcPr>
            <w:tcW w:w="0" w:type="auto"/>
            <w:shd w:val="clear" w:color="auto" w:fill="FFFFFF"/>
            <w:tcMar>
              <w:top w:w="40" w:type="dxa"/>
              <w:left w:w="0" w:type="dxa"/>
              <w:bottom w:w="40" w:type="dxa"/>
              <w:right w:w="20" w:type="dxa"/>
            </w:tcMar>
            <w:vAlign w:val="center"/>
          </w:tcPr>
          <w:p w14:paraId="442F7C6D"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7C7C" w14:textId="77777777">
        <w:trPr>
          <w:jc w:val="center"/>
        </w:trPr>
        <w:tc>
          <w:tcPr>
            <w:tcW w:w="0" w:type="auto"/>
            <w:gridSpan w:val="3"/>
            <w:shd w:val="clear" w:color="auto" w:fill="CCEEFF"/>
            <w:tcMar>
              <w:top w:w="40" w:type="dxa"/>
              <w:left w:w="20" w:type="dxa"/>
              <w:bottom w:w="40" w:type="dxa"/>
              <w:right w:w="20" w:type="dxa"/>
            </w:tcMar>
            <w:vAlign w:val="center"/>
          </w:tcPr>
          <w:p w14:paraId="442F7C6F" w14:textId="77777777" w:rsidR="00CC25B5" w:rsidRDefault="00900968">
            <w:pPr>
              <w:textAlignment w:val="center"/>
            </w:pPr>
            <w:r>
              <w:rPr>
                <w:rFonts w:ascii="Times New Roman" w:eastAsia="宋体" w:hAnsi="Times New Roman"/>
                <w:color w:val="00000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vAlign w:val="bottom"/>
          </w:tcPr>
          <w:p w14:paraId="442F7C7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C71" w14:textId="77777777" w:rsidR="00CC25B5" w:rsidRDefault="00900968">
            <w:pPr>
              <w:jc w:val="right"/>
              <w:textAlignment w:val="center"/>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center"/>
          </w:tcPr>
          <w:p w14:paraId="442F7C72"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C7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C74" w14:textId="77777777" w:rsidR="00CC25B5" w:rsidRDefault="00900968">
            <w:pPr>
              <w:jc w:val="right"/>
              <w:textAlignment w:val="center"/>
            </w:pPr>
            <w:r>
              <w:rPr>
                <w:rFonts w:ascii="Times New Roman" w:eastAsia="宋体" w:hAnsi="Times New Roman"/>
                <w:color w:val="000000"/>
                <w:sz w:val="16"/>
                <w:szCs w:val="16"/>
              </w:rPr>
              <w:t>21.2 </w:t>
            </w:r>
          </w:p>
        </w:tc>
        <w:tc>
          <w:tcPr>
            <w:tcW w:w="0" w:type="auto"/>
            <w:shd w:val="clear" w:color="auto" w:fill="CCEEFF"/>
            <w:tcMar>
              <w:top w:w="40" w:type="dxa"/>
              <w:left w:w="0" w:type="dxa"/>
              <w:bottom w:w="40" w:type="dxa"/>
              <w:right w:w="20" w:type="dxa"/>
            </w:tcMar>
            <w:vAlign w:val="center"/>
          </w:tcPr>
          <w:p w14:paraId="442F7C75"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C7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C77" w14:textId="77777777" w:rsidR="00CC25B5" w:rsidRDefault="00900968">
            <w:pPr>
              <w:jc w:val="right"/>
              <w:textAlignment w:val="center"/>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center"/>
          </w:tcPr>
          <w:p w14:paraId="442F7C78"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C7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C7A" w14:textId="77777777" w:rsidR="00CC25B5" w:rsidRDefault="00900968">
            <w:pPr>
              <w:jc w:val="right"/>
              <w:textAlignment w:val="center"/>
            </w:pPr>
            <w:r>
              <w:rPr>
                <w:rFonts w:ascii="Times New Roman" w:eastAsia="宋体" w:hAnsi="Times New Roman"/>
                <w:color w:val="000000"/>
                <w:sz w:val="16"/>
                <w:szCs w:val="16"/>
              </w:rPr>
              <w:t>20.8 </w:t>
            </w:r>
          </w:p>
        </w:tc>
        <w:tc>
          <w:tcPr>
            <w:tcW w:w="0" w:type="auto"/>
            <w:shd w:val="clear" w:color="auto" w:fill="CCEEFF"/>
            <w:tcMar>
              <w:top w:w="40" w:type="dxa"/>
              <w:left w:w="0" w:type="dxa"/>
              <w:bottom w:w="40" w:type="dxa"/>
              <w:right w:w="20" w:type="dxa"/>
            </w:tcMar>
            <w:vAlign w:val="center"/>
          </w:tcPr>
          <w:p w14:paraId="442F7C7B" w14:textId="77777777" w:rsidR="00CC25B5" w:rsidRDefault="00900968">
            <w:pPr>
              <w:jc w:val="right"/>
              <w:textAlignment w:val="center"/>
            </w:pPr>
            <w:r>
              <w:rPr>
                <w:rFonts w:ascii="Times New Roman" w:eastAsia="宋体" w:hAnsi="Times New Roman"/>
                <w:color w:val="000000"/>
                <w:sz w:val="16"/>
                <w:szCs w:val="16"/>
              </w:rPr>
              <w:t>%</w:t>
            </w:r>
          </w:p>
        </w:tc>
      </w:tr>
    </w:tbl>
    <w:p w14:paraId="442F7C7D" w14:textId="77777777" w:rsidR="00CC25B5" w:rsidRDefault="00900968">
      <w:pPr>
        <w:spacing w:before="80"/>
      </w:pPr>
      <w:r>
        <w:rPr>
          <w:rFonts w:ascii="Times New Roman" w:eastAsia="宋体" w:hAnsi="Times New Roman"/>
          <w:color w:val="000000"/>
          <w:sz w:val="20"/>
          <w:szCs w:val="20"/>
        </w:rPr>
        <w:t>Operating expenses as a percentage of net sales decreased 81 and 39 basis points for the three and six months ended July 31, 2021, respectively, when compared to the same periods in the previo</w:t>
      </w:r>
      <w:r>
        <w:rPr>
          <w:rFonts w:ascii="Times New Roman" w:eastAsia="宋体" w:hAnsi="Times New Roman"/>
          <w:color w:val="000000"/>
          <w:sz w:val="20"/>
          <w:szCs w:val="20"/>
        </w:rPr>
        <w:t>us fiscal year. These decreases were primarily driven by growth in net sales, lower incremental COVID-19 related costs of $1.2 billion and $1.7 billion as compared to the three and six months ended July 31, 2020, respectively, and lapping a $0.4 billion bu</w:t>
      </w:r>
      <w:r>
        <w:rPr>
          <w:rFonts w:ascii="Times New Roman" w:eastAsia="宋体" w:hAnsi="Times New Roman"/>
          <w:color w:val="000000"/>
          <w:sz w:val="20"/>
          <w:szCs w:val="20"/>
        </w:rPr>
        <w:t xml:space="preserve">siness restructuring charge in the Walmart U.S. segment recorded in the second quarter of fiscal 2021. Operating expenses as a percentage of net sales also benefited from depreciation and amortization expense not having been recorded for our operations in </w:t>
      </w:r>
      <w:r>
        <w:rPr>
          <w:rFonts w:ascii="Times New Roman" w:eastAsia="宋体" w:hAnsi="Times New Roman"/>
          <w:color w:val="000000"/>
          <w:sz w:val="20"/>
          <w:szCs w:val="20"/>
        </w:rPr>
        <w:t>the U.K. and Japan subsequent to their held for sale classification at the end of fiscal 2021 and prior to closing during the first quarter of fiscal 2022. These decreases were partially offset by increased wage investments in the Walmart U.S. segment.</w:t>
      </w:r>
    </w:p>
    <w:p w14:paraId="442F7C7E" w14:textId="77777777" w:rsidR="00CC25B5" w:rsidRDefault="00900968">
      <w:pPr>
        <w:spacing w:before="180"/>
      </w:pPr>
      <w:r>
        <w:rPr>
          <w:rFonts w:ascii="Times New Roman" w:eastAsia="宋体" w:hAnsi="Times New Roman"/>
          <w:b/>
          <w:bCs/>
          <w:color w:val="000000"/>
          <w:sz w:val="20"/>
          <w:szCs w:val="20"/>
          <w:u w:val="single"/>
        </w:rPr>
        <w:t>Str</w:t>
      </w:r>
      <w:r>
        <w:rPr>
          <w:rFonts w:ascii="Times New Roman" w:eastAsia="宋体" w:hAnsi="Times New Roman"/>
          <w:b/>
          <w:bCs/>
          <w:color w:val="000000"/>
          <w:sz w:val="20"/>
          <w:szCs w:val="20"/>
          <w:u w:val="single"/>
        </w:rPr>
        <w:t>ategic Capital Allocation</w:t>
      </w:r>
    </w:p>
    <w:p w14:paraId="442F7C7F" w14:textId="77777777" w:rsidR="00CC25B5" w:rsidRDefault="00900968">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are allocating more capital to supply chain, customer-facing initia</w:t>
      </w:r>
      <w:r>
        <w:rPr>
          <w:rFonts w:ascii="Times New Roman" w:eastAsia="宋体" w:hAnsi="Times New Roman"/>
          <w:color w:val="000000"/>
          <w:sz w:val="20"/>
          <w:szCs w:val="20"/>
        </w:rPr>
        <w:t>tives, technology and store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2"/>
        <w:gridCol w:w="6113"/>
        <w:gridCol w:w="38"/>
        <w:gridCol w:w="36"/>
        <w:gridCol w:w="36"/>
        <w:gridCol w:w="36"/>
        <w:gridCol w:w="36"/>
        <w:gridCol w:w="36"/>
        <w:gridCol w:w="36"/>
        <w:gridCol w:w="36"/>
        <w:gridCol w:w="100"/>
        <w:gridCol w:w="749"/>
        <w:gridCol w:w="36"/>
        <w:gridCol w:w="36"/>
        <w:gridCol w:w="36"/>
        <w:gridCol w:w="36"/>
        <w:gridCol w:w="100"/>
        <w:gridCol w:w="750"/>
        <w:gridCol w:w="36"/>
      </w:tblGrid>
      <w:tr w:rsidR="00CC25B5" w14:paraId="442F7C93" w14:textId="77777777">
        <w:tc>
          <w:tcPr>
            <w:tcW w:w="50" w:type="pct"/>
            <w:shd w:val="clear" w:color="auto" w:fill="auto"/>
            <w:vAlign w:val="bottom"/>
          </w:tcPr>
          <w:p w14:paraId="442F7C80" w14:textId="77777777" w:rsidR="00CC25B5" w:rsidRDefault="00CC25B5">
            <w:pPr>
              <w:rPr>
                <w:rFonts w:ascii="宋体"/>
              </w:rPr>
            </w:pPr>
          </w:p>
        </w:tc>
        <w:tc>
          <w:tcPr>
            <w:tcW w:w="3759" w:type="pct"/>
            <w:shd w:val="clear" w:color="auto" w:fill="auto"/>
            <w:vAlign w:val="bottom"/>
          </w:tcPr>
          <w:p w14:paraId="442F7C81" w14:textId="77777777" w:rsidR="00CC25B5" w:rsidRDefault="00CC25B5">
            <w:pPr>
              <w:rPr>
                <w:rFonts w:ascii="宋体"/>
              </w:rPr>
            </w:pPr>
          </w:p>
        </w:tc>
        <w:tc>
          <w:tcPr>
            <w:tcW w:w="5" w:type="pct"/>
            <w:shd w:val="clear" w:color="auto" w:fill="auto"/>
            <w:vAlign w:val="bottom"/>
          </w:tcPr>
          <w:p w14:paraId="442F7C82" w14:textId="77777777" w:rsidR="00CC25B5" w:rsidRDefault="00CC25B5">
            <w:pPr>
              <w:rPr>
                <w:rFonts w:ascii="宋体"/>
              </w:rPr>
            </w:pPr>
          </w:p>
        </w:tc>
        <w:tc>
          <w:tcPr>
            <w:tcW w:w="5" w:type="pct"/>
            <w:shd w:val="clear" w:color="auto" w:fill="auto"/>
            <w:vAlign w:val="bottom"/>
          </w:tcPr>
          <w:p w14:paraId="442F7C83" w14:textId="77777777" w:rsidR="00CC25B5" w:rsidRDefault="00CC25B5">
            <w:pPr>
              <w:rPr>
                <w:rFonts w:ascii="宋体"/>
              </w:rPr>
            </w:pPr>
          </w:p>
        </w:tc>
        <w:tc>
          <w:tcPr>
            <w:tcW w:w="26" w:type="pct"/>
            <w:shd w:val="clear" w:color="auto" w:fill="auto"/>
            <w:vAlign w:val="bottom"/>
          </w:tcPr>
          <w:p w14:paraId="442F7C84" w14:textId="77777777" w:rsidR="00CC25B5" w:rsidRDefault="00CC25B5">
            <w:pPr>
              <w:rPr>
                <w:rFonts w:ascii="宋体"/>
              </w:rPr>
            </w:pPr>
          </w:p>
        </w:tc>
        <w:tc>
          <w:tcPr>
            <w:tcW w:w="5" w:type="pct"/>
            <w:shd w:val="clear" w:color="auto" w:fill="auto"/>
            <w:vAlign w:val="bottom"/>
          </w:tcPr>
          <w:p w14:paraId="442F7C85" w14:textId="77777777" w:rsidR="00CC25B5" w:rsidRDefault="00CC25B5">
            <w:pPr>
              <w:rPr>
                <w:rFonts w:ascii="宋体"/>
              </w:rPr>
            </w:pPr>
          </w:p>
        </w:tc>
        <w:tc>
          <w:tcPr>
            <w:tcW w:w="0" w:type="auto"/>
            <w:shd w:val="clear" w:color="auto" w:fill="auto"/>
            <w:vAlign w:val="bottom"/>
          </w:tcPr>
          <w:p w14:paraId="442F7C86" w14:textId="77777777" w:rsidR="00CC25B5" w:rsidRDefault="00CC25B5">
            <w:pPr>
              <w:rPr>
                <w:rFonts w:ascii="宋体"/>
                <w:vanish/>
              </w:rPr>
            </w:pPr>
          </w:p>
        </w:tc>
        <w:tc>
          <w:tcPr>
            <w:tcW w:w="0" w:type="auto"/>
            <w:shd w:val="clear" w:color="auto" w:fill="auto"/>
            <w:vAlign w:val="bottom"/>
          </w:tcPr>
          <w:p w14:paraId="442F7C87" w14:textId="77777777" w:rsidR="00CC25B5" w:rsidRDefault="00CC25B5">
            <w:pPr>
              <w:rPr>
                <w:rFonts w:ascii="宋体"/>
                <w:vanish/>
              </w:rPr>
            </w:pPr>
          </w:p>
        </w:tc>
        <w:tc>
          <w:tcPr>
            <w:tcW w:w="0" w:type="auto"/>
            <w:shd w:val="clear" w:color="auto" w:fill="auto"/>
            <w:vAlign w:val="bottom"/>
          </w:tcPr>
          <w:p w14:paraId="442F7C88" w14:textId="77777777" w:rsidR="00CC25B5" w:rsidRDefault="00CC25B5">
            <w:pPr>
              <w:rPr>
                <w:rFonts w:ascii="宋体"/>
                <w:vanish/>
              </w:rPr>
            </w:pPr>
          </w:p>
        </w:tc>
        <w:tc>
          <w:tcPr>
            <w:tcW w:w="0" w:type="auto"/>
            <w:shd w:val="clear" w:color="auto" w:fill="auto"/>
            <w:vAlign w:val="bottom"/>
          </w:tcPr>
          <w:p w14:paraId="442F7C89" w14:textId="77777777" w:rsidR="00CC25B5" w:rsidRDefault="00CC25B5">
            <w:pPr>
              <w:rPr>
                <w:rFonts w:ascii="宋体"/>
                <w:vanish/>
              </w:rPr>
            </w:pPr>
          </w:p>
        </w:tc>
        <w:tc>
          <w:tcPr>
            <w:tcW w:w="50" w:type="pct"/>
            <w:shd w:val="clear" w:color="auto" w:fill="auto"/>
            <w:vAlign w:val="bottom"/>
          </w:tcPr>
          <w:p w14:paraId="442F7C8A" w14:textId="77777777" w:rsidR="00CC25B5" w:rsidRDefault="00CC25B5">
            <w:pPr>
              <w:rPr>
                <w:rFonts w:ascii="宋体"/>
              </w:rPr>
            </w:pPr>
          </w:p>
        </w:tc>
        <w:tc>
          <w:tcPr>
            <w:tcW w:w="501" w:type="pct"/>
            <w:shd w:val="clear" w:color="auto" w:fill="auto"/>
            <w:vAlign w:val="bottom"/>
          </w:tcPr>
          <w:p w14:paraId="442F7C8B" w14:textId="77777777" w:rsidR="00CC25B5" w:rsidRDefault="00CC25B5">
            <w:pPr>
              <w:rPr>
                <w:rFonts w:ascii="宋体"/>
              </w:rPr>
            </w:pPr>
          </w:p>
        </w:tc>
        <w:tc>
          <w:tcPr>
            <w:tcW w:w="5" w:type="pct"/>
            <w:shd w:val="clear" w:color="auto" w:fill="auto"/>
            <w:vAlign w:val="bottom"/>
          </w:tcPr>
          <w:p w14:paraId="442F7C8C" w14:textId="77777777" w:rsidR="00CC25B5" w:rsidRDefault="00CC25B5">
            <w:pPr>
              <w:rPr>
                <w:rFonts w:ascii="宋体"/>
              </w:rPr>
            </w:pPr>
          </w:p>
        </w:tc>
        <w:tc>
          <w:tcPr>
            <w:tcW w:w="5" w:type="pct"/>
            <w:shd w:val="clear" w:color="auto" w:fill="auto"/>
            <w:vAlign w:val="bottom"/>
          </w:tcPr>
          <w:p w14:paraId="442F7C8D" w14:textId="77777777" w:rsidR="00CC25B5" w:rsidRDefault="00CC25B5">
            <w:pPr>
              <w:rPr>
                <w:rFonts w:ascii="宋体"/>
              </w:rPr>
            </w:pPr>
          </w:p>
        </w:tc>
        <w:tc>
          <w:tcPr>
            <w:tcW w:w="26" w:type="pct"/>
            <w:shd w:val="clear" w:color="auto" w:fill="auto"/>
            <w:vAlign w:val="bottom"/>
          </w:tcPr>
          <w:p w14:paraId="442F7C8E" w14:textId="77777777" w:rsidR="00CC25B5" w:rsidRDefault="00CC25B5">
            <w:pPr>
              <w:rPr>
                <w:rFonts w:ascii="宋体"/>
              </w:rPr>
            </w:pPr>
          </w:p>
        </w:tc>
        <w:tc>
          <w:tcPr>
            <w:tcW w:w="5" w:type="pct"/>
            <w:shd w:val="clear" w:color="auto" w:fill="auto"/>
            <w:vAlign w:val="bottom"/>
          </w:tcPr>
          <w:p w14:paraId="442F7C8F" w14:textId="77777777" w:rsidR="00CC25B5" w:rsidRDefault="00CC25B5">
            <w:pPr>
              <w:rPr>
                <w:rFonts w:ascii="宋体"/>
              </w:rPr>
            </w:pPr>
          </w:p>
        </w:tc>
        <w:tc>
          <w:tcPr>
            <w:tcW w:w="50" w:type="pct"/>
            <w:shd w:val="clear" w:color="auto" w:fill="auto"/>
            <w:vAlign w:val="bottom"/>
          </w:tcPr>
          <w:p w14:paraId="442F7C90" w14:textId="77777777" w:rsidR="00CC25B5" w:rsidRDefault="00CC25B5">
            <w:pPr>
              <w:rPr>
                <w:rFonts w:ascii="宋体"/>
              </w:rPr>
            </w:pPr>
          </w:p>
        </w:tc>
        <w:tc>
          <w:tcPr>
            <w:tcW w:w="501" w:type="pct"/>
            <w:shd w:val="clear" w:color="auto" w:fill="auto"/>
            <w:vAlign w:val="bottom"/>
          </w:tcPr>
          <w:p w14:paraId="442F7C91" w14:textId="77777777" w:rsidR="00CC25B5" w:rsidRDefault="00CC25B5">
            <w:pPr>
              <w:rPr>
                <w:rFonts w:ascii="宋体"/>
              </w:rPr>
            </w:pPr>
          </w:p>
        </w:tc>
        <w:tc>
          <w:tcPr>
            <w:tcW w:w="5" w:type="pct"/>
            <w:shd w:val="clear" w:color="auto" w:fill="auto"/>
            <w:vAlign w:val="bottom"/>
          </w:tcPr>
          <w:p w14:paraId="442F7C92" w14:textId="77777777" w:rsidR="00CC25B5" w:rsidRDefault="00CC25B5">
            <w:pPr>
              <w:rPr>
                <w:rFonts w:ascii="宋体"/>
              </w:rPr>
            </w:pPr>
          </w:p>
        </w:tc>
      </w:tr>
      <w:tr w:rsidR="00CC25B5" w14:paraId="442F7C9F" w14:textId="77777777">
        <w:tc>
          <w:tcPr>
            <w:tcW w:w="0" w:type="auto"/>
            <w:gridSpan w:val="3"/>
            <w:shd w:val="clear" w:color="auto" w:fill="auto"/>
            <w:tcMar>
              <w:top w:w="40" w:type="dxa"/>
              <w:left w:w="20" w:type="dxa"/>
              <w:bottom w:w="40" w:type="dxa"/>
              <w:right w:w="20" w:type="dxa"/>
            </w:tcMar>
            <w:vAlign w:val="bottom"/>
          </w:tcPr>
          <w:p w14:paraId="442F7C94"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C95" w14:textId="77777777" w:rsidR="00CC25B5" w:rsidRDefault="00CC25B5">
            <w:pPr>
              <w:rPr>
                <w:rFonts w:ascii="宋体"/>
              </w:rPr>
            </w:pPr>
          </w:p>
        </w:tc>
        <w:tc>
          <w:tcPr>
            <w:tcW w:w="0" w:type="auto"/>
            <w:shd w:val="clear" w:color="auto" w:fill="auto"/>
            <w:vAlign w:val="bottom"/>
          </w:tcPr>
          <w:p w14:paraId="442F7C96" w14:textId="77777777" w:rsidR="00CC25B5" w:rsidRDefault="00CC25B5">
            <w:pPr>
              <w:rPr>
                <w:rFonts w:ascii="宋体"/>
                <w:vanish/>
              </w:rPr>
            </w:pPr>
          </w:p>
        </w:tc>
        <w:tc>
          <w:tcPr>
            <w:tcW w:w="0" w:type="auto"/>
            <w:shd w:val="clear" w:color="auto" w:fill="auto"/>
            <w:vAlign w:val="bottom"/>
          </w:tcPr>
          <w:p w14:paraId="442F7C97" w14:textId="77777777" w:rsidR="00CC25B5" w:rsidRDefault="00CC25B5">
            <w:pPr>
              <w:rPr>
                <w:rFonts w:ascii="宋体"/>
                <w:vanish/>
              </w:rPr>
            </w:pPr>
          </w:p>
        </w:tc>
        <w:tc>
          <w:tcPr>
            <w:tcW w:w="0" w:type="auto"/>
            <w:gridSpan w:val="5"/>
            <w:shd w:val="clear" w:color="auto" w:fill="auto"/>
            <w:tcMar>
              <w:top w:w="40" w:type="dxa"/>
              <w:left w:w="20" w:type="dxa"/>
              <w:bottom w:w="40" w:type="dxa"/>
              <w:right w:w="20" w:type="dxa"/>
            </w:tcMar>
            <w:vAlign w:val="bottom"/>
          </w:tcPr>
          <w:p w14:paraId="442F7C98" w14:textId="77777777" w:rsidR="00CC25B5" w:rsidRDefault="00900968">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442F7C99" w14:textId="77777777" w:rsidR="00CC25B5" w:rsidRDefault="00CC25B5">
            <w:pPr>
              <w:rPr>
                <w:rFonts w:ascii="宋体"/>
              </w:rPr>
            </w:pPr>
          </w:p>
        </w:tc>
        <w:tc>
          <w:tcPr>
            <w:tcW w:w="0" w:type="auto"/>
            <w:shd w:val="clear" w:color="auto" w:fill="auto"/>
            <w:vAlign w:val="bottom"/>
          </w:tcPr>
          <w:p w14:paraId="442F7C9A" w14:textId="77777777" w:rsidR="00CC25B5" w:rsidRDefault="00CC25B5">
            <w:pPr>
              <w:rPr>
                <w:rFonts w:ascii="宋体"/>
              </w:rPr>
            </w:pPr>
          </w:p>
        </w:tc>
        <w:tc>
          <w:tcPr>
            <w:tcW w:w="0" w:type="auto"/>
            <w:shd w:val="clear" w:color="auto" w:fill="auto"/>
            <w:vAlign w:val="bottom"/>
          </w:tcPr>
          <w:p w14:paraId="442F7C9B" w14:textId="77777777" w:rsidR="00CC25B5" w:rsidRDefault="00CC25B5">
            <w:pPr>
              <w:rPr>
                <w:rFonts w:ascii="宋体"/>
              </w:rPr>
            </w:pPr>
          </w:p>
        </w:tc>
        <w:tc>
          <w:tcPr>
            <w:tcW w:w="0" w:type="auto"/>
            <w:shd w:val="clear" w:color="auto" w:fill="auto"/>
            <w:vAlign w:val="bottom"/>
          </w:tcPr>
          <w:p w14:paraId="442F7C9C" w14:textId="77777777" w:rsidR="00CC25B5" w:rsidRDefault="00CC25B5">
            <w:pPr>
              <w:rPr>
                <w:rFonts w:ascii="宋体"/>
              </w:rPr>
            </w:pPr>
          </w:p>
        </w:tc>
        <w:tc>
          <w:tcPr>
            <w:tcW w:w="0" w:type="auto"/>
            <w:shd w:val="clear" w:color="auto" w:fill="auto"/>
            <w:vAlign w:val="bottom"/>
          </w:tcPr>
          <w:p w14:paraId="442F7C9D" w14:textId="77777777" w:rsidR="00CC25B5" w:rsidRDefault="00CC25B5">
            <w:pPr>
              <w:rPr>
                <w:rFonts w:ascii="宋体"/>
              </w:rPr>
            </w:pPr>
          </w:p>
        </w:tc>
        <w:tc>
          <w:tcPr>
            <w:tcW w:w="0" w:type="auto"/>
            <w:shd w:val="clear" w:color="auto" w:fill="auto"/>
            <w:vAlign w:val="bottom"/>
          </w:tcPr>
          <w:p w14:paraId="442F7C9E" w14:textId="77777777" w:rsidR="00CC25B5" w:rsidRDefault="00CC25B5">
            <w:pPr>
              <w:rPr>
                <w:rFonts w:ascii="宋体"/>
              </w:rPr>
            </w:pPr>
          </w:p>
        </w:tc>
      </w:tr>
      <w:tr w:rsidR="00CC25B5" w14:paraId="442F7CA9" w14:textId="77777777">
        <w:tc>
          <w:tcPr>
            <w:tcW w:w="0" w:type="auto"/>
            <w:gridSpan w:val="3"/>
            <w:shd w:val="clear" w:color="auto" w:fill="auto"/>
            <w:tcMar>
              <w:top w:w="40" w:type="dxa"/>
              <w:left w:w="20" w:type="dxa"/>
              <w:bottom w:w="40" w:type="dxa"/>
              <w:right w:w="20" w:type="dxa"/>
            </w:tcMar>
            <w:vAlign w:val="bottom"/>
          </w:tcPr>
          <w:p w14:paraId="442F7CA0" w14:textId="77777777" w:rsidR="00CC25B5" w:rsidRDefault="00900968">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vAlign w:val="bottom"/>
          </w:tcPr>
          <w:p w14:paraId="442F7CA1" w14:textId="77777777" w:rsidR="00CC25B5" w:rsidRDefault="00CC25B5">
            <w:pPr>
              <w:rPr>
                <w:rFonts w:ascii="宋体"/>
              </w:rPr>
            </w:pPr>
          </w:p>
        </w:tc>
        <w:tc>
          <w:tcPr>
            <w:tcW w:w="0" w:type="auto"/>
            <w:shd w:val="clear" w:color="auto" w:fill="auto"/>
            <w:vAlign w:val="bottom"/>
          </w:tcPr>
          <w:p w14:paraId="442F7CA2" w14:textId="77777777" w:rsidR="00CC25B5" w:rsidRDefault="00CC25B5">
            <w:pPr>
              <w:rPr>
                <w:rFonts w:ascii="宋体"/>
                <w:vanish/>
              </w:rPr>
            </w:pPr>
          </w:p>
        </w:tc>
        <w:tc>
          <w:tcPr>
            <w:tcW w:w="0" w:type="auto"/>
            <w:shd w:val="clear" w:color="auto" w:fill="auto"/>
            <w:vAlign w:val="bottom"/>
          </w:tcPr>
          <w:p w14:paraId="442F7CA3" w14:textId="77777777" w:rsidR="00CC25B5" w:rsidRDefault="00CC25B5">
            <w:pPr>
              <w:rPr>
                <w:rFonts w:ascii="宋体"/>
                <w:vanish/>
              </w:rPr>
            </w:pPr>
          </w:p>
        </w:tc>
        <w:tc>
          <w:tcPr>
            <w:tcW w:w="0" w:type="auto"/>
            <w:shd w:val="clear" w:color="auto" w:fill="auto"/>
            <w:vAlign w:val="bottom"/>
          </w:tcPr>
          <w:p w14:paraId="442F7CA4" w14:textId="77777777" w:rsidR="00CC25B5" w:rsidRDefault="00CC25B5">
            <w:pPr>
              <w:rPr>
                <w:rFonts w:ascii="宋体"/>
                <w:vanish/>
              </w:rPr>
            </w:pPr>
          </w:p>
        </w:tc>
        <w:tc>
          <w:tcPr>
            <w:tcW w:w="0" w:type="auto"/>
            <w:shd w:val="clear" w:color="auto" w:fill="auto"/>
            <w:vAlign w:val="bottom"/>
          </w:tcPr>
          <w:p w14:paraId="442F7CA5" w14:textId="77777777" w:rsidR="00CC25B5" w:rsidRDefault="00CC25B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CA6"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CA7"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CA8"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CB7" w14:textId="77777777">
        <w:tc>
          <w:tcPr>
            <w:tcW w:w="0" w:type="auto"/>
            <w:gridSpan w:val="3"/>
            <w:shd w:val="clear" w:color="auto" w:fill="CCEEFF"/>
            <w:tcMar>
              <w:top w:w="40" w:type="dxa"/>
              <w:left w:w="20" w:type="dxa"/>
              <w:bottom w:w="40" w:type="dxa"/>
              <w:right w:w="20" w:type="dxa"/>
            </w:tcMar>
            <w:vAlign w:val="center"/>
          </w:tcPr>
          <w:p w14:paraId="442F7CAA" w14:textId="77777777" w:rsidR="00CC25B5" w:rsidRDefault="00900968">
            <w:pPr>
              <w:textAlignment w:val="center"/>
            </w:pPr>
            <w:r>
              <w:rPr>
                <w:rFonts w:ascii="Times New Roman" w:eastAsia="宋体" w:hAnsi="Times New Roman"/>
                <w:color w:val="000000"/>
                <w:sz w:val="16"/>
                <w:szCs w:val="16"/>
              </w:rPr>
              <w:t>Supply chain, customer-facing initiatives and technology</w:t>
            </w:r>
          </w:p>
        </w:tc>
        <w:tc>
          <w:tcPr>
            <w:tcW w:w="0" w:type="auto"/>
            <w:gridSpan w:val="3"/>
            <w:shd w:val="clear" w:color="auto" w:fill="CCEEFF"/>
            <w:tcMar>
              <w:top w:w="0" w:type="dxa"/>
              <w:left w:w="20" w:type="dxa"/>
              <w:bottom w:w="0" w:type="dxa"/>
              <w:right w:w="20" w:type="dxa"/>
            </w:tcMar>
            <w:vAlign w:val="bottom"/>
          </w:tcPr>
          <w:p w14:paraId="442F7CAB" w14:textId="77777777" w:rsidR="00CC25B5" w:rsidRDefault="00CC25B5">
            <w:pPr>
              <w:rPr>
                <w:rFonts w:ascii="宋体"/>
              </w:rPr>
            </w:pPr>
          </w:p>
        </w:tc>
        <w:tc>
          <w:tcPr>
            <w:tcW w:w="0" w:type="auto"/>
            <w:shd w:val="clear" w:color="auto" w:fill="auto"/>
            <w:vAlign w:val="bottom"/>
          </w:tcPr>
          <w:p w14:paraId="442F7CAC" w14:textId="77777777" w:rsidR="00CC25B5" w:rsidRDefault="00CC25B5">
            <w:pPr>
              <w:rPr>
                <w:rFonts w:ascii="宋体"/>
                <w:vanish/>
              </w:rPr>
            </w:pPr>
          </w:p>
        </w:tc>
        <w:tc>
          <w:tcPr>
            <w:tcW w:w="0" w:type="auto"/>
            <w:shd w:val="clear" w:color="auto" w:fill="auto"/>
            <w:vAlign w:val="bottom"/>
          </w:tcPr>
          <w:p w14:paraId="442F7CAD" w14:textId="77777777" w:rsidR="00CC25B5" w:rsidRDefault="00CC25B5">
            <w:pPr>
              <w:rPr>
                <w:rFonts w:ascii="宋体"/>
                <w:vanish/>
              </w:rPr>
            </w:pPr>
          </w:p>
        </w:tc>
        <w:tc>
          <w:tcPr>
            <w:tcW w:w="0" w:type="auto"/>
            <w:shd w:val="clear" w:color="auto" w:fill="auto"/>
            <w:vAlign w:val="bottom"/>
          </w:tcPr>
          <w:p w14:paraId="442F7CAE" w14:textId="77777777" w:rsidR="00CC25B5" w:rsidRDefault="00CC25B5">
            <w:pPr>
              <w:rPr>
                <w:rFonts w:ascii="宋体"/>
                <w:vanish/>
              </w:rPr>
            </w:pPr>
          </w:p>
        </w:tc>
        <w:tc>
          <w:tcPr>
            <w:tcW w:w="0" w:type="auto"/>
            <w:shd w:val="clear" w:color="auto" w:fill="auto"/>
            <w:vAlign w:val="bottom"/>
          </w:tcPr>
          <w:p w14:paraId="442F7CAF" w14:textId="77777777" w:rsidR="00CC25B5" w:rsidRDefault="00CC25B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CB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CB1" w14:textId="77777777" w:rsidR="00CC25B5" w:rsidRDefault="00900968">
            <w:pPr>
              <w:jc w:val="right"/>
              <w:textAlignment w:val="center"/>
            </w:pPr>
            <w:r>
              <w:rPr>
                <w:rFonts w:ascii="Times New Roman" w:eastAsia="宋体" w:hAnsi="Times New Roman"/>
                <w:color w:val="000000"/>
                <w:sz w:val="16"/>
                <w:szCs w:val="16"/>
              </w:rPr>
              <w:t>2,454 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CB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B3"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CB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CB5" w14:textId="77777777" w:rsidR="00CC25B5" w:rsidRDefault="00900968">
            <w:pPr>
              <w:jc w:val="right"/>
              <w:textAlignment w:val="center"/>
            </w:pPr>
            <w:r>
              <w:rPr>
                <w:rFonts w:ascii="Times New Roman" w:eastAsia="宋体" w:hAnsi="Times New Roman"/>
                <w:color w:val="000000"/>
                <w:sz w:val="16"/>
                <w:szCs w:val="16"/>
              </w:rPr>
              <w:t>1,814 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CB6" w14:textId="77777777" w:rsidR="00CC25B5" w:rsidRDefault="00CC25B5">
            <w:pPr>
              <w:jc w:val="right"/>
              <w:rPr>
                <w:rFonts w:ascii="宋体"/>
              </w:rPr>
            </w:pPr>
          </w:p>
        </w:tc>
      </w:tr>
      <w:tr w:rsidR="00CC25B5" w14:paraId="442F7CC3" w14:textId="77777777">
        <w:tc>
          <w:tcPr>
            <w:tcW w:w="0" w:type="auto"/>
            <w:gridSpan w:val="3"/>
            <w:shd w:val="clear" w:color="auto" w:fill="FFFFFF"/>
            <w:tcMar>
              <w:top w:w="40" w:type="dxa"/>
              <w:left w:w="20" w:type="dxa"/>
              <w:bottom w:w="40" w:type="dxa"/>
              <w:right w:w="20" w:type="dxa"/>
            </w:tcMar>
            <w:vAlign w:val="center"/>
          </w:tcPr>
          <w:p w14:paraId="442F7CB8" w14:textId="77777777" w:rsidR="00CC25B5" w:rsidRDefault="00900968">
            <w:pPr>
              <w:textAlignment w:val="center"/>
            </w:pPr>
            <w:r>
              <w:rPr>
                <w:rFonts w:ascii="Times New Roman" w:eastAsia="宋体" w:hAnsi="Times New Roman"/>
                <w:color w:val="000000"/>
                <w:sz w:val="16"/>
                <w:szCs w:val="16"/>
              </w:rPr>
              <w:t>Store and club remodels</w:t>
            </w:r>
          </w:p>
        </w:tc>
        <w:tc>
          <w:tcPr>
            <w:tcW w:w="0" w:type="auto"/>
            <w:gridSpan w:val="3"/>
            <w:shd w:val="clear" w:color="auto" w:fill="FFFFFF"/>
            <w:tcMar>
              <w:top w:w="0" w:type="dxa"/>
              <w:left w:w="20" w:type="dxa"/>
              <w:bottom w:w="0" w:type="dxa"/>
              <w:right w:w="20" w:type="dxa"/>
            </w:tcMar>
            <w:vAlign w:val="bottom"/>
          </w:tcPr>
          <w:p w14:paraId="442F7CB9" w14:textId="77777777" w:rsidR="00CC25B5" w:rsidRDefault="00CC25B5">
            <w:pPr>
              <w:rPr>
                <w:rFonts w:ascii="宋体"/>
              </w:rPr>
            </w:pPr>
          </w:p>
        </w:tc>
        <w:tc>
          <w:tcPr>
            <w:tcW w:w="0" w:type="auto"/>
            <w:shd w:val="clear" w:color="auto" w:fill="auto"/>
            <w:vAlign w:val="bottom"/>
          </w:tcPr>
          <w:p w14:paraId="442F7CBA" w14:textId="77777777" w:rsidR="00CC25B5" w:rsidRDefault="00CC25B5">
            <w:pPr>
              <w:rPr>
                <w:rFonts w:ascii="宋体"/>
                <w:vanish/>
              </w:rPr>
            </w:pPr>
          </w:p>
        </w:tc>
        <w:tc>
          <w:tcPr>
            <w:tcW w:w="0" w:type="auto"/>
            <w:shd w:val="clear" w:color="auto" w:fill="auto"/>
            <w:vAlign w:val="bottom"/>
          </w:tcPr>
          <w:p w14:paraId="442F7CBB" w14:textId="77777777" w:rsidR="00CC25B5" w:rsidRDefault="00CC25B5">
            <w:pPr>
              <w:rPr>
                <w:rFonts w:ascii="宋体"/>
                <w:vanish/>
              </w:rPr>
            </w:pPr>
          </w:p>
        </w:tc>
        <w:tc>
          <w:tcPr>
            <w:tcW w:w="0" w:type="auto"/>
            <w:shd w:val="clear" w:color="auto" w:fill="auto"/>
            <w:vAlign w:val="bottom"/>
          </w:tcPr>
          <w:p w14:paraId="442F7CBC" w14:textId="77777777" w:rsidR="00CC25B5" w:rsidRDefault="00CC25B5">
            <w:pPr>
              <w:rPr>
                <w:rFonts w:ascii="宋体"/>
                <w:vanish/>
              </w:rPr>
            </w:pPr>
          </w:p>
        </w:tc>
        <w:tc>
          <w:tcPr>
            <w:tcW w:w="0" w:type="auto"/>
            <w:shd w:val="clear" w:color="auto" w:fill="auto"/>
            <w:vAlign w:val="bottom"/>
          </w:tcPr>
          <w:p w14:paraId="442F7CBD" w14:textId="77777777" w:rsidR="00CC25B5" w:rsidRDefault="00CC25B5">
            <w:pPr>
              <w:rPr>
                <w:rFonts w:ascii="宋体"/>
                <w:vanish/>
              </w:rPr>
            </w:pPr>
          </w:p>
        </w:tc>
        <w:tc>
          <w:tcPr>
            <w:tcW w:w="0" w:type="auto"/>
            <w:gridSpan w:val="2"/>
            <w:shd w:val="clear" w:color="auto" w:fill="FFFFFF"/>
            <w:tcMar>
              <w:top w:w="40" w:type="dxa"/>
              <w:left w:w="20" w:type="dxa"/>
              <w:bottom w:w="40" w:type="dxa"/>
              <w:right w:w="0" w:type="dxa"/>
            </w:tcMar>
            <w:vAlign w:val="center"/>
          </w:tcPr>
          <w:p w14:paraId="442F7CBE" w14:textId="77777777" w:rsidR="00CC25B5" w:rsidRDefault="00900968">
            <w:pPr>
              <w:jc w:val="right"/>
              <w:textAlignment w:val="center"/>
            </w:pPr>
            <w:r>
              <w:rPr>
                <w:rFonts w:ascii="Times New Roman" w:eastAsia="宋体" w:hAnsi="Times New Roman"/>
                <w:color w:val="000000"/>
                <w:sz w:val="16"/>
                <w:szCs w:val="16"/>
              </w:rPr>
              <w:t>1,446 </w:t>
            </w:r>
          </w:p>
        </w:tc>
        <w:tc>
          <w:tcPr>
            <w:tcW w:w="0" w:type="auto"/>
            <w:shd w:val="clear" w:color="auto" w:fill="FFFFFF"/>
            <w:tcMar>
              <w:top w:w="40" w:type="dxa"/>
              <w:left w:w="0" w:type="dxa"/>
              <w:bottom w:w="40" w:type="dxa"/>
              <w:right w:w="20" w:type="dxa"/>
            </w:tcMar>
            <w:vAlign w:val="center"/>
          </w:tcPr>
          <w:p w14:paraId="442F7CBF"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CC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CC1" w14:textId="77777777" w:rsidR="00CC25B5" w:rsidRDefault="00900968">
            <w:pPr>
              <w:jc w:val="right"/>
              <w:textAlignment w:val="center"/>
            </w:pPr>
            <w:r>
              <w:rPr>
                <w:rFonts w:ascii="Times New Roman" w:eastAsia="宋体" w:hAnsi="Times New Roman"/>
                <w:color w:val="000000"/>
                <w:sz w:val="16"/>
                <w:szCs w:val="16"/>
              </w:rPr>
              <w:t>822 </w:t>
            </w:r>
          </w:p>
        </w:tc>
        <w:tc>
          <w:tcPr>
            <w:tcW w:w="0" w:type="auto"/>
            <w:shd w:val="clear" w:color="auto" w:fill="FFFFFF"/>
            <w:tcMar>
              <w:top w:w="40" w:type="dxa"/>
              <w:left w:w="0" w:type="dxa"/>
              <w:bottom w:w="40" w:type="dxa"/>
              <w:right w:w="20" w:type="dxa"/>
            </w:tcMar>
            <w:vAlign w:val="center"/>
          </w:tcPr>
          <w:p w14:paraId="442F7CC2" w14:textId="77777777" w:rsidR="00CC25B5" w:rsidRDefault="00CC25B5">
            <w:pPr>
              <w:jc w:val="right"/>
              <w:rPr>
                <w:rFonts w:ascii="宋体"/>
              </w:rPr>
            </w:pPr>
          </w:p>
        </w:tc>
      </w:tr>
      <w:tr w:rsidR="00CC25B5" w14:paraId="442F7CCF" w14:textId="77777777">
        <w:tc>
          <w:tcPr>
            <w:tcW w:w="0" w:type="auto"/>
            <w:gridSpan w:val="3"/>
            <w:shd w:val="clear" w:color="auto" w:fill="CCEEFF"/>
            <w:tcMar>
              <w:top w:w="40" w:type="dxa"/>
              <w:left w:w="20" w:type="dxa"/>
              <w:bottom w:w="40" w:type="dxa"/>
              <w:right w:w="20" w:type="dxa"/>
            </w:tcMar>
            <w:vAlign w:val="center"/>
          </w:tcPr>
          <w:p w14:paraId="442F7CC4" w14:textId="77777777" w:rsidR="00CC25B5" w:rsidRDefault="00900968">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bottom"/>
          </w:tcPr>
          <w:p w14:paraId="442F7CC5" w14:textId="77777777" w:rsidR="00CC25B5" w:rsidRDefault="00CC25B5">
            <w:pPr>
              <w:rPr>
                <w:rFonts w:ascii="宋体"/>
              </w:rPr>
            </w:pPr>
          </w:p>
        </w:tc>
        <w:tc>
          <w:tcPr>
            <w:tcW w:w="0" w:type="auto"/>
            <w:shd w:val="clear" w:color="auto" w:fill="auto"/>
            <w:vAlign w:val="bottom"/>
          </w:tcPr>
          <w:p w14:paraId="442F7CC6" w14:textId="77777777" w:rsidR="00CC25B5" w:rsidRDefault="00CC25B5">
            <w:pPr>
              <w:rPr>
                <w:rFonts w:ascii="宋体"/>
                <w:vanish/>
              </w:rPr>
            </w:pPr>
          </w:p>
        </w:tc>
        <w:tc>
          <w:tcPr>
            <w:tcW w:w="0" w:type="auto"/>
            <w:shd w:val="clear" w:color="auto" w:fill="auto"/>
            <w:vAlign w:val="bottom"/>
          </w:tcPr>
          <w:p w14:paraId="442F7CC7" w14:textId="77777777" w:rsidR="00CC25B5" w:rsidRDefault="00CC25B5">
            <w:pPr>
              <w:rPr>
                <w:rFonts w:ascii="宋体"/>
                <w:vanish/>
              </w:rPr>
            </w:pPr>
          </w:p>
        </w:tc>
        <w:tc>
          <w:tcPr>
            <w:tcW w:w="0" w:type="auto"/>
            <w:shd w:val="clear" w:color="auto" w:fill="auto"/>
            <w:vAlign w:val="bottom"/>
          </w:tcPr>
          <w:p w14:paraId="442F7CC8" w14:textId="77777777" w:rsidR="00CC25B5" w:rsidRDefault="00CC25B5">
            <w:pPr>
              <w:rPr>
                <w:rFonts w:ascii="宋体"/>
                <w:vanish/>
              </w:rPr>
            </w:pPr>
          </w:p>
        </w:tc>
        <w:tc>
          <w:tcPr>
            <w:tcW w:w="0" w:type="auto"/>
            <w:shd w:val="clear" w:color="auto" w:fill="auto"/>
            <w:vAlign w:val="bottom"/>
          </w:tcPr>
          <w:p w14:paraId="442F7CC9" w14:textId="77777777" w:rsidR="00CC25B5" w:rsidRDefault="00CC25B5">
            <w:pPr>
              <w:rPr>
                <w:rFonts w:ascii="宋体"/>
                <w:vanish/>
              </w:rPr>
            </w:pPr>
          </w:p>
        </w:tc>
        <w:tc>
          <w:tcPr>
            <w:tcW w:w="0" w:type="auto"/>
            <w:gridSpan w:val="2"/>
            <w:shd w:val="clear" w:color="auto" w:fill="CCEEFF"/>
            <w:tcMar>
              <w:top w:w="40" w:type="dxa"/>
              <w:left w:w="20" w:type="dxa"/>
              <w:bottom w:w="40" w:type="dxa"/>
              <w:right w:w="0" w:type="dxa"/>
            </w:tcMar>
            <w:vAlign w:val="center"/>
          </w:tcPr>
          <w:p w14:paraId="442F7CCA" w14:textId="77777777" w:rsidR="00CC25B5" w:rsidRDefault="00900968">
            <w:pPr>
              <w:jc w:val="right"/>
              <w:textAlignment w:val="center"/>
            </w:pPr>
            <w:r>
              <w:rPr>
                <w:rFonts w:ascii="Times New Roman" w:eastAsia="宋体" w:hAnsi="Times New Roman"/>
                <w:color w:val="000000"/>
                <w:sz w:val="16"/>
                <w:szCs w:val="16"/>
              </w:rPr>
              <w:t>73 </w:t>
            </w:r>
          </w:p>
        </w:tc>
        <w:tc>
          <w:tcPr>
            <w:tcW w:w="0" w:type="auto"/>
            <w:shd w:val="clear" w:color="auto" w:fill="CCEEFF"/>
            <w:tcMar>
              <w:top w:w="40" w:type="dxa"/>
              <w:left w:w="0" w:type="dxa"/>
              <w:bottom w:w="40" w:type="dxa"/>
              <w:right w:w="20" w:type="dxa"/>
            </w:tcMar>
            <w:vAlign w:val="center"/>
          </w:tcPr>
          <w:p w14:paraId="442F7CC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C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CCD" w14:textId="77777777" w:rsidR="00CC25B5" w:rsidRDefault="00900968">
            <w:pPr>
              <w:jc w:val="right"/>
              <w:textAlignment w:val="center"/>
            </w:pPr>
            <w:r>
              <w:rPr>
                <w:rFonts w:ascii="Times New Roman" w:eastAsia="宋体" w:hAnsi="Times New Roman"/>
                <w:color w:val="000000"/>
                <w:sz w:val="16"/>
                <w:szCs w:val="16"/>
              </w:rPr>
              <w:t>43 </w:t>
            </w:r>
          </w:p>
        </w:tc>
        <w:tc>
          <w:tcPr>
            <w:tcW w:w="0" w:type="auto"/>
            <w:shd w:val="clear" w:color="auto" w:fill="CCEEFF"/>
            <w:tcMar>
              <w:top w:w="40" w:type="dxa"/>
              <w:left w:w="0" w:type="dxa"/>
              <w:bottom w:w="40" w:type="dxa"/>
              <w:right w:w="20" w:type="dxa"/>
            </w:tcMar>
            <w:vAlign w:val="center"/>
          </w:tcPr>
          <w:p w14:paraId="442F7CCE" w14:textId="77777777" w:rsidR="00CC25B5" w:rsidRDefault="00CC25B5">
            <w:pPr>
              <w:jc w:val="right"/>
              <w:rPr>
                <w:rFonts w:ascii="宋体"/>
              </w:rPr>
            </w:pPr>
          </w:p>
        </w:tc>
      </w:tr>
      <w:tr w:rsidR="00CC25B5" w14:paraId="442F7CDB" w14:textId="77777777">
        <w:tc>
          <w:tcPr>
            <w:tcW w:w="0" w:type="auto"/>
            <w:gridSpan w:val="3"/>
            <w:shd w:val="clear" w:color="auto" w:fill="FFFFFF"/>
            <w:tcMar>
              <w:top w:w="40" w:type="dxa"/>
              <w:left w:w="20" w:type="dxa"/>
              <w:bottom w:w="40" w:type="dxa"/>
              <w:right w:w="20" w:type="dxa"/>
            </w:tcMar>
            <w:vAlign w:val="center"/>
          </w:tcPr>
          <w:p w14:paraId="442F7CD0" w14:textId="77777777" w:rsidR="00CC25B5" w:rsidRDefault="00900968">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vAlign w:val="bottom"/>
          </w:tcPr>
          <w:p w14:paraId="442F7CD1" w14:textId="77777777" w:rsidR="00CC25B5" w:rsidRDefault="00CC25B5">
            <w:pPr>
              <w:rPr>
                <w:rFonts w:ascii="宋体"/>
              </w:rPr>
            </w:pPr>
          </w:p>
        </w:tc>
        <w:tc>
          <w:tcPr>
            <w:tcW w:w="0" w:type="auto"/>
            <w:shd w:val="clear" w:color="auto" w:fill="auto"/>
            <w:vAlign w:val="bottom"/>
          </w:tcPr>
          <w:p w14:paraId="442F7CD2" w14:textId="77777777" w:rsidR="00CC25B5" w:rsidRDefault="00CC25B5">
            <w:pPr>
              <w:rPr>
                <w:rFonts w:ascii="宋体"/>
                <w:vanish/>
              </w:rPr>
            </w:pPr>
          </w:p>
        </w:tc>
        <w:tc>
          <w:tcPr>
            <w:tcW w:w="0" w:type="auto"/>
            <w:shd w:val="clear" w:color="auto" w:fill="auto"/>
            <w:vAlign w:val="bottom"/>
          </w:tcPr>
          <w:p w14:paraId="442F7CD3" w14:textId="77777777" w:rsidR="00CC25B5" w:rsidRDefault="00CC25B5">
            <w:pPr>
              <w:rPr>
                <w:rFonts w:ascii="宋体"/>
                <w:vanish/>
              </w:rPr>
            </w:pPr>
          </w:p>
        </w:tc>
        <w:tc>
          <w:tcPr>
            <w:tcW w:w="0" w:type="auto"/>
            <w:shd w:val="clear" w:color="auto" w:fill="auto"/>
            <w:vAlign w:val="bottom"/>
          </w:tcPr>
          <w:p w14:paraId="442F7CD4" w14:textId="77777777" w:rsidR="00CC25B5" w:rsidRDefault="00CC25B5">
            <w:pPr>
              <w:rPr>
                <w:rFonts w:ascii="宋体"/>
                <w:vanish/>
              </w:rPr>
            </w:pPr>
          </w:p>
        </w:tc>
        <w:tc>
          <w:tcPr>
            <w:tcW w:w="0" w:type="auto"/>
            <w:shd w:val="clear" w:color="auto" w:fill="auto"/>
            <w:vAlign w:val="bottom"/>
          </w:tcPr>
          <w:p w14:paraId="442F7CD5" w14:textId="77777777" w:rsidR="00CC25B5" w:rsidRDefault="00CC25B5">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CD6" w14:textId="77777777" w:rsidR="00CC25B5" w:rsidRDefault="00900968">
            <w:pPr>
              <w:jc w:val="right"/>
              <w:textAlignment w:val="center"/>
            </w:pPr>
            <w:r>
              <w:rPr>
                <w:rFonts w:ascii="Times New Roman" w:eastAsia="宋体" w:hAnsi="Times New Roman"/>
                <w:color w:val="000000"/>
                <w:sz w:val="16"/>
                <w:szCs w:val="16"/>
              </w:rPr>
              <w:t>3,973 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CD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CD8"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CD9" w14:textId="77777777" w:rsidR="00CC25B5" w:rsidRDefault="00900968">
            <w:pPr>
              <w:jc w:val="right"/>
              <w:textAlignment w:val="center"/>
            </w:pPr>
            <w:r>
              <w:rPr>
                <w:rFonts w:ascii="Times New Roman" w:eastAsia="宋体" w:hAnsi="Times New Roman"/>
                <w:color w:val="000000"/>
                <w:sz w:val="16"/>
                <w:szCs w:val="16"/>
              </w:rPr>
              <w:t>2,679 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CDA" w14:textId="77777777" w:rsidR="00CC25B5" w:rsidRDefault="00CC25B5">
            <w:pPr>
              <w:jc w:val="right"/>
              <w:rPr>
                <w:rFonts w:ascii="宋体"/>
              </w:rPr>
            </w:pPr>
          </w:p>
        </w:tc>
      </w:tr>
      <w:tr w:rsidR="00CC25B5" w14:paraId="442F7CE7" w14:textId="77777777">
        <w:tc>
          <w:tcPr>
            <w:tcW w:w="0" w:type="auto"/>
            <w:gridSpan w:val="3"/>
            <w:shd w:val="clear" w:color="auto" w:fill="CCEEFF"/>
            <w:tcMar>
              <w:top w:w="40" w:type="dxa"/>
              <w:left w:w="20" w:type="dxa"/>
              <w:bottom w:w="40" w:type="dxa"/>
              <w:right w:w="20" w:type="dxa"/>
            </w:tcMar>
            <w:vAlign w:val="center"/>
          </w:tcPr>
          <w:p w14:paraId="442F7CDC" w14:textId="77777777" w:rsidR="00CC25B5" w:rsidRDefault="00900968">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vAlign w:val="bottom"/>
          </w:tcPr>
          <w:p w14:paraId="442F7CDD" w14:textId="77777777" w:rsidR="00CC25B5" w:rsidRDefault="00CC25B5">
            <w:pPr>
              <w:rPr>
                <w:rFonts w:ascii="宋体"/>
              </w:rPr>
            </w:pPr>
          </w:p>
        </w:tc>
        <w:tc>
          <w:tcPr>
            <w:tcW w:w="0" w:type="auto"/>
            <w:shd w:val="clear" w:color="auto" w:fill="auto"/>
            <w:vAlign w:val="bottom"/>
          </w:tcPr>
          <w:p w14:paraId="442F7CDE" w14:textId="77777777" w:rsidR="00CC25B5" w:rsidRDefault="00CC25B5">
            <w:pPr>
              <w:rPr>
                <w:rFonts w:ascii="宋体"/>
                <w:vanish/>
              </w:rPr>
            </w:pPr>
          </w:p>
        </w:tc>
        <w:tc>
          <w:tcPr>
            <w:tcW w:w="0" w:type="auto"/>
            <w:shd w:val="clear" w:color="auto" w:fill="auto"/>
            <w:vAlign w:val="bottom"/>
          </w:tcPr>
          <w:p w14:paraId="442F7CDF" w14:textId="77777777" w:rsidR="00CC25B5" w:rsidRDefault="00CC25B5">
            <w:pPr>
              <w:rPr>
                <w:rFonts w:ascii="宋体"/>
                <w:vanish/>
              </w:rPr>
            </w:pPr>
          </w:p>
        </w:tc>
        <w:tc>
          <w:tcPr>
            <w:tcW w:w="0" w:type="auto"/>
            <w:shd w:val="clear" w:color="auto" w:fill="auto"/>
            <w:vAlign w:val="bottom"/>
          </w:tcPr>
          <w:p w14:paraId="442F7CE0" w14:textId="77777777" w:rsidR="00CC25B5" w:rsidRDefault="00CC25B5">
            <w:pPr>
              <w:rPr>
                <w:rFonts w:ascii="宋体"/>
                <w:vanish/>
              </w:rPr>
            </w:pPr>
          </w:p>
        </w:tc>
        <w:tc>
          <w:tcPr>
            <w:tcW w:w="0" w:type="auto"/>
            <w:shd w:val="clear" w:color="auto" w:fill="auto"/>
            <w:vAlign w:val="bottom"/>
          </w:tcPr>
          <w:p w14:paraId="442F7CE1" w14:textId="77777777" w:rsidR="00CC25B5" w:rsidRDefault="00CC25B5">
            <w:pPr>
              <w:rPr>
                <w:rFonts w:ascii="宋体"/>
                <w:vanish/>
              </w:rPr>
            </w:pPr>
          </w:p>
        </w:tc>
        <w:tc>
          <w:tcPr>
            <w:tcW w:w="0" w:type="auto"/>
            <w:gridSpan w:val="2"/>
            <w:shd w:val="clear" w:color="auto" w:fill="CCEEFF"/>
            <w:tcMar>
              <w:top w:w="40" w:type="dxa"/>
              <w:left w:w="20" w:type="dxa"/>
              <w:bottom w:w="40" w:type="dxa"/>
              <w:right w:w="0" w:type="dxa"/>
            </w:tcMar>
            <w:vAlign w:val="center"/>
          </w:tcPr>
          <w:p w14:paraId="442F7CE2" w14:textId="77777777" w:rsidR="00CC25B5" w:rsidRDefault="00900968">
            <w:pPr>
              <w:jc w:val="right"/>
              <w:textAlignment w:val="center"/>
            </w:pPr>
            <w:r>
              <w:rPr>
                <w:rFonts w:ascii="Times New Roman" w:eastAsia="宋体" w:hAnsi="Times New Roman"/>
                <w:color w:val="000000"/>
                <w:sz w:val="16"/>
                <w:szCs w:val="16"/>
              </w:rPr>
              <w:t>1,046 </w:t>
            </w:r>
          </w:p>
        </w:tc>
        <w:tc>
          <w:tcPr>
            <w:tcW w:w="0" w:type="auto"/>
            <w:shd w:val="clear" w:color="auto" w:fill="CCEEFF"/>
            <w:tcMar>
              <w:top w:w="40" w:type="dxa"/>
              <w:left w:w="0" w:type="dxa"/>
              <w:bottom w:w="40" w:type="dxa"/>
              <w:right w:w="20" w:type="dxa"/>
            </w:tcMar>
            <w:vAlign w:val="center"/>
          </w:tcPr>
          <w:p w14:paraId="442F7CE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CE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CE5" w14:textId="77777777" w:rsidR="00CC25B5" w:rsidRDefault="00900968">
            <w:pPr>
              <w:jc w:val="right"/>
              <w:textAlignment w:val="center"/>
            </w:pPr>
            <w:r>
              <w:rPr>
                <w:rFonts w:ascii="Times New Roman" w:eastAsia="宋体" w:hAnsi="Times New Roman"/>
                <w:color w:val="000000"/>
                <w:sz w:val="16"/>
                <w:szCs w:val="16"/>
              </w:rPr>
              <w:t>890 </w:t>
            </w:r>
          </w:p>
        </w:tc>
        <w:tc>
          <w:tcPr>
            <w:tcW w:w="0" w:type="auto"/>
            <w:shd w:val="clear" w:color="auto" w:fill="CCEEFF"/>
            <w:tcMar>
              <w:top w:w="40" w:type="dxa"/>
              <w:left w:w="0" w:type="dxa"/>
              <w:bottom w:w="40" w:type="dxa"/>
              <w:right w:w="20" w:type="dxa"/>
            </w:tcMar>
            <w:vAlign w:val="center"/>
          </w:tcPr>
          <w:p w14:paraId="442F7CE6" w14:textId="77777777" w:rsidR="00CC25B5" w:rsidRDefault="00CC25B5">
            <w:pPr>
              <w:jc w:val="right"/>
              <w:rPr>
                <w:rFonts w:ascii="宋体"/>
              </w:rPr>
            </w:pPr>
          </w:p>
        </w:tc>
      </w:tr>
      <w:tr w:rsidR="00CC25B5" w14:paraId="442F7CF5" w14:textId="77777777">
        <w:tc>
          <w:tcPr>
            <w:tcW w:w="0" w:type="auto"/>
            <w:gridSpan w:val="3"/>
            <w:shd w:val="clear" w:color="auto" w:fill="FFFFFF"/>
            <w:tcMar>
              <w:top w:w="40" w:type="dxa"/>
              <w:left w:w="20" w:type="dxa"/>
              <w:bottom w:w="40" w:type="dxa"/>
              <w:right w:w="20" w:type="dxa"/>
            </w:tcMar>
            <w:vAlign w:val="center"/>
          </w:tcPr>
          <w:p w14:paraId="442F7CE8" w14:textId="77777777" w:rsidR="00CC25B5" w:rsidRDefault="00900968">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vAlign w:val="bottom"/>
          </w:tcPr>
          <w:p w14:paraId="442F7CE9" w14:textId="77777777" w:rsidR="00CC25B5" w:rsidRDefault="00CC25B5">
            <w:pPr>
              <w:rPr>
                <w:rFonts w:ascii="宋体"/>
              </w:rPr>
            </w:pPr>
          </w:p>
        </w:tc>
        <w:tc>
          <w:tcPr>
            <w:tcW w:w="0" w:type="auto"/>
            <w:shd w:val="clear" w:color="auto" w:fill="auto"/>
            <w:vAlign w:val="bottom"/>
          </w:tcPr>
          <w:p w14:paraId="442F7CEA" w14:textId="77777777" w:rsidR="00CC25B5" w:rsidRDefault="00CC25B5">
            <w:pPr>
              <w:rPr>
                <w:rFonts w:ascii="宋体"/>
                <w:vanish/>
              </w:rPr>
            </w:pPr>
          </w:p>
        </w:tc>
        <w:tc>
          <w:tcPr>
            <w:tcW w:w="0" w:type="auto"/>
            <w:shd w:val="clear" w:color="auto" w:fill="auto"/>
            <w:vAlign w:val="bottom"/>
          </w:tcPr>
          <w:p w14:paraId="442F7CEB" w14:textId="77777777" w:rsidR="00CC25B5" w:rsidRDefault="00CC25B5">
            <w:pPr>
              <w:rPr>
                <w:rFonts w:ascii="宋体"/>
                <w:vanish/>
              </w:rPr>
            </w:pPr>
          </w:p>
        </w:tc>
        <w:tc>
          <w:tcPr>
            <w:tcW w:w="0" w:type="auto"/>
            <w:shd w:val="clear" w:color="auto" w:fill="auto"/>
            <w:vAlign w:val="bottom"/>
          </w:tcPr>
          <w:p w14:paraId="442F7CEC" w14:textId="77777777" w:rsidR="00CC25B5" w:rsidRDefault="00CC25B5">
            <w:pPr>
              <w:rPr>
                <w:rFonts w:ascii="宋体"/>
                <w:vanish/>
              </w:rPr>
            </w:pPr>
          </w:p>
        </w:tc>
        <w:tc>
          <w:tcPr>
            <w:tcW w:w="0" w:type="auto"/>
            <w:shd w:val="clear" w:color="auto" w:fill="auto"/>
            <w:vAlign w:val="bottom"/>
          </w:tcPr>
          <w:p w14:paraId="442F7CED" w14:textId="77777777" w:rsidR="00CC25B5" w:rsidRDefault="00CC25B5">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CEE"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CEF" w14:textId="77777777" w:rsidR="00CC25B5" w:rsidRDefault="00900968">
            <w:pPr>
              <w:jc w:val="right"/>
              <w:textAlignment w:val="center"/>
            </w:pPr>
            <w:r>
              <w:rPr>
                <w:rFonts w:ascii="Times New Roman" w:eastAsia="宋体" w:hAnsi="Times New Roman"/>
                <w:color w:val="000000"/>
                <w:sz w:val="16"/>
                <w:szCs w:val="16"/>
              </w:rPr>
              <w:t>5,019 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CF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CF1" w14:textId="77777777" w:rsidR="00CC25B5" w:rsidRDefault="00CC25B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CF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42F7CF3" w14:textId="77777777" w:rsidR="00CC25B5" w:rsidRDefault="00900968">
            <w:pPr>
              <w:jc w:val="right"/>
              <w:textAlignment w:val="center"/>
            </w:pPr>
            <w:r>
              <w:rPr>
                <w:rFonts w:ascii="Times New Roman" w:eastAsia="宋体" w:hAnsi="Times New Roman"/>
                <w:color w:val="000000"/>
                <w:sz w:val="16"/>
                <w:szCs w:val="16"/>
              </w:rPr>
              <w:t>3,569 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CF4" w14:textId="77777777" w:rsidR="00CC25B5" w:rsidRDefault="00CC25B5">
            <w:pPr>
              <w:jc w:val="right"/>
              <w:rPr>
                <w:rFonts w:ascii="宋体"/>
              </w:rPr>
            </w:pPr>
          </w:p>
        </w:tc>
      </w:tr>
    </w:tbl>
    <w:p w14:paraId="442F7CF6" w14:textId="77777777" w:rsidR="00CC25B5" w:rsidRDefault="00CC25B5"/>
    <w:p w14:paraId="442F7CF7" w14:textId="77777777" w:rsidR="00CC25B5" w:rsidRDefault="00900968">
      <w:r>
        <w:rPr>
          <w:rFonts w:ascii="Times New Roman" w:eastAsia="宋体" w:hAnsi="Times New Roman"/>
          <w:b/>
          <w:bCs/>
          <w:color w:val="000000"/>
          <w:sz w:val="20"/>
          <w:szCs w:val="20"/>
          <w:u w:val="single"/>
        </w:rPr>
        <w:t>Returns</w:t>
      </w:r>
    </w:p>
    <w:p w14:paraId="442F7CF8" w14:textId="77777777" w:rsidR="00CC25B5" w:rsidRDefault="00900968">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investment and free cash flow metrics. In addition, we provide returns in the form of sh</w:t>
      </w:r>
      <w:r>
        <w:rPr>
          <w:rFonts w:ascii="Times New Roman" w:eastAsia="宋体" w:hAnsi="Times New Roman"/>
          <w:color w:val="000000"/>
          <w:sz w:val="20"/>
          <w:szCs w:val="20"/>
        </w:rPr>
        <w:t xml:space="preserve">are repurchases and dividends, which are discussed in the </w:t>
      </w:r>
      <w:hyperlink r:id="rId62" w:anchor="ie1710166881948a18c44f48eaa2dcf00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442F7CF9" w14:textId="77777777" w:rsidR="00CC25B5" w:rsidRDefault="00900968">
      <w:pPr>
        <w:spacing w:before="100"/>
      </w:pPr>
      <w:r>
        <w:rPr>
          <w:rFonts w:ascii="Times New Roman" w:eastAsia="宋体" w:hAnsi="Times New Roman"/>
          <w:i/>
          <w:iCs/>
          <w:color w:val="000000"/>
          <w:sz w:val="20"/>
          <w:szCs w:val="20"/>
        </w:rPr>
        <w:t xml:space="preserve">Return on Assets and Return on Investment </w:t>
      </w:r>
    </w:p>
    <w:p w14:paraId="442F7CFA" w14:textId="77777777" w:rsidR="00CC25B5" w:rsidRDefault="00900968">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("GAAP"), and</w:t>
      </w:r>
      <w:r>
        <w:rPr>
          <w:rFonts w:ascii="Times New Roman" w:eastAsia="宋体" w:hAnsi="Times New Roman"/>
          <w:color w:val="000000"/>
          <w:sz w:val="20"/>
          <w:szCs w:val="20"/>
        </w:rPr>
        <w:t xml:space="preserve"> Return on Investment ("ROI") as metrics to assess returns on assets. While ROI is considered a non-GAAP financial measure, management believes ROI is a meaningful metric to share with investors because it helps investors assess how effectively Walmart is </w:t>
      </w:r>
      <w:r>
        <w:rPr>
          <w:rFonts w:ascii="Times New Roman" w:eastAsia="宋体" w:hAnsi="Times New Roman"/>
          <w:color w:val="000000"/>
          <w:sz w:val="20"/>
          <w:szCs w:val="20"/>
        </w:rPr>
        <w:t>deploying its assets. Trends in ROI can fluctuate over time as management balances long-term strategic initiatives with possible short-term impacts. ROA was 4.4% and 7.7% for the trailing twelve months ended July 31, 2021 and 2020, respectively. The decrea</w:t>
      </w:r>
      <w:r>
        <w:rPr>
          <w:rFonts w:ascii="Times New Roman" w:eastAsia="宋体" w:hAnsi="Times New Roman"/>
          <w:color w:val="000000"/>
          <w:sz w:val="20"/>
          <w:szCs w:val="20"/>
        </w:rPr>
        <w:t>se in ROA was primarily due to the losses on divestiture of our operations in the U.K., Japan and Argentina as well as net fair value changes in our equity instruments, partially offset by the increase in operating income. ROI was 14.8% and 13.5% for the t</w:t>
      </w:r>
      <w:r>
        <w:rPr>
          <w:rFonts w:ascii="Times New Roman" w:eastAsia="宋体" w:hAnsi="Times New Roman"/>
          <w:color w:val="000000"/>
          <w:sz w:val="20"/>
          <w:szCs w:val="20"/>
        </w:rPr>
        <w:t>railing twelve months ended July 31, 2021 and 2020. The increase in ROI was primarily due to the increase in operating income.</w:t>
      </w:r>
    </w:p>
    <w:p w14:paraId="442F7CFB" w14:textId="77777777" w:rsidR="00CC25B5" w:rsidRDefault="00900968">
      <w:pPr>
        <w:jc w:val="center"/>
      </w:pPr>
      <w:r>
        <w:rPr>
          <w:rFonts w:ascii="Times New Roman" w:eastAsia="宋体" w:hAnsi="Times New Roman"/>
          <w:color w:val="000000"/>
          <w:sz w:val="20"/>
          <w:szCs w:val="20"/>
        </w:rPr>
        <w:t>17</w:t>
      </w:r>
    </w:p>
    <w:p w14:paraId="442F7CFC" w14:textId="77777777" w:rsidR="00CC25B5" w:rsidRDefault="00900968">
      <w:r>
        <w:pict w14:anchorId="442F85DA">
          <v:rect id="_x0000_i1041" style="width:415.3pt;height:1.5pt" o:hralign="center" o:hrstd="t" o:hr="t" fillcolor="#a0a0a0" stroked="f"/>
        </w:pict>
      </w:r>
    </w:p>
    <w:p w14:paraId="442F7CFD" w14:textId="77777777" w:rsidR="00CC25B5" w:rsidRDefault="00900968">
      <w:hyperlink r:id="rId63" w:anchor="ie1710166881948a18c44f48eaa2dcf00_7" w:history="1">
        <w:r>
          <w:rPr>
            <w:rStyle w:val="a5"/>
            <w:rFonts w:ascii="Times New Roman" w:eastAsia="宋体" w:hAnsi="Times New Roman"/>
            <w:sz w:val="20"/>
            <w:szCs w:val="20"/>
          </w:rPr>
          <w:t>Table of Contents</w:t>
        </w:r>
      </w:hyperlink>
    </w:p>
    <w:p w14:paraId="442F7CFE" w14:textId="77777777" w:rsidR="00CC25B5" w:rsidRDefault="00900968">
      <w:pPr>
        <w:spacing w:before="100"/>
      </w:pPr>
      <w:r>
        <w:rPr>
          <w:rFonts w:ascii="Times New Roman" w:eastAsia="宋体" w:hAnsi="Times New Roman"/>
          <w:color w:val="000000"/>
          <w:sz w:val="20"/>
          <w:szCs w:val="20"/>
        </w:rPr>
        <w:t>We define ROI as adjusted operating income (operating income plus interest income, depreciation and amortization, and rent expense) for the trailing 12 months divided by average invested capital during that period. We consider average invested capital to b</w:t>
      </w:r>
      <w:r>
        <w:rPr>
          <w:rFonts w:ascii="Times New Roman" w:eastAsia="宋体" w:hAnsi="Times New Roman"/>
          <w:color w:val="000000"/>
          <w:sz w:val="20"/>
          <w:szCs w:val="20"/>
        </w:rPr>
        <w:t xml:space="preserve">e the average of our beginning and ending total assets, plus average accumulated depreciation and amortization, less average accounts payable and average accrued liabilities for that period. </w:t>
      </w:r>
    </w:p>
    <w:p w14:paraId="442F7CFF" w14:textId="77777777" w:rsidR="00CC25B5" w:rsidRDefault="00900968">
      <w:pPr>
        <w:spacing w:before="100"/>
      </w:pPr>
      <w:r>
        <w:rPr>
          <w:rFonts w:ascii="Times New Roman" w:eastAsia="宋体" w:hAnsi="Times New Roman"/>
          <w:color w:val="000000"/>
          <w:sz w:val="20"/>
          <w:szCs w:val="20"/>
        </w:rPr>
        <w:t>Our calculation of ROI is considered a non-GAAP financial measur</w:t>
      </w:r>
      <w:r>
        <w:rPr>
          <w:rFonts w:ascii="Times New Roman" w:eastAsia="宋体" w:hAnsi="Times New Roman"/>
          <w:color w:val="000000"/>
          <w:sz w:val="20"/>
          <w:szCs w:val="20"/>
        </w:rPr>
        <w:t>e because we calculate ROI using financial measures that exclude and include amounts that are included and excluded in the most directly comparable GAAP financial measure. For example, we exclude the impact of depreciation and amortization from our reporte</w:t>
      </w:r>
      <w:r>
        <w:rPr>
          <w:rFonts w:ascii="Times New Roman" w:eastAsia="宋体" w:hAnsi="Times New Roman"/>
          <w:color w:val="000000"/>
          <w:sz w:val="20"/>
          <w:szCs w:val="20"/>
        </w:rPr>
        <w:t>d operating income in calculating the numerator of our calculation of ROI. As mentioned above, we consider ROA to be the financial measure computed in accordance with generally accepted accounting principles most directly comparable to our calculation of R</w:t>
      </w:r>
      <w:r>
        <w:rPr>
          <w:rFonts w:ascii="Times New Roman" w:eastAsia="宋体" w:hAnsi="Times New Roman"/>
          <w:color w:val="000000"/>
          <w:sz w:val="20"/>
          <w:szCs w:val="20"/>
        </w:rPr>
        <w:t>OI. ROI differs from ROA (which is consolidated net income for the period divided by average total assets for the period) because ROI: adjusts operating income to exclude certain expense items and adds interest income; adjusts total assets for the impact o</w:t>
      </w:r>
      <w:r>
        <w:rPr>
          <w:rFonts w:ascii="Times New Roman" w:eastAsia="宋体" w:hAnsi="Times New Roman"/>
          <w:color w:val="000000"/>
          <w:sz w:val="20"/>
          <w:szCs w:val="20"/>
        </w:rPr>
        <w:t>f accumulated depreciation and amortization, accounts payable and accrued liabilities to arrive at total invested capital. Because of the adjustments mentioned above, we believe ROI more accurately measures how we are deploying our key assets and is more m</w:t>
      </w:r>
      <w:r>
        <w:rPr>
          <w:rFonts w:ascii="Times New Roman" w:eastAsia="宋体" w:hAnsi="Times New Roman"/>
          <w:color w:val="000000"/>
          <w:sz w:val="20"/>
          <w:szCs w:val="20"/>
        </w:rPr>
        <w:t>eaningful to investors than ROA. Although ROI is a standard financial measure, numerous methods exist for calculating a company's ROI. As a result, the method used by management to calculate our ROI may differ from the methods used by other companies to ca</w:t>
      </w:r>
      <w:r>
        <w:rPr>
          <w:rFonts w:ascii="Times New Roman" w:eastAsia="宋体" w:hAnsi="Times New Roman"/>
          <w:color w:val="000000"/>
          <w:sz w:val="20"/>
          <w:szCs w:val="20"/>
        </w:rPr>
        <w:t>lculate their ROI.</w:t>
      </w:r>
    </w:p>
    <w:p w14:paraId="442F7D00" w14:textId="77777777" w:rsidR="00CC25B5" w:rsidRDefault="00900968">
      <w:pPr>
        <w:spacing w:before="100"/>
      </w:pPr>
      <w:r>
        <w:rPr>
          <w:rFonts w:ascii="Times New Roman" w:eastAsia="宋体" w:hAnsi="Times New Roman"/>
          <w:color w:val="000000"/>
          <w:sz w:val="20"/>
          <w:szCs w:val="20"/>
        </w:rPr>
        <w:t>The calculation of ROA and ROI, along with a reconciliation of ROI to the calculation of ROA, the most comparable GAAP financial measure,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65"/>
        <w:gridCol w:w="38"/>
        <w:gridCol w:w="36"/>
        <w:gridCol w:w="36"/>
        <w:gridCol w:w="36"/>
        <w:gridCol w:w="100"/>
        <w:gridCol w:w="735"/>
        <w:gridCol w:w="154"/>
        <w:gridCol w:w="36"/>
        <w:gridCol w:w="36"/>
        <w:gridCol w:w="36"/>
        <w:gridCol w:w="100"/>
        <w:gridCol w:w="735"/>
        <w:gridCol w:w="154"/>
      </w:tblGrid>
      <w:tr w:rsidR="00CC25B5" w14:paraId="442F7D10" w14:textId="77777777">
        <w:tc>
          <w:tcPr>
            <w:tcW w:w="50" w:type="pct"/>
            <w:shd w:val="clear" w:color="auto" w:fill="auto"/>
            <w:vAlign w:val="bottom"/>
          </w:tcPr>
          <w:p w14:paraId="442F7D01" w14:textId="77777777" w:rsidR="00CC25B5" w:rsidRDefault="00CC25B5">
            <w:pPr>
              <w:rPr>
                <w:rFonts w:ascii="宋体"/>
              </w:rPr>
            </w:pPr>
          </w:p>
        </w:tc>
        <w:tc>
          <w:tcPr>
            <w:tcW w:w="3702" w:type="pct"/>
            <w:shd w:val="clear" w:color="auto" w:fill="auto"/>
            <w:vAlign w:val="bottom"/>
          </w:tcPr>
          <w:p w14:paraId="442F7D02" w14:textId="77777777" w:rsidR="00CC25B5" w:rsidRDefault="00CC25B5">
            <w:pPr>
              <w:rPr>
                <w:rFonts w:ascii="宋体"/>
              </w:rPr>
            </w:pPr>
          </w:p>
        </w:tc>
        <w:tc>
          <w:tcPr>
            <w:tcW w:w="5" w:type="pct"/>
            <w:shd w:val="clear" w:color="auto" w:fill="auto"/>
            <w:vAlign w:val="bottom"/>
          </w:tcPr>
          <w:p w14:paraId="442F7D03" w14:textId="77777777" w:rsidR="00CC25B5" w:rsidRDefault="00CC25B5">
            <w:pPr>
              <w:rPr>
                <w:rFonts w:ascii="宋体"/>
              </w:rPr>
            </w:pPr>
          </w:p>
        </w:tc>
        <w:tc>
          <w:tcPr>
            <w:tcW w:w="5" w:type="pct"/>
            <w:shd w:val="clear" w:color="auto" w:fill="auto"/>
            <w:vAlign w:val="bottom"/>
          </w:tcPr>
          <w:p w14:paraId="442F7D04" w14:textId="77777777" w:rsidR="00CC25B5" w:rsidRDefault="00CC25B5">
            <w:pPr>
              <w:rPr>
                <w:rFonts w:ascii="宋体"/>
              </w:rPr>
            </w:pPr>
          </w:p>
        </w:tc>
        <w:tc>
          <w:tcPr>
            <w:tcW w:w="26" w:type="pct"/>
            <w:shd w:val="clear" w:color="auto" w:fill="auto"/>
            <w:vAlign w:val="bottom"/>
          </w:tcPr>
          <w:p w14:paraId="442F7D05" w14:textId="77777777" w:rsidR="00CC25B5" w:rsidRDefault="00CC25B5">
            <w:pPr>
              <w:rPr>
                <w:rFonts w:ascii="宋体"/>
              </w:rPr>
            </w:pPr>
          </w:p>
        </w:tc>
        <w:tc>
          <w:tcPr>
            <w:tcW w:w="5" w:type="pct"/>
            <w:shd w:val="clear" w:color="auto" w:fill="auto"/>
            <w:vAlign w:val="bottom"/>
          </w:tcPr>
          <w:p w14:paraId="442F7D06" w14:textId="77777777" w:rsidR="00CC25B5" w:rsidRDefault="00CC25B5">
            <w:pPr>
              <w:rPr>
                <w:rFonts w:ascii="宋体"/>
              </w:rPr>
            </w:pPr>
          </w:p>
        </w:tc>
        <w:tc>
          <w:tcPr>
            <w:tcW w:w="50" w:type="pct"/>
            <w:shd w:val="clear" w:color="auto" w:fill="auto"/>
            <w:vAlign w:val="bottom"/>
          </w:tcPr>
          <w:p w14:paraId="442F7D07" w14:textId="77777777" w:rsidR="00CC25B5" w:rsidRDefault="00CC25B5">
            <w:pPr>
              <w:rPr>
                <w:rFonts w:ascii="宋体"/>
              </w:rPr>
            </w:pPr>
          </w:p>
        </w:tc>
        <w:tc>
          <w:tcPr>
            <w:tcW w:w="529" w:type="pct"/>
            <w:shd w:val="clear" w:color="auto" w:fill="auto"/>
            <w:vAlign w:val="bottom"/>
          </w:tcPr>
          <w:p w14:paraId="442F7D08" w14:textId="77777777" w:rsidR="00CC25B5" w:rsidRDefault="00CC25B5">
            <w:pPr>
              <w:rPr>
                <w:rFonts w:ascii="宋体"/>
              </w:rPr>
            </w:pPr>
          </w:p>
        </w:tc>
        <w:tc>
          <w:tcPr>
            <w:tcW w:w="5" w:type="pct"/>
            <w:shd w:val="clear" w:color="auto" w:fill="auto"/>
            <w:vAlign w:val="bottom"/>
          </w:tcPr>
          <w:p w14:paraId="442F7D09" w14:textId="77777777" w:rsidR="00CC25B5" w:rsidRDefault="00CC25B5">
            <w:pPr>
              <w:rPr>
                <w:rFonts w:ascii="宋体"/>
              </w:rPr>
            </w:pPr>
          </w:p>
        </w:tc>
        <w:tc>
          <w:tcPr>
            <w:tcW w:w="5" w:type="pct"/>
            <w:shd w:val="clear" w:color="auto" w:fill="auto"/>
            <w:vAlign w:val="bottom"/>
          </w:tcPr>
          <w:p w14:paraId="442F7D0A" w14:textId="77777777" w:rsidR="00CC25B5" w:rsidRDefault="00CC25B5">
            <w:pPr>
              <w:rPr>
                <w:rFonts w:ascii="宋体"/>
              </w:rPr>
            </w:pPr>
          </w:p>
        </w:tc>
        <w:tc>
          <w:tcPr>
            <w:tcW w:w="26" w:type="pct"/>
            <w:shd w:val="clear" w:color="auto" w:fill="auto"/>
            <w:vAlign w:val="bottom"/>
          </w:tcPr>
          <w:p w14:paraId="442F7D0B" w14:textId="77777777" w:rsidR="00CC25B5" w:rsidRDefault="00CC25B5">
            <w:pPr>
              <w:rPr>
                <w:rFonts w:ascii="宋体"/>
              </w:rPr>
            </w:pPr>
          </w:p>
        </w:tc>
        <w:tc>
          <w:tcPr>
            <w:tcW w:w="5" w:type="pct"/>
            <w:shd w:val="clear" w:color="auto" w:fill="auto"/>
            <w:vAlign w:val="bottom"/>
          </w:tcPr>
          <w:p w14:paraId="442F7D0C" w14:textId="77777777" w:rsidR="00CC25B5" w:rsidRDefault="00CC25B5">
            <w:pPr>
              <w:rPr>
                <w:rFonts w:ascii="宋体"/>
              </w:rPr>
            </w:pPr>
          </w:p>
        </w:tc>
        <w:tc>
          <w:tcPr>
            <w:tcW w:w="50" w:type="pct"/>
            <w:shd w:val="clear" w:color="auto" w:fill="auto"/>
            <w:vAlign w:val="bottom"/>
          </w:tcPr>
          <w:p w14:paraId="442F7D0D" w14:textId="77777777" w:rsidR="00CC25B5" w:rsidRDefault="00CC25B5">
            <w:pPr>
              <w:rPr>
                <w:rFonts w:ascii="宋体"/>
              </w:rPr>
            </w:pPr>
          </w:p>
        </w:tc>
        <w:tc>
          <w:tcPr>
            <w:tcW w:w="529" w:type="pct"/>
            <w:shd w:val="clear" w:color="auto" w:fill="auto"/>
            <w:vAlign w:val="bottom"/>
          </w:tcPr>
          <w:p w14:paraId="442F7D0E" w14:textId="77777777" w:rsidR="00CC25B5" w:rsidRDefault="00CC25B5">
            <w:pPr>
              <w:rPr>
                <w:rFonts w:ascii="宋体"/>
              </w:rPr>
            </w:pPr>
          </w:p>
        </w:tc>
        <w:tc>
          <w:tcPr>
            <w:tcW w:w="5" w:type="pct"/>
            <w:shd w:val="clear" w:color="auto" w:fill="auto"/>
            <w:vAlign w:val="bottom"/>
          </w:tcPr>
          <w:p w14:paraId="442F7D0F" w14:textId="77777777" w:rsidR="00CC25B5" w:rsidRDefault="00CC25B5">
            <w:pPr>
              <w:rPr>
                <w:rFonts w:ascii="宋体"/>
              </w:rPr>
            </w:pPr>
          </w:p>
        </w:tc>
      </w:tr>
      <w:tr w:rsidR="00CC25B5" w14:paraId="442F7D14" w14:textId="77777777">
        <w:tc>
          <w:tcPr>
            <w:tcW w:w="0" w:type="auto"/>
            <w:gridSpan w:val="3"/>
            <w:shd w:val="clear" w:color="auto" w:fill="auto"/>
            <w:tcMar>
              <w:top w:w="40" w:type="dxa"/>
              <w:left w:w="20" w:type="dxa"/>
              <w:bottom w:w="40" w:type="dxa"/>
              <w:right w:w="20" w:type="dxa"/>
            </w:tcMar>
            <w:vAlign w:val="bottom"/>
          </w:tcPr>
          <w:p w14:paraId="442F7D11"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D12"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D13" w14:textId="77777777" w:rsidR="00CC25B5" w:rsidRDefault="00900968">
            <w:pPr>
              <w:jc w:val="center"/>
              <w:textAlignment w:val="bottom"/>
            </w:pPr>
            <w:r>
              <w:rPr>
                <w:rFonts w:ascii="Times New Roman" w:eastAsia="宋体" w:hAnsi="Times New Roman"/>
                <w:b/>
                <w:bCs/>
                <w:color w:val="000000"/>
                <w:sz w:val="16"/>
                <w:szCs w:val="16"/>
              </w:rPr>
              <w:t>For the Trailing Twelve Months Ending July 31,</w:t>
            </w:r>
          </w:p>
        </w:tc>
      </w:tr>
      <w:tr w:rsidR="00CC25B5" w14:paraId="442F7D1A" w14:textId="77777777">
        <w:tc>
          <w:tcPr>
            <w:tcW w:w="0" w:type="auto"/>
            <w:gridSpan w:val="3"/>
            <w:shd w:val="clear" w:color="auto" w:fill="auto"/>
            <w:tcMar>
              <w:top w:w="40" w:type="dxa"/>
              <w:left w:w="20" w:type="dxa"/>
              <w:bottom w:w="40" w:type="dxa"/>
              <w:right w:w="20" w:type="dxa"/>
            </w:tcMar>
            <w:vAlign w:val="bottom"/>
          </w:tcPr>
          <w:p w14:paraId="442F7D15" w14:textId="77777777" w:rsidR="00CC25B5" w:rsidRDefault="00900968">
            <w:pPr>
              <w:textAlignment w:val="bottom"/>
            </w:pPr>
            <w:r>
              <w:rPr>
                <w:rFonts w:ascii="Times New Roman" w:eastAsia="宋体" w:hAnsi="Times New Roman"/>
                <w:i/>
                <w:iCs/>
                <w:color w:val="000000"/>
                <w:sz w:val="16"/>
                <w:szCs w:val="16"/>
              </w:rPr>
              <w:t xml:space="preserve">(Amounts in </w:t>
            </w:r>
            <w:r>
              <w:rPr>
                <w:rFonts w:ascii="Times New Roman" w:eastAsia="宋体" w:hAnsi="Times New Roman"/>
                <w:i/>
                <w:iCs/>
                <w:color w:val="000000"/>
                <w:sz w:val="16"/>
                <w:szCs w:val="16"/>
              </w:rPr>
              <w:t>millions)</w:t>
            </w:r>
          </w:p>
        </w:tc>
        <w:tc>
          <w:tcPr>
            <w:tcW w:w="0" w:type="auto"/>
            <w:gridSpan w:val="3"/>
            <w:shd w:val="clear" w:color="auto" w:fill="auto"/>
            <w:tcMar>
              <w:top w:w="0" w:type="dxa"/>
              <w:left w:w="20" w:type="dxa"/>
              <w:bottom w:w="0" w:type="dxa"/>
              <w:right w:w="20" w:type="dxa"/>
            </w:tcMar>
            <w:vAlign w:val="bottom"/>
          </w:tcPr>
          <w:p w14:paraId="442F7D16" w14:textId="77777777" w:rsidR="00CC25B5" w:rsidRDefault="00CC25B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2F7D17"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D18" w14:textId="77777777" w:rsidR="00CC25B5" w:rsidRDefault="00CC25B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2F7D19"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D1C" w14:textId="77777777">
        <w:tc>
          <w:tcPr>
            <w:tcW w:w="0" w:type="auto"/>
            <w:gridSpan w:val="15"/>
            <w:shd w:val="clear" w:color="auto" w:fill="CCEEFF"/>
            <w:tcMar>
              <w:top w:w="40" w:type="dxa"/>
              <w:left w:w="20" w:type="dxa"/>
              <w:bottom w:w="40" w:type="dxa"/>
              <w:right w:w="20" w:type="dxa"/>
            </w:tcMar>
            <w:vAlign w:val="center"/>
          </w:tcPr>
          <w:p w14:paraId="442F7D1B" w14:textId="77777777" w:rsidR="00CC25B5" w:rsidRDefault="00900968">
            <w:pPr>
              <w:textAlignment w:val="center"/>
            </w:pPr>
            <w:r>
              <w:rPr>
                <w:rFonts w:ascii="Times New Roman" w:eastAsia="宋体" w:hAnsi="Times New Roman"/>
                <w:b/>
                <w:bCs/>
                <w:color w:val="000000"/>
                <w:sz w:val="16"/>
                <w:szCs w:val="16"/>
              </w:rPr>
              <w:t>CALCULATION OF RETURN ON ASSETS</w:t>
            </w:r>
          </w:p>
        </w:tc>
      </w:tr>
      <w:tr w:rsidR="00CC25B5" w14:paraId="442F7D22" w14:textId="77777777">
        <w:tc>
          <w:tcPr>
            <w:tcW w:w="0" w:type="auto"/>
            <w:gridSpan w:val="3"/>
            <w:shd w:val="clear" w:color="auto" w:fill="FFFFFF"/>
            <w:tcMar>
              <w:top w:w="40" w:type="dxa"/>
              <w:left w:w="20" w:type="dxa"/>
              <w:bottom w:w="40" w:type="dxa"/>
              <w:right w:w="20" w:type="dxa"/>
            </w:tcMar>
            <w:vAlign w:val="center"/>
          </w:tcPr>
          <w:p w14:paraId="442F7D1D" w14:textId="77777777" w:rsidR="00CC25B5" w:rsidRDefault="00900968">
            <w:pPr>
              <w:textAlignment w:val="center"/>
            </w:pPr>
            <w:r>
              <w:rPr>
                <w:rFonts w:ascii="Times New Roman" w:eastAsia="宋体" w:hAnsi="Times New Roman"/>
                <w:b/>
                <w:bCs/>
                <w:color w:val="000000"/>
                <w:sz w:val="16"/>
                <w:szCs w:val="16"/>
              </w:rPr>
              <w:t>Numerator</w:t>
            </w:r>
          </w:p>
        </w:tc>
        <w:tc>
          <w:tcPr>
            <w:tcW w:w="0" w:type="auto"/>
            <w:gridSpan w:val="3"/>
            <w:shd w:val="clear" w:color="auto" w:fill="FFFFFF"/>
            <w:tcMar>
              <w:top w:w="0" w:type="dxa"/>
              <w:left w:w="20" w:type="dxa"/>
              <w:bottom w:w="0" w:type="dxa"/>
              <w:right w:w="20" w:type="dxa"/>
            </w:tcMar>
            <w:vAlign w:val="bottom"/>
          </w:tcPr>
          <w:p w14:paraId="442F7D1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1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2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21" w14:textId="77777777" w:rsidR="00CC25B5" w:rsidRDefault="00CC25B5">
            <w:pPr>
              <w:rPr>
                <w:rFonts w:ascii="宋体"/>
              </w:rPr>
            </w:pPr>
          </w:p>
        </w:tc>
      </w:tr>
      <w:tr w:rsidR="00CC25B5" w14:paraId="442F7D2C" w14:textId="77777777">
        <w:tc>
          <w:tcPr>
            <w:tcW w:w="0" w:type="auto"/>
            <w:gridSpan w:val="3"/>
            <w:shd w:val="clear" w:color="auto" w:fill="CCEEFF"/>
            <w:tcMar>
              <w:top w:w="40" w:type="dxa"/>
              <w:left w:w="380" w:type="dxa"/>
              <w:bottom w:w="40" w:type="dxa"/>
              <w:right w:w="20" w:type="dxa"/>
            </w:tcMar>
            <w:vAlign w:val="center"/>
          </w:tcPr>
          <w:p w14:paraId="442F7D23" w14:textId="77777777" w:rsidR="00CC25B5" w:rsidRDefault="00900968">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442F7D24"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2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26" w14:textId="77777777" w:rsidR="00CC25B5" w:rsidRDefault="00900968">
            <w:pPr>
              <w:jc w:val="right"/>
              <w:textAlignment w:val="center"/>
            </w:pPr>
            <w:r>
              <w:rPr>
                <w:rFonts w:ascii="Times New Roman" w:eastAsia="宋体" w:hAnsi="Times New Roman"/>
                <w:color w:val="000000"/>
                <w:sz w:val="16"/>
                <w:szCs w:val="16"/>
              </w:rPr>
              <w:t>10,368 </w:t>
            </w:r>
          </w:p>
        </w:tc>
        <w:tc>
          <w:tcPr>
            <w:tcW w:w="0" w:type="auto"/>
            <w:shd w:val="clear" w:color="auto" w:fill="CCEEFF"/>
            <w:tcMar>
              <w:top w:w="40" w:type="dxa"/>
              <w:left w:w="0" w:type="dxa"/>
              <w:bottom w:w="40" w:type="dxa"/>
              <w:right w:w="20" w:type="dxa"/>
            </w:tcMar>
            <w:vAlign w:val="center"/>
          </w:tcPr>
          <w:p w14:paraId="442F7D2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28"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2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2A" w14:textId="77777777" w:rsidR="00CC25B5" w:rsidRDefault="00900968">
            <w:pPr>
              <w:jc w:val="right"/>
              <w:textAlignment w:val="center"/>
            </w:pPr>
            <w:r>
              <w:rPr>
                <w:rFonts w:ascii="Times New Roman" w:eastAsia="宋体" w:hAnsi="Times New Roman"/>
                <w:color w:val="000000"/>
                <w:sz w:val="16"/>
                <w:szCs w:val="16"/>
              </w:rPr>
              <w:t>18,128 </w:t>
            </w:r>
          </w:p>
        </w:tc>
        <w:tc>
          <w:tcPr>
            <w:tcW w:w="0" w:type="auto"/>
            <w:shd w:val="clear" w:color="auto" w:fill="CCEEFF"/>
            <w:tcMar>
              <w:top w:w="40" w:type="dxa"/>
              <w:left w:w="0" w:type="dxa"/>
              <w:bottom w:w="40" w:type="dxa"/>
              <w:right w:w="20" w:type="dxa"/>
            </w:tcMar>
            <w:vAlign w:val="center"/>
          </w:tcPr>
          <w:p w14:paraId="442F7D2B" w14:textId="77777777" w:rsidR="00CC25B5" w:rsidRDefault="00CC25B5">
            <w:pPr>
              <w:jc w:val="right"/>
              <w:rPr>
                <w:rFonts w:ascii="宋体"/>
              </w:rPr>
            </w:pPr>
          </w:p>
        </w:tc>
      </w:tr>
      <w:tr w:rsidR="00CC25B5" w14:paraId="442F7D32" w14:textId="77777777">
        <w:tc>
          <w:tcPr>
            <w:tcW w:w="0" w:type="auto"/>
            <w:gridSpan w:val="3"/>
            <w:shd w:val="clear" w:color="auto" w:fill="FFFFFF"/>
            <w:tcMar>
              <w:top w:w="40" w:type="dxa"/>
              <w:left w:w="20" w:type="dxa"/>
              <w:bottom w:w="40" w:type="dxa"/>
              <w:right w:w="20" w:type="dxa"/>
            </w:tcMar>
            <w:vAlign w:val="center"/>
          </w:tcPr>
          <w:p w14:paraId="442F7D2D" w14:textId="77777777" w:rsidR="00CC25B5" w:rsidRDefault="00900968">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442F7D2E"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D2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30" w14:textId="77777777" w:rsidR="00CC25B5" w:rsidRDefault="00CC25B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F7D31" w14:textId="77777777" w:rsidR="00CC25B5" w:rsidRDefault="00CC25B5">
            <w:pPr>
              <w:rPr>
                <w:rFonts w:ascii="宋体"/>
              </w:rPr>
            </w:pPr>
          </w:p>
        </w:tc>
      </w:tr>
      <w:tr w:rsidR="00CC25B5" w14:paraId="442F7D3C" w14:textId="77777777">
        <w:tc>
          <w:tcPr>
            <w:tcW w:w="0" w:type="auto"/>
            <w:gridSpan w:val="3"/>
            <w:shd w:val="clear" w:color="auto" w:fill="CCEEFF"/>
            <w:tcMar>
              <w:top w:w="40" w:type="dxa"/>
              <w:left w:w="20" w:type="dxa"/>
              <w:bottom w:w="40" w:type="dxa"/>
              <w:right w:w="20" w:type="dxa"/>
            </w:tcMar>
            <w:vAlign w:val="center"/>
          </w:tcPr>
          <w:p w14:paraId="442F7D33" w14:textId="77777777" w:rsidR="00CC25B5" w:rsidRDefault="00900968">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42F7D34"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3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36" w14:textId="77777777" w:rsidR="00CC25B5" w:rsidRDefault="00900968">
            <w:pPr>
              <w:jc w:val="right"/>
              <w:textAlignment w:val="center"/>
            </w:pPr>
            <w:r>
              <w:rPr>
                <w:rFonts w:ascii="Times New Roman" w:eastAsia="宋体" w:hAnsi="Times New Roman"/>
                <w:color w:val="000000"/>
                <w:sz w:val="16"/>
                <w:szCs w:val="16"/>
              </w:rPr>
              <w:t>237,967 </w:t>
            </w:r>
          </w:p>
        </w:tc>
        <w:tc>
          <w:tcPr>
            <w:tcW w:w="0" w:type="auto"/>
            <w:shd w:val="clear" w:color="auto" w:fill="CCEEFF"/>
            <w:tcMar>
              <w:top w:w="40" w:type="dxa"/>
              <w:left w:w="0" w:type="dxa"/>
              <w:bottom w:w="40" w:type="dxa"/>
              <w:right w:w="20" w:type="dxa"/>
            </w:tcMar>
            <w:vAlign w:val="center"/>
          </w:tcPr>
          <w:p w14:paraId="442F7D3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38"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3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3A" w14:textId="77777777" w:rsidR="00CC25B5" w:rsidRDefault="00900968">
            <w:pPr>
              <w:jc w:val="right"/>
              <w:textAlignment w:val="center"/>
            </w:pPr>
            <w:r>
              <w:rPr>
                <w:rFonts w:ascii="Times New Roman" w:eastAsia="宋体" w:hAnsi="Times New Roman"/>
                <w:color w:val="000000"/>
                <w:sz w:val="16"/>
                <w:szCs w:val="16"/>
              </w:rPr>
              <w:t>236,122 </w:t>
            </w:r>
          </w:p>
        </w:tc>
        <w:tc>
          <w:tcPr>
            <w:tcW w:w="0" w:type="auto"/>
            <w:shd w:val="clear" w:color="auto" w:fill="CCEEFF"/>
            <w:tcMar>
              <w:top w:w="40" w:type="dxa"/>
              <w:left w:w="0" w:type="dxa"/>
              <w:bottom w:w="40" w:type="dxa"/>
              <w:right w:w="20" w:type="dxa"/>
            </w:tcMar>
            <w:vAlign w:val="center"/>
          </w:tcPr>
          <w:p w14:paraId="442F7D3B" w14:textId="77777777" w:rsidR="00CC25B5" w:rsidRDefault="00CC25B5">
            <w:pPr>
              <w:jc w:val="right"/>
              <w:rPr>
                <w:rFonts w:ascii="宋体"/>
              </w:rPr>
            </w:pPr>
          </w:p>
        </w:tc>
      </w:tr>
      <w:tr w:rsidR="00CC25B5" w14:paraId="442F7D44" w14:textId="77777777">
        <w:tc>
          <w:tcPr>
            <w:tcW w:w="0" w:type="auto"/>
            <w:gridSpan w:val="3"/>
            <w:shd w:val="clear" w:color="auto" w:fill="FFFFFF"/>
            <w:tcMar>
              <w:top w:w="40" w:type="dxa"/>
              <w:left w:w="20" w:type="dxa"/>
              <w:bottom w:w="40" w:type="dxa"/>
              <w:right w:w="20" w:type="dxa"/>
            </w:tcMar>
            <w:vAlign w:val="center"/>
          </w:tcPr>
          <w:p w14:paraId="442F7D3D" w14:textId="77777777" w:rsidR="00CC25B5" w:rsidRDefault="00900968">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vAlign w:val="bottom"/>
          </w:tcPr>
          <w:p w14:paraId="442F7D3E"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D3F" w14:textId="77777777" w:rsidR="00CC25B5" w:rsidRDefault="00900968">
            <w:pPr>
              <w:jc w:val="right"/>
              <w:textAlignment w:val="center"/>
            </w:pPr>
            <w:r>
              <w:rPr>
                <w:rFonts w:ascii="Times New Roman" w:eastAsia="宋体" w:hAnsi="Times New Roman"/>
                <w:color w:val="000000"/>
                <w:sz w:val="16"/>
                <w:szCs w:val="16"/>
              </w:rPr>
              <w:t>4.4 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D4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D41" w14:textId="77777777" w:rsidR="00CC25B5" w:rsidRDefault="00CC25B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42F7D42" w14:textId="77777777" w:rsidR="00CC25B5" w:rsidRDefault="00900968">
            <w:pPr>
              <w:jc w:val="right"/>
              <w:textAlignment w:val="center"/>
            </w:pPr>
            <w:r>
              <w:rPr>
                <w:rFonts w:ascii="Times New Roman" w:eastAsia="宋体" w:hAnsi="Times New Roman"/>
                <w:color w:val="000000"/>
                <w:sz w:val="16"/>
                <w:szCs w:val="16"/>
              </w:rPr>
              <w:t>7.7 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D43"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7D4A" w14:textId="77777777">
        <w:trPr>
          <w:trHeight w:val="220"/>
        </w:trPr>
        <w:tc>
          <w:tcPr>
            <w:tcW w:w="0" w:type="auto"/>
            <w:gridSpan w:val="3"/>
            <w:shd w:val="clear" w:color="auto" w:fill="CCEEFF"/>
            <w:tcMar>
              <w:top w:w="0" w:type="dxa"/>
              <w:left w:w="20" w:type="dxa"/>
              <w:bottom w:w="0" w:type="dxa"/>
              <w:right w:w="20" w:type="dxa"/>
            </w:tcMar>
            <w:vAlign w:val="bottom"/>
          </w:tcPr>
          <w:p w14:paraId="442F7D45"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46"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D47"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48"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D49" w14:textId="77777777" w:rsidR="00CC25B5" w:rsidRDefault="00CC25B5">
            <w:pPr>
              <w:rPr>
                <w:rFonts w:ascii="宋体"/>
              </w:rPr>
            </w:pPr>
          </w:p>
        </w:tc>
      </w:tr>
      <w:tr w:rsidR="00CC25B5" w14:paraId="442F7D4C" w14:textId="77777777">
        <w:tc>
          <w:tcPr>
            <w:tcW w:w="0" w:type="auto"/>
            <w:gridSpan w:val="15"/>
            <w:shd w:val="clear" w:color="auto" w:fill="FFFFFF"/>
            <w:tcMar>
              <w:top w:w="40" w:type="dxa"/>
              <w:left w:w="20" w:type="dxa"/>
              <w:bottom w:w="40" w:type="dxa"/>
              <w:right w:w="20" w:type="dxa"/>
            </w:tcMar>
            <w:vAlign w:val="center"/>
          </w:tcPr>
          <w:p w14:paraId="442F7D4B" w14:textId="77777777" w:rsidR="00CC25B5" w:rsidRDefault="00900968">
            <w:pPr>
              <w:textAlignment w:val="center"/>
            </w:pPr>
            <w:r>
              <w:rPr>
                <w:rFonts w:ascii="Times New Roman" w:eastAsia="宋体" w:hAnsi="Times New Roman"/>
                <w:b/>
                <w:bCs/>
                <w:color w:val="000000"/>
                <w:sz w:val="16"/>
                <w:szCs w:val="16"/>
              </w:rPr>
              <w:t xml:space="preserve">CALCULATION OF </w:t>
            </w:r>
            <w:r>
              <w:rPr>
                <w:rFonts w:ascii="Times New Roman" w:eastAsia="宋体" w:hAnsi="Times New Roman"/>
                <w:b/>
                <w:bCs/>
                <w:color w:val="000000"/>
                <w:sz w:val="16"/>
                <w:szCs w:val="16"/>
              </w:rPr>
              <w:t>RETURN ON INVESTMENT</w:t>
            </w:r>
          </w:p>
        </w:tc>
      </w:tr>
      <w:tr w:rsidR="00CC25B5" w14:paraId="442F7D52" w14:textId="77777777">
        <w:tc>
          <w:tcPr>
            <w:tcW w:w="0" w:type="auto"/>
            <w:gridSpan w:val="3"/>
            <w:shd w:val="clear" w:color="auto" w:fill="CCEEFF"/>
            <w:tcMar>
              <w:top w:w="40" w:type="dxa"/>
              <w:left w:w="20" w:type="dxa"/>
              <w:bottom w:w="40" w:type="dxa"/>
              <w:right w:w="20" w:type="dxa"/>
            </w:tcMar>
            <w:vAlign w:val="center"/>
          </w:tcPr>
          <w:p w14:paraId="442F7D4D" w14:textId="77777777" w:rsidR="00CC25B5" w:rsidRDefault="00900968">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442F7D4E"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4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50"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51" w14:textId="77777777" w:rsidR="00CC25B5" w:rsidRDefault="00CC25B5">
            <w:pPr>
              <w:rPr>
                <w:rFonts w:ascii="宋体"/>
              </w:rPr>
            </w:pPr>
          </w:p>
        </w:tc>
      </w:tr>
      <w:tr w:rsidR="00CC25B5" w14:paraId="442F7D5C" w14:textId="77777777">
        <w:tc>
          <w:tcPr>
            <w:tcW w:w="0" w:type="auto"/>
            <w:gridSpan w:val="3"/>
            <w:shd w:val="clear" w:color="auto" w:fill="FFFFFF"/>
            <w:tcMar>
              <w:top w:w="40" w:type="dxa"/>
              <w:left w:w="380" w:type="dxa"/>
              <w:bottom w:w="40" w:type="dxa"/>
              <w:right w:w="20" w:type="dxa"/>
            </w:tcMar>
            <w:vAlign w:val="center"/>
          </w:tcPr>
          <w:p w14:paraId="442F7D53" w14:textId="77777777" w:rsidR="00CC25B5" w:rsidRDefault="00900968">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42F7D54"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D55"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D56" w14:textId="77777777" w:rsidR="00CC25B5" w:rsidRDefault="00900968">
            <w:pPr>
              <w:jc w:val="right"/>
              <w:textAlignment w:val="center"/>
            </w:pPr>
            <w:r>
              <w:rPr>
                <w:rFonts w:ascii="Times New Roman" w:eastAsia="宋体" w:hAnsi="Times New Roman"/>
                <w:color w:val="000000"/>
                <w:sz w:val="16"/>
                <w:szCs w:val="16"/>
              </w:rPr>
              <w:t>25,528 </w:t>
            </w:r>
          </w:p>
        </w:tc>
        <w:tc>
          <w:tcPr>
            <w:tcW w:w="0" w:type="auto"/>
            <w:shd w:val="clear" w:color="auto" w:fill="FFFFFF"/>
            <w:tcMar>
              <w:top w:w="40" w:type="dxa"/>
              <w:left w:w="0" w:type="dxa"/>
              <w:bottom w:w="40" w:type="dxa"/>
              <w:right w:w="20" w:type="dxa"/>
            </w:tcMar>
            <w:vAlign w:val="center"/>
          </w:tcPr>
          <w:p w14:paraId="442F7D5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58"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D5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D5A" w14:textId="77777777" w:rsidR="00CC25B5" w:rsidRDefault="00900968">
            <w:pPr>
              <w:jc w:val="right"/>
              <w:textAlignment w:val="center"/>
            </w:pPr>
            <w:r>
              <w:rPr>
                <w:rFonts w:ascii="Times New Roman" w:eastAsia="宋体" w:hAnsi="Times New Roman"/>
                <w:color w:val="000000"/>
                <w:sz w:val="16"/>
                <w:szCs w:val="16"/>
              </w:rPr>
              <w:t>21,323 </w:t>
            </w:r>
          </w:p>
        </w:tc>
        <w:tc>
          <w:tcPr>
            <w:tcW w:w="0" w:type="auto"/>
            <w:shd w:val="clear" w:color="auto" w:fill="FFFFFF"/>
            <w:tcMar>
              <w:top w:w="40" w:type="dxa"/>
              <w:left w:w="0" w:type="dxa"/>
              <w:bottom w:w="40" w:type="dxa"/>
              <w:right w:w="20" w:type="dxa"/>
            </w:tcMar>
            <w:vAlign w:val="center"/>
          </w:tcPr>
          <w:p w14:paraId="442F7D5B" w14:textId="77777777" w:rsidR="00CC25B5" w:rsidRDefault="00CC25B5">
            <w:pPr>
              <w:jc w:val="right"/>
              <w:rPr>
                <w:rFonts w:ascii="宋体"/>
              </w:rPr>
            </w:pPr>
          </w:p>
        </w:tc>
      </w:tr>
      <w:tr w:rsidR="00CC25B5" w14:paraId="442F7D64" w14:textId="77777777">
        <w:tc>
          <w:tcPr>
            <w:tcW w:w="0" w:type="auto"/>
            <w:gridSpan w:val="3"/>
            <w:shd w:val="clear" w:color="auto" w:fill="CCEEFF"/>
            <w:tcMar>
              <w:top w:w="40" w:type="dxa"/>
              <w:left w:w="380" w:type="dxa"/>
              <w:bottom w:w="40" w:type="dxa"/>
              <w:right w:w="20" w:type="dxa"/>
            </w:tcMar>
            <w:vAlign w:val="center"/>
          </w:tcPr>
          <w:p w14:paraId="442F7D5D" w14:textId="77777777" w:rsidR="00CC25B5" w:rsidRDefault="00900968">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vAlign w:val="bottom"/>
          </w:tcPr>
          <w:p w14:paraId="442F7D5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D5F" w14:textId="77777777" w:rsidR="00CC25B5" w:rsidRDefault="00900968">
            <w:pPr>
              <w:jc w:val="right"/>
              <w:textAlignment w:val="center"/>
            </w:pPr>
            <w:r>
              <w:rPr>
                <w:rFonts w:ascii="Times New Roman" w:eastAsia="宋体" w:hAnsi="Times New Roman"/>
                <w:color w:val="000000"/>
                <w:sz w:val="16"/>
                <w:szCs w:val="16"/>
              </w:rPr>
              <w:t>122 </w:t>
            </w:r>
          </w:p>
        </w:tc>
        <w:tc>
          <w:tcPr>
            <w:tcW w:w="0" w:type="auto"/>
            <w:shd w:val="clear" w:color="auto" w:fill="CCEEFF"/>
            <w:tcMar>
              <w:top w:w="40" w:type="dxa"/>
              <w:left w:w="0" w:type="dxa"/>
              <w:bottom w:w="40" w:type="dxa"/>
              <w:right w:w="20" w:type="dxa"/>
            </w:tcMar>
            <w:vAlign w:val="center"/>
          </w:tcPr>
          <w:p w14:paraId="442F7D6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6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D62" w14:textId="77777777" w:rsidR="00CC25B5" w:rsidRDefault="00900968">
            <w:pPr>
              <w:jc w:val="right"/>
              <w:textAlignment w:val="center"/>
            </w:pPr>
            <w:r>
              <w:rPr>
                <w:rFonts w:ascii="Times New Roman" w:eastAsia="宋体" w:hAnsi="Times New Roman"/>
                <w:color w:val="000000"/>
                <w:sz w:val="16"/>
                <w:szCs w:val="16"/>
              </w:rPr>
              <w:t>151 </w:t>
            </w:r>
          </w:p>
        </w:tc>
        <w:tc>
          <w:tcPr>
            <w:tcW w:w="0" w:type="auto"/>
            <w:shd w:val="clear" w:color="auto" w:fill="CCEEFF"/>
            <w:tcMar>
              <w:top w:w="40" w:type="dxa"/>
              <w:left w:w="0" w:type="dxa"/>
              <w:bottom w:w="40" w:type="dxa"/>
              <w:right w:w="20" w:type="dxa"/>
            </w:tcMar>
            <w:vAlign w:val="center"/>
          </w:tcPr>
          <w:p w14:paraId="442F7D63" w14:textId="77777777" w:rsidR="00CC25B5" w:rsidRDefault="00CC25B5">
            <w:pPr>
              <w:jc w:val="right"/>
              <w:rPr>
                <w:rFonts w:ascii="宋体"/>
              </w:rPr>
            </w:pPr>
          </w:p>
        </w:tc>
      </w:tr>
      <w:tr w:rsidR="00CC25B5" w14:paraId="442F7D6C" w14:textId="77777777">
        <w:tc>
          <w:tcPr>
            <w:tcW w:w="0" w:type="auto"/>
            <w:gridSpan w:val="3"/>
            <w:shd w:val="clear" w:color="auto" w:fill="FFFFFF"/>
            <w:tcMar>
              <w:top w:w="40" w:type="dxa"/>
              <w:left w:w="380" w:type="dxa"/>
              <w:bottom w:w="40" w:type="dxa"/>
              <w:right w:w="20" w:type="dxa"/>
            </w:tcMar>
            <w:vAlign w:val="center"/>
          </w:tcPr>
          <w:p w14:paraId="442F7D65" w14:textId="77777777" w:rsidR="00CC25B5" w:rsidRDefault="00900968">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vAlign w:val="bottom"/>
          </w:tcPr>
          <w:p w14:paraId="442F7D6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67" w14:textId="77777777" w:rsidR="00CC25B5" w:rsidRDefault="00900968">
            <w:pPr>
              <w:jc w:val="right"/>
              <w:textAlignment w:val="center"/>
            </w:pPr>
            <w:r>
              <w:rPr>
                <w:rFonts w:ascii="Times New Roman" w:eastAsia="宋体" w:hAnsi="Times New Roman"/>
                <w:color w:val="000000"/>
                <w:sz w:val="16"/>
                <w:szCs w:val="16"/>
              </w:rPr>
              <w:t>10,892 </w:t>
            </w:r>
          </w:p>
        </w:tc>
        <w:tc>
          <w:tcPr>
            <w:tcW w:w="0" w:type="auto"/>
            <w:shd w:val="clear" w:color="auto" w:fill="FFFFFF"/>
            <w:tcMar>
              <w:top w:w="40" w:type="dxa"/>
              <w:left w:w="0" w:type="dxa"/>
              <w:bottom w:w="40" w:type="dxa"/>
              <w:right w:w="20" w:type="dxa"/>
            </w:tcMar>
            <w:vAlign w:val="center"/>
          </w:tcPr>
          <w:p w14:paraId="442F7D6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6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6A" w14:textId="77777777" w:rsidR="00CC25B5" w:rsidRDefault="00900968">
            <w:pPr>
              <w:jc w:val="right"/>
              <w:textAlignment w:val="center"/>
            </w:pPr>
            <w:r>
              <w:rPr>
                <w:rFonts w:ascii="Times New Roman" w:eastAsia="宋体" w:hAnsi="Times New Roman"/>
                <w:color w:val="000000"/>
                <w:sz w:val="16"/>
                <w:szCs w:val="16"/>
              </w:rPr>
              <w:t>11,113 </w:t>
            </w:r>
          </w:p>
        </w:tc>
        <w:tc>
          <w:tcPr>
            <w:tcW w:w="0" w:type="auto"/>
            <w:shd w:val="clear" w:color="auto" w:fill="FFFFFF"/>
            <w:tcMar>
              <w:top w:w="40" w:type="dxa"/>
              <w:left w:w="0" w:type="dxa"/>
              <w:bottom w:w="40" w:type="dxa"/>
              <w:right w:w="20" w:type="dxa"/>
            </w:tcMar>
            <w:vAlign w:val="center"/>
          </w:tcPr>
          <w:p w14:paraId="442F7D6B" w14:textId="77777777" w:rsidR="00CC25B5" w:rsidRDefault="00CC25B5">
            <w:pPr>
              <w:jc w:val="right"/>
              <w:rPr>
                <w:rFonts w:ascii="宋体"/>
              </w:rPr>
            </w:pPr>
          </w:p>
        </w:tc>
      </w:tr>
      <w:tr w:rsidR="00CC25B5" w14:paraId="442F7D74" w14:textId="77777777">
        <w:tc>
          <w:tcPr>
            <w:tcW w:w="0" w:type="auto"/>
            <w:gridSpan w:val="3"/>
            <w:shd w:val="clear" w:color="auto" w:fill="CCEEFF"/>
            <w:tcMar>
              <w:top w:w="40" w:type="dxa"/>
              <w:left w:w="380" w:type="dxa"/>
              <w:bottom w:w="40" w:type="dxa"/>
              <w:right w:w="20" w:type="dxa"/>
            </w:tcMar>
            <w:vAlign w:val="center"/>
          </w:tcPr>
          <w:p w14:paraId="442F7D6D" w14:textId="77777777" w:rsidR="00CC25B5" w:rsidRDefault="00900968">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vAlign w:val="bottom"/>
          </w:tcPr>
          <w:p w14:paraId="442F7D6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D6F" w14:textId="77777777" w:rsidR="00CC25B5" w:rsidRDefault="00900968">
            <w:pPr>
              <w:jc w:val="right"/>
              <w:textAlignment w:val="center"/>
            </w:pPr>
            <w:r>
              <w:rPr>
                <w:rFonts w:ascii="Times New Roman" w:eastAsia="宋体" w:hAnsi="Times New Roman"/>
                <w:color w:val="000000"/>
                <w:sz w:val="16"/>
                <w:szCs w:val="16"/>
              </w:rPr>
              <w:t>2,451 </w:t>
            </w:r>
          </w:p>
        </w:tc>
        <w:tc>
          <w:tcPr>
            <w:tcW w:w="0" w:type="auto"/>
            <w:shd w:val="clear" w:color="auto" w:fill="CCEEFF"/>
            <w:tcMar>
              <w:top w:w="40" w:type="dxa"/>
              <w:left w:w="0" w:type="dxa"/>
              <w:bottom w:w="40" w:type="dxa"/>
              <w:right w:w="20" w:type="dxa"/>
            </w:tcMar>
            <w:vAlign w:val="center"/>
          </w:tcPr>
          <w:p w14:paraId="442F7D7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7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D72" w14:textId="77777777" w:rsidR="00CC25B5" w:rsidRDefault="00900968">
            <w:pPr>
              <w:jc w:val="right"/>
              <w:textAlignment w:val="center"/>
            </w:pPr>
            <w:r>
              <w:rPr>
                <w:rFonts w:ascii="Times New Roman" w:eastAsia="宋体" w:hAnsi="Times New Roman"/>
                <w:color w:val="000000"/>
                <w:sz w:val="16"/>
                <w:szCs w:val="16"/>
              </w:rPr>
              <w:t>2,679 </w:t>
            </w:r>
          </w:p>
        </w:tc>
        <w:tc>
          <w:tcPr>
            <w:tcW w:w="0" w:type="auto"/>
            <w:shd w:val="clear" w:color="auto" w:fill="CCEEFF"/>
            <w:tcMar>
              <w:top w:w="40" w:type="dxa"/>
              <w:left w:w="0" w:type="dxa"/>
              <w:bottom w:w="40" w:type="dxa"/>
              <w:right w:w="20" w:type="dxa"/>
            </w:tcMar>
            <w:vAlign w:val="center"/>
          </w:tcPr>
          <w:p w14:paraId="442F7D73" w14:textId="77777777" w:rsidR="00CC25B5" w:rsidRDefault="00CC25B5">
            <w:pPr>
              <w:jc w:val="right"/>
              <w:rPr>
                <w:rFonts w:ascii="宋体"/>
              </w:rPr>
            </w:pPr>
          </w:p>
        </w:tc>
      </w:tr>
      <w:tr w:rsidR="00CC25B5" w14:paraId="442F7D7E" w14:textId="77777777">
        <w:tc>
          <w:tcPr>
            <w:tcW w:w="0" w:type="auto"/>
            <w:gridSpan w:val="3"/>
            <w:shd w:val="clear" w:color="auto" w:fill="FFFFFF"/>
            <w:tcMar>
              <w:top w:w="40" w:type="dxa"/>
              <w:left w:w="380" w:type="dxa"/>
              <w:bottom w:w="40" w:type="dxa"/>
              <w:right w:w="20" w:type="dxa"/>
            </w:tcMar>
            <w:vAlign w:val="center"/>
          </w:tcPr>
          <w:p w14:paraId="442F7D75" w14:textId="77777777" w:rsidR="00CC25B5" w:rsidRDefault="00900968">
            <w:pPr>
              <w:textAlignment w:val="center"/>
            </w:pPr>
            <w:r>
              <w:rPr>
                <w:rFonts w:ascii="Times New Roman" w:eastAsia="宋体" w:hAnsi="Times New Roman"/>
                <w:color w:val="000000"/>
                <w:sz w:val="16"/>
                <w:szCs w:val="16"/>
              </w:rPr>
              <w:t>= ROI operating income</w:t>
            </w:r>
          </w:p>
        </w:tc>
        <w:tc>
          <w:tcPr>
            <w:tcW w:w="0" w:type="auto"/>
            <w:gridSpan w:val="3"/>
            <w:shd w:val="clear" w:color="auto" w:fill="FFFFFF"/>
            <w:tcMar>
              <w:top w:w="0" w:type="dxa"/>
              <w:left w:w="20" w:type="dxa"/>
              <w:bottom w:w="0" w:type="dxa"/>
              <w:right w:w="20" w:type="dxa"/>
            </w:tcMar>
            <w:vAlign w:val="bottom"/>
          </w:tcPr>
          <w:p w14:paraId="442F7D76"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D7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D78" w14:textId="77777777" w:rsidR="00CC25B5" w:rsidRDefault="00900968">
            <w:pPr>
              <w:jc w:val="right"/>
              <w:textAlignment w:val="center"/>
            </w:pPr>
            <w:r>
              <w:rPr>
                <w:rFonts w:ascii="Times New Roman" w:eastAsia="宋体" w:hAnsi="Times New Roman"/>
                <w:color w:val="000000"/>
                <w:sz w:val="16"/>
                <w:szCs w:val="16"/>
              </w:rPr>
              <w:t>38,993 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D7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7A" w14:textId="77777777" w:rsidR="00CC25B5" w:rsidRDefault="00CC25B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42F7D7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42F7D7C" w14:textId="77777777" w:rsidR="00CC25B5" w:rsidRDefault="00900968">
            <w:pPr>
              <w:jc w:val="right"/>
              <w:textAlignment w:val="center"/>
            </w:pPr>
            <w:r>
              <w:rPr>
                <w:rFonts w:ascii="Times New Roman" w:eastAsia="宋体" w:hAnsi="Times New Roman"/>
                <w:color w:val="000000"/>
                <w:sz w:val="16"/>
                <w:szCs w:val="16"/>
              </w:rPr>
              <w:t>35,266 </w:t>
            </w:r>
          </w:p>
        </w:tc>
        <w:tc>
          <w:tcPr>
            <w:tcW w:w="0" w:type="auto"/>
            <w:tcBorders>
              <w:top w:val="single" w:sz="8" w:space="0" w:color="000000"/>
            </w:tcBorders>
            <w:shd w:val="clear" w:color="auto" w:fill="FFFFFF"/>
            <w:tcMar>
              <w:top w:w="40" w:type="dxa"/>
              <w:left w:w="0" w:type="dxa"/>
              <w:bottom w:w="40" w:type="dxa"/>
              <w:right w:w="20" w:type="dxa"/>
            </w:tcMar>
            <w:vAlign w:val="center"/>
          </w:tcPr>
          <w:p w14:paraId="442F7D7D" w14:textId="77777777" w:rsidR="00CC25B5" w:rsidRDefault="00CC25B5">
            <w:pPr>
              <w:jc w:val="right"/>
              <w:rPr>
                <w:rFonts w:ascii="宋体"/>
              </w:rPr>
            </w:pPr>
          </w:p>
        </w:tc>
      </w:tr>
      <w:tr w:rsidR="00CC25B5" w14:paraId="442F7D84" w14:textId="77777777">
        <w:trPr>
          <w:trHeight w:val="220"/>
        </w:trPr>
        <w:tc>
          <w:tcPr>
            <w:tcW w:w="0" w:type="auto"/>
            <w:gridSpan w:val="3"/>
            <w:shd w:val="clear" w:color="auto" w:fill="CCEEFF"/>
            <w:tcMar>
              <w:top w:w="0" w:type="dxa"/>
              <w:left w:w="20" w:type="dxa"/>
              <w:bottom w:w="0" w:type="dxa"/>
              <w:right w:w="20" w:type="dxa"/>
            </w:tcMar>
            <w:vAlign w:val="bottom"/>
          </w:tcPr>
          <w:p w14:paraId="442F7D7F"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80"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D81"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7D82" w14:textId="77777777" w:rsidR="00CC25B5" w:rsidRDefault="00CC25B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F7D83" w14:textId="77777777" w:rsidR="00CC25B5" w:rsidRDefault="00CC25B5">
            <w:pPr>
              <w:rPr>
                <w:rFonts w:ascii="宋体"/>
              </w:rPr>
            </w:pPr>
          </w:p>
        </w:tc>
      </w:tr>
      <w:tr w:rsidR="00CC25B5" w14:paraId="442F7D8A" w14:textId="77777777">
        <w:tc>
          <w:tcPr>
            <w:tcW w:w="0" w:type="auto"/>
            <w:gridSpan w:val="3"/>
            <w:shd w:val="clear" w:color="auto" w:fill="FFFFFF"/>
            <w:tcMar>
              <w:top w:w="40" w:type="dxa"/>
              <w:left w:w="20" w:type="dxa"/>
              <w:bottom w:w="40" w:type="dxa"/>
              <w:right w:w="20" w:type="dxa"/>
            </w:tcMar>
            <w:vAlign w:val="center"/>
          </w:tcPr>
          <w:p w14:paraId="442F7D85" w14:textId="77777777" w:rsidR="00CC25B5" w:rsidRDefault="00900968">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442F7D86"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87"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88"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D89" w14:textId="77777777" w:rsidR="00CC25B5" w:rsidRDefault="00CC25B5">
            <w:pPr>
              <w:rPr>
                <w:rFonts w:ascii="宋体"/>
              </w:rPr>
            </w:pPr>
          </w:p>
        </w:tc>
      </w:tr>
      <w:tr w:rsidR="00CC25B5" w14:paraId="442F7D94" w14:textId="77777777">
        <w:tc>
          <w:tcPr>
            <w:tcW w:w="0" w:type="auto"/>
            <w:gridSpan w:val="3"/>
            <w:shd w:val="clear" w:color="auto" w:fill="CCEEFF"/>
            <w:tcMar>
              <w:top w:w="40" w:type="dxa"/>
              <w:left w:w="20" w:type="dxa"/>
              <w:bottom w:w="40" w:type="dxa"/>
              <w:right w:w="20" w:type="dxa"/>
            </w:tcMar>
            <w:vAlign w:val="center"/>
          </w:tcPr>
          <w:p w14:paraId="442F7D8B" w14:textId="77777777" w:rsidR="00CC25B5" w:rsidRDefault="00900968">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42F7D8C"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8D"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8E" w14:textId="77777777" w:rsidR="00CC25B5" w:rsidRDefault="00900968">
            <w:pPr>
              <w:jc w:val="right"/>
              <w:textAlignment w:val="center"/>
            </w:pPr>
            <w:r>
              <w:rPr>
                <w:rFonts w:ascii="Times New Roman" w:eastAsia="宋体" w:hAnsi="Times New Roman"/>
                <w:color w:val="000000"/>
                <w:sz w:val="16"/>
                <w:szCs w:val="16"/>
              </w:rPr>
              <w:t>237,967 </w:t>
            </w:r>
          </w:p>
        </w:tc>
        <w:tc>
          <w:tcPr>
            <w:tcW w:w="0" w:type="auto"/>
            <w:shd w:val="clear" w:color="auto" w:fill="CCEEFF"/>
            <w:tcMar>
              <w:top w:w="40" w:type="dxa"/>
              <w:left w:w="0" w:type="dxa"/>
              <w:bottom w:w="40" w:type="dxa"/>
              <w:right w:w="20" w:type="dxa"/>
            </w:tcMar>
            <w:vAlign w:val="center"/>
          </w:tcPr>
          <w:p w14:paraId="442F7D8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90"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9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92" w14:textId="77777777" w:rsidR="00CC25B5" w:rsidRDefault="00900968">
            <w:pPr>
              <w:jc w:val="right"/>
              <w:textAlignment w:val="center"/>
            </w:pPr>
            <w:r>
              <w:rPr>
                <w:rFonts w:ascii="Times New Roman" w:eastAsia="宋体" w:hAnsi="Times New Roman"/>
                <w:color w:val="000000"/>
                <w:sz w:val="16"/>
                <w:szCs w:val="16"/>
              </w:rPr>
              <w:t>236,122 </w:t>
            </w:r>
          </w:p>
        </w:tc>
        <w:tc>
          <w:tcPr>
            <w:tcW w:w="0" w:type="auto"/>
            <w:shd w:val="clear" w:color="auto" w:fill="CCEEFF"/>
            <w:tcMar>
              <w:top w:w="40" w:type="dxa"/>
              <w:left w:w="0" w:type="dxa"/>
              <w:bottom w:w="40" w:type="dxa"/>
              <w:right w:w="20" w:type="dxa"/>
            </w:tcMar>
            <w:vAlign w:val="center"/>
          </w:tcPr>
          <w:p w14:paraId="442F7D93" w14:textId="77777777" w:rsidR="00CC25B5" w:rsidRDefault="00CC25B5">
            <w:pPr>
              <w:jc w:val="right"/>
              <w:rPr>
                <w:rFonts w:ascii="宋体"/>
              </w:rPr>
            </w:pPr>
          </w:p>
        </w:tc>
      </w:tr>
      <w:tr w:rsidR="00CC25B5" w14:paraId="442F7D9C" w14:textId="77777777">
        <w:tc>
          <w:tcPr>
            <w:tcW w:w="0" w:type="auto"/>
            <w:gridSpan w:val="3"/>
            <w:shd w:val="clear" w:color="auto" w:fill="FFFFFF"/>
            <w:tcMar>
              <w:top w:w="40" w:type="dxa"/>
              <w:left w:w="20" w:type="dxa"/>
              <w:bottom w:w="40" w:type="dxa"/>
              <w:right w:w="20" w:type="dxa"/>
            </w:tcMar>
            <w:vAlign w:val="center"/>
          </w:tcPr>
          <w:p w14:paraId="442F7D95" w14:textId="77777777" w:rsidR="00CC25B5" w:rsidRDefault="00900968">
            <w:pPr>
              <w:textAlignment w:val="center"/>
            </w:pPr>
            <w:r>
              <w:rPr>
                <w:rFonts w:ascii="Times New Roman" w:eastAsia="宋体" w:hAnsi="Times New Roman"/>
                <w:color w:val="FFFFFF"/>
                <w:sz w:val="16"/>
                <w:szCs w:val="16"/>
              </w:rPr>
              <w:t>'</w:t>
            </w: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442F7D9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97" w14:textId="77777777" w:rsidR="00CC25B5" w:rsidRDefault="00900968">
            <w:pPr>
              <w:jc w:val="right"/>
              <w:textAlignment w:val="center"/>
            </w:pPr>
            <w:r>
              <w:rPr>
                <w:rFonts w:ascii="Times New Roman" w:eastAsia="宋体" w:hAnsi="Times New Roman"/>
                <w:color w:val="000000"/>
                <w:sz w:val="16"/>
                <w:szCs w:val="16"/>
              </w:rPr>
              <w:t>97,685 </w:t>
            </w:r>
          </w:p>
        </w:tc>
        <w:tc>
          <w:tcPr>
            <w:tcW w:w="0" w:type="auto"/>
            <w:shd w:val="clear" w:color="auto" w:fill="FFFFFF"/>
            <w:tcMar>
              <w:top w:w="40" w:type="dxa"/>
              <w:left w:w="0" w:type="dxa"/>
              <w:bottom w:w="40" w:type="dxa"/>
              <w:right w:w="20" w:type="dxa"/>
            </w:tcMar>
            <w:vAlign w:val="center"/>
          </w:tcPr>
          <w:p w14:paraId="442F7D9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9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9A" w14:textId="77777777" w:rsidR="00CC25B5" w:rsidRDefault="00900968">
            <w:pPr>
              <w:jc w:val="right"/>
              <w:textAlignment w:val="center"/>
            </w:pPr>
            <w:r>
              <w:rPr>
                <w:rFonts w:ascii="Times New Roman" w:eastAsia="宋体" w:hAnsi="Times New Roman"/>
                <w:color w:val="000000"/>
                <w:sz w:val="16"/>
                <w:szCs w:val="16"/>
              </w:rPr>
              <w:t>93,418 </w:t>
            </w:r>
          </w:p>
        </w:tc>
        <w:tc>
          <w:tcPr>
            <w:tcW w:w="0" w:type="auto"/>
            <w:shd w:val="clear" w:color="auto" w:fill="FFFFFF"/>
            <w:tcMar>
              <w:top w:w="40" w:type="dxa"/>
              <w:left w:w="0" w:type="dxa"/>
              <w:bottom w:w="40" w:type="dxa"/>
              <w:right w:w="20" w:type="dxa"/>
            </w:tcMar>
            <w:vAlign w:val="center"/>
          </w:tcPr>
          <w:p w14:paraId="442F7D9B" w14:textId="77777777" w:rsidR="00CC25B5" w:rsidRDefault="00CC25B5">
            <w:pPr>
              <w:jc w:val="right"/>
              <w:rPr>
                <w:rFonts w:ascii="宋体"/>
              </w:rPr>
            </w:pPr>
          </w:p>
        </w:tc>
      </w:tr>
      <w:tr w:rsidR="00CC25B5" w14:paraId="442F7DA4" w14:textId="77777777">
        <w:tc>
          <w:tcPr>
            <w:tcW w:w="0" w:type="auto"/>
            <w:gridSpan w:val="3"/>
            <w:shd w:val="clear" w:color="auto" w:fill="CCEEFF"/>
            <w:tcMar>
              <w:top w:w="40" w:type="dxa"/>
              <w:left w:w="20" w:type="dxa"/>
              <w:bottom w:w="40" w:type="dxa"/>
              <w:right w:w="20" w:type="dxa"/>
            </w:tcMar>
            <w:vAlign w:val="center"/>
          </w:tcPr>
          <w:p w14:paraId="442F7D9D" w14:textId="77777777" w:rsidR="00CC25B5" w:rsidRDefault="00900968">
            <w:pPr>
              <w:textAlignment w:val="center"/>
            </w:pPr>
            <w:r>
              <w:rPr>
                <w:rFonts w:ascii="Times New Roman" w:eastAsia="宋体" w:hAnsi="Times New Roman"/>
                <w:color w:val="CCEEFF"/>
                <w:sz w:val="16"/>
                <w:szCs w:val="16"/>
              </w:rPr>
              <w:t>'</w:t>
            </w: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42F7D9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D9F" w14:textId="77777777" w:rsidR="00CC25B5" w:rsidRDefault="00900968">
            <w:pPr>
              <w:jc w:val="right"/>
              <w:textAlignment w:val="center"/>
            </w:pPr>
            <w:r>
              <w:rPr>
                <w:rFonts w:ascii="Times New Roman" w:eastAsia="宋体" w:hAnsi="Times New Roman"/>
                <w:color w:val="000000"/>
                <w:sz w:val="16"/>
                <w:szCs w:val="16"/>
              </w:rPr>
              <w:t>47,964 </w:t>
            </w:r>
          </w:p>
        </w:tc>
        <w:tc>
          <w:tcPr>
            <w:tcW w:w="0" w:type="auto"/>
            <w:shd w:val="clear" w:color="auto" w:fill="CCEEFF"/>
            <w:tcMar>
              <w:top w:w="40" w:type="dxa"/>
              <w:left w:w="0" w:type="dxa"/>
              <w:bottom w:w="40" w:type="dxa"/>
              <w:right w:w="20" w:type="dxa"/>
            </w:tcMar>
            <w:vAlign w:val="center"/>
          </w:tcPr>
          <w:p w14:paraId="442F7DA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A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DA2" w14:textId="77777777" w:rsidR="00CC25B5" w:rsidRDefault="00900968">
            <w:pPr>
              <w:jc w:val="right"/>
              <w:textAlignment w:val="center"/>
            </w:pPr>
            <w:r>
              <w:rPr>
                <w:rFonts w:ascii="Times New Roman" w:eastAsia="宋体" w:hAnsi="Times New Roman"/>
                <w:color w:val="000000"/>
                <w:sz w:val="16"/>
                <w:szCs w:val="16"/>
              </w:rPr>
              <w:t>46,099 </w:t>
            </w:r>
          </w:p>
        </w:tc>
        <w:tc>
          <w:tcPr>
            <w:tcW w:w="0" w:type="auto"/>
            <w:shd w:val="clear" w:color="auto" w:fill="CCEEFF"/>
            <w:tcMar>
              <w:top w:w="40" w:type="dxa"/>
              <w:left w:w="0" w:type="dxa"/>
              <w:bottom w:w="40" w:type="dxa"/>
              <w:right w:w="20" w:type="dxa"/>
            </w:tcMar>
            <w:vAlign w:val="center"/>
          </w:tcPr>
          <w:p w14:paraId="442F7DA3" w14:textId="77777777" w:rsidR="00CC25B5" w:rsidRDefault="00CC25B5">
            <w:pPr>
              <w:jc w:val="right"/>
              <w:rPr>
                <w:rFonts w:ascii="宋体"/>
              </w:rPr>
            </w:pPr>
          </w:p>
        </w:tc>
      </w:tr>
      <w:tr w:rsidR="00CC25B5" w14:paraId="442F7DAC" w14:textId="77777777">
        <w:tc>
          <w:tcPr>
            <w:tcW w:w="0" w:type="auto"/>
            <w:gridSpan w:val="3"/>
            <w:shd w:val="clear" w:color="auto" w:fill="FFFFFF"/>
            <w:tcMar>
              <w:top w:w="40" w:type="dxa"/>
              <w:left w:w="20" w:type="dxa"/>
              <w:bottom w:w="40" w:type="dxa"/>
              <w:right w:w="20" w:type="dxa"/>
            </w:tcMar>
            <w:vAlign w:val="center"/>
          </w:tcPr>
          <w:p w14:paraId="442F7DA5" w14:textId="77777777" w:rsidR="00CC25B5" w:rsidRDefault="00900968">
            <w:pPr>
              <w:textAlignment w:val="center"/>
            </w:pPr>
            <w:r>
              <w:rPr>
                <w:rFonts w:ascii="Times New Roman" w:eastAsia="宋体" w:hAnsi="Times New Roman"/>
                <w:color w:val="000000"/>
                <w:sz w:val="16"/>
                <w:szCs w:val="16"/>
              </w:rPr>
              <w:t> - Average accrued 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442F7DA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A7" w14:textId="77777777" w:rsidR="00CC25B5" w:rsidRDefault="00900968">
            <w:pPr>
              <w:jc w:val="right"/>
              <w:textAlignment w:val="center"/>
            </w:pPr>
            <w:r>
              <w:rPr>
                <w:rFonts w:ascii="Times New Roman" w:eastAsia="宋体" w:hAnsi="Times New Roman"/>
                <w:color w:val="000000"/>
                <w:sz w:val="16"/>
                <w:szCs w:val="16"/>
              </w:rPr>
              <w:t>23,842 </w:t>
            </w:r>
          </w:p>
        </w:tc>
        <w:tc>
          <w:tcPr>
            <w:tcW w:w="0" w:type="auto"/>
            <w:shd w:val="clear" w:color="auto" w:fill="FFFFFF"/>
            <w:tcMar>
              <w:top w:w="40" w:type="dxa"/>
              <w:left w:w="0" w:type="dxa"/>
              <w:bottom w:w="40" w:type="dxa"/>
              <w:right w:w="20" w:type="dxa"/>
            </w:tcMar>
            <w:vAlign w:val="center"/>
          </w:tcPr>
          <w:p w14:paraId="442F7DA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A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AA" w14:textId="77777777" w:rsidR="00CC25B5" w:rsidRDefault="00900968">
            <w:pPr>
              <w:jc w:val="right"/>
              <w:textAlignment w:val="center"/>
            </w:pPr>
            <w:r>
              <w:rPr>
                <w:rFonts w:ascii="Times New Roman" w:eastAsia="宋体" w:hAnsi="Times New Roman"/>
                <w:color w:val="000000"/>
                <w:sz w:val="16"/>
                <w:szCs w:val="16"/>
              </w:rPr>
              <w:t>22,230 </w:t>
            </w:r>
          </w:p>
        </w:tc>
        <w:tc>
          <w:tcPr>
            <w:tcW w:w="0" w:type="auto"/>
            <w:shd w:val="clear" w:color="auto" w:fill="FFFFFF"/>
            <w:tcMar>
              <w:top w:w="40" w:type="dxa"/>
              <w:left w:w="0" w:type="dxa"/>
              <w:bottom w:w="40" w:type="dxa"/>
              <w:right w:w="20" w:type="dxa"/>
            </w:tcMar>
            <w:vAlign w:val="center"/>
          </w:tcPr>
          <w:p w14:paraId="442F7DAB" w14:textId="77777777" w:rsidR="00CC25B5" w:rsidRDefault="00CC25B5">
            <w:pPr>
              <w:jc w:val="right"/>
              <w:rPr>
                <w:rFonts w:ascii="宋体"/>
              </w:rPr>
            </w:pPr>
          </w:p>
        </w:tc>
      </w:tr>
      <w:tr w:rsidR="00CC25B5" w14:paraId="442F7DB6" w14:textId="77777777">
        <w:tc>
          <w:tcPr>
            <w:tcW w:w="0" w:type="auto"/>
            <w:gridSpan w:val="3"/>
            <w:shd w:val="clear" w:color="auto" w:fill="CCEEFF"/>
            <w:tcMar>
              <w:top w:w="40" w:type="dxa"/>
              <w:left w:w="380" w:type="dxa"/>
              <w:bottom w:w="40" w:type="dxa"/>
              <w:right w:w="20" w:type="dxa"/>
            </w:tcMar>
            <w:vAlign w:val="center"/>
          </w:tcPr>
          <w:p w14:paraId="442F7DAD" w14:textId="77777777" w:rsidR="00CC25B5" w:rsidRDefault="00900968">
            <w:pPr>
              <w:textAlignment w:val="center"/>
            </w:pPr>
            <w:r>
              <w:rPr>
                <w:rFonts w:ascii="Times New Roman" w:eastAsia="宋体" w:hAnsi="Times New Roman"/>
                <w:color w:val="000000"/>
                <w:sz w:val="16"/>
                <w:szCs w:val="16"/>
              </w:rPr>
              <w:t xml:space="preserve">= </w:t>
            </w:r>
            <w:r>
              <w:rPr>
                <w:rFonts w:ascii="Times New Roman" w:eastAsia="宋体" w:hAnsi="Times New Roman"/>
                <w:color w:val="000000"/>
                <w:sz w:val="16"/>
                <w:szCs w:val="16"/>
              </w:rPr>
              <w:t>Average invested capital</w:t>
            </w:r>
          </w:p>
        </w:tc>
        <w:tc>
          <w:tcPr>
            <w:tcW w:w="0" w:type="auto"/>
            <w:gridSpan w:val="3"/>
            <w:shd w:val="clear" w:color="auto" w:fill="CCEEFF"/>
            <w:tcMar>
              <w:top w:w="0" w:type="dxa"/>
              <w:left w:w="20" w:type="dxa"/>
              <w:bottom w:w="0" w:type="dxa"/>
              <w:right w:w="20" w:type="dxa"/>
            </w:tcMar>
            <w:vAlign w:val="bottom"/>
          </w:tcPr>
          <w:p w14:paraId="442F7DA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DA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DB0" w14:textId="77777777" w:rsidR="00CC25B5" w:rsidRDefault="00900968">
            <w:pPr>
              <w:jc w:val="right"/>
              <w:textAlignment w:val="center"/>
            </w:pPr>
            <w:r>
              <w:rPr>
                <w:rFonts w:ascii="Times New Roman" w:eastAsia="宋体" w:hAnsi="Times New Roman"/>
                <w:color w:val="000000"/>
                <w:sz w:val="16"/>
                <w:szCs w:val="16"/>
              </w:rPr>
              <w:t>263,846 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DB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B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DB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DB4" w14:textId="77777777" w:rsidR="00CC25B5" w:rsidRDefault="00900968">
            <w:pPr>
              <w:jc w:val="right"/>
              <w:textAlignment w:val="center"/>
            </w:pPr>
            <w:r>
              <w:rPr>
                <w:rFonts w:ascii="Times New Roman" w:eastAsia="宋体" w:hAnsi="Times New Roman"/>
                <w:color w:val="000000"/>
                <w:sz w:val="16"/>
                <w:szCs w:val="16"/>
              </w:rPr>
              <w:t>261,211 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DB5" w14:textId="77777777" w:rsidR="00CC25B5" w:rsidRDefault="00CC25B5">
            <w:pPr>
              <w:jc w:val="right"/>
              <w:rPr>
                <w:rFonts w:ascii="宋体"/>
              </w:rPr>
            </w:pPr>
          </w:p>
        </w:tc>
      </w:tr>
      <w:tr w:rsidR="00CC25B5" w14:paraId="442F7DBE" w14:textId="77777777">
        <w:tc>
          <w:tcPr>
            <w:tcW w:w="0" w:type="auto"/>
            <w:gridSpan w:val="3"/>
            <w:shd w:val="clear" w:color="auto" w:fill="FFFFFF"/>
            <w:tcMar>
              <w:top w:w="40" w:type="dxa"/>
              <w:left w:w="20" w:type="dxa"/>
              <w:bottom w:w="40" w:type="dxa"/>
              <w:right w:w="20" w:type="dxa"/>
            </w:tcMar>
            <w:vAlign w:val="center"/>
          </w:tcPr>
          <w:p w14:paraId="442F7DB7" w14:textId="77777777" w:rsidR="00CC25B5" w:rsidRDefault="00900968">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vAlign w:val="bottom"/>
          </w:tcPr>
          <w:p w14:paraId="442F7DB8" w14:textId="77777777" w:rsidR="00CC25B5" w:rsidRDefault="00CC25B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DB9" w14:textId="77777777" w:rsidR="00CC25B5" w:rsidRDefault="00900968">
            <w:pPr>
              <w:jc w:val="right"/>
              <w:textAlignment w:val="center"/>
            </w:pPr>
            <w:r>
              <w:rPr>
                <w:rFonts w:ascii="Times New Roman" w:eastAsia="宋体" w:hAnsi="Times New Roman"/>
                <w:color w:val="000000"/>
                <w:sz w:val="16"/>
                <w:szCs w:val="16"/>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DB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DBB" w14:textId="77777777" w:rsidR="00CC25B5" w:rsidRDefault="00CC25B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7DBC" w14:textId="77777777" w:rsidR="00CC25B5" w:rsidRDefault="00900968">
            <w:pPr>
              <w:jc w:val="right"/>
              <w:textAlignment w:val="center"/>
            </w:pPr>
            <w:r>
              <w:rPr>
                <w:rFonts w:ascii="Times New Roman" w:eastAsia="宋体" w:hAnsi="Times New Roman"/>
                <w:color w:val="000000"/>
                <w:sz w:val="16"/>
                <w:szCs w:val="16"/>
              </w:rPr>
              <w:t>13.5 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7DBD" w14:textId="77777777" w:rsidR="00CC25B5" w:rsidRDefault="00900968">
            <w:pPr>
              <w:jc w:val="right"/>
              <w:textAlignment w:val="center"/>
            </w:pPr>
            <w:r>
              <w:rPr>
                <w:rFonts w:ascii="Times New Roman" w:eastAsia="宋体" w:hAnsi="Times New Roman"/>
                <w:color w:val="000000"/>
                <w:sz w:val="16"/>
                <w:szCs w:val="16"/>
              </w:rPr>
              <w:t>%</w:t>
            </w:r>
          </w:p>
        </w:tc>
      </w:tr>
    </w:tbl>
    <w:p w14:paraId="442F7DBF" w14:textId="77777777" w:rsidR="00CC25B5" w:rsidRDefault="00900968">
      <w:pPr>
        <w:ind w:hanging="180"/>
      </w:pPr>
      <w:r>
        <w:rPr>
          <w:rFonts w:ascii="Times New Roman" w:eastAsia="宋体" w:hAnsi="Times New Roman"/>
          <w:color w:val="000000"/>
          <w:sz w:val="18"/>
          <w:szCs w:val="18"/>
        </w:rPr>
        <w:t> </w:t>
      </w: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The average is based on the addition of the account balance at the end of the current period to the account balance at the end of the prior period and </w:t>
      </w:r>
      <w:r>
        <w:rPr>
          <w:rFonts w:ascii="Times New Roman" w:eastAsia="宋体" w:hAnsi="Times New Roman"/>
          <w:color w:val="000000"/>
          <w:sz w:val="16"/>
          <w:szCs w:val="16"/>
        </w:rPr>
        <w:t>dividing by 2.</w:t>
      </w:r>
    </w:p>
    <w:tbl>
      <w:tblPr>
        <w:tblW w:w="5000" w:type="pct"/>
        <w:tblCellMar>
          <w:top w:w="15" w:type="dxa"/>
          <w:left w:w="15" w:type="dxa"/>
          <w:bottom w:w="15" w:type="dxa"/>
          <w:right w:w="15" w:type="dxa"/>
        </w:tblCellMar>
        <w:tblLook w:val="04A0" w:firstRow="1" w:lastRow="0" w:firstColumn="1" w:lastColumn="0" w:noHBand="0" w:noVBand="1"/>
      </w:tblPr>
      <w:tblGrid>
        <w:gridCol w:w="42"/>
        <w:gridCol w:w="5097"/>
        <w:gridCol w:w="37"/>
        <w:gridCol w:w="36"/>
        <w:gridCol w:w="36"/>
        <w:gridCol w:w="36"/>
        <w:gridCol w:w="100"/>
        <w:gridCol w:w="808"/>
        <w:gridCol w:w="36"/>
        <w:gridCol w:w="36"/>
        <w:gridCol w:w="36"/>
        <w:gridCol w:w="36"/>
        <w:gridCol w:w="100"/>
        <w:gridCol w:w="809"/>
        <w:gridCol w:w="36"/>
        <w:gridCol w:w="36"/>
        <w:gridCol w:w="36"/>
        <w:gridCol w:w="36"/>
        <w:gridCol w:w="100"/>
        <w:gridCol w:w="811"/>
        <w:gridCol w:w="36"/>
      </w:tblGrid>
      <w:tr w:rsidR="00CC25B5" w14:paraId="442F7DD5" w14:textId="77777777">
        <w:tc>
          <w:tcPr>
            <w:tcW w:w="50" w:type="pct"/>
            <w:shd w:val="clear" w:color="auto" w:fill="auto"/>
            <w:vAlign w:val="bottom"/>
          </w:tcPr>
          <w:p w14:paraId="442F7DC0" w14:textId="77777777" w:rsidR="00CC25B5" w:rsidRDefault="00CC25B5">
            <w:pPr>
              <w:rPr>
                <w:rFonts w:ascii="宋体"/>
              </w:rPr>
            </w:pPr>
          </w:p>
        </w:tc>
        <w:tc>
          <w:tcPr>
            <w:tcW w:w="3080" w:type="pct"/>
            <w:shd w:val="clear" w:color="auto" w:fill="auto"/>
            <w:vAlign w:val="bottom"/>
          </w:tcPr>
          <w:p w14:paraId="442F7DC1" w14:textId="77777777" w:rsidR="00CC25B5" w:rsidRDefault="00CC25B5">
            <w:pPr>
              <w:rPr>
                <w:rFonts w:ascii="宋体"/>
              </w:rPr>
            </w:pPr>
          </w:p>
        </w:tc>
        <w:tc>
          <w:tcPr>
            <w:tcW w:w="5" w:type="pct"/>
            <w:shd w:val="clear" w:color="auto" w:fill="auto"/>
            <w:vAlign w:val="bottom"/>
          </w:tcPr>
          <w:p w14:paraId="442F7DC2" w14:textId="77777777" w:rsidR="00CC25B5" w:rsidRDefault="00CC25B5">
            <w:pPr>
              <w:rPr>
                <w:rFonts w:ascii="宋体"/>
              </w:rPr>
            </w:pPr>
          </w:p>
        </w:tc>
        <w:tc>
          <w:tcPr>
            <w:tcW w:w="5" w:type="pct"/>
            <w:shd w:val="clear" w:color="auto" w:fill="auto"/>
            <w:vAlign w:val="bottom"/>
          </w:tcPr>
          <w:p w14:paraId="442F7DC3" w14:textId="77777777" w:rsidR="00CC25B5" w:rsidRDefault="00CC25B5">
            <w:pPr>
              <w:rPr>
                <w:rFonts w:ascii="宋体"/>
              </w:rPr>
            </w:pPr>
          </w:p>
        </w:tc>
        <w:tc>
          <w:tcPr>
            <w:tcW w:w="26" w:type="pct"/>
            <w:shd w:val="clear" w:color="auto" w:fill="auto"/>
            <w:vAlign w:val="bottom"/>
          </w:tcPr>
          <w:p w14:paraId="442F7DC4" w14:textId="77777777" w:rsidR="00CC25B5" w:rsidRDefault="00CC25B5">
            <w:pPr>
              <w:rPr>
                <w:rFonts w:ascii="宋体"/>
              </w:rPr>
            </w:pPr>
          </w:p>
        </w:tc>
        <w:tc>
          <w:tcPr>
            <w:tcW w:w="5" w:type="pct"/>
            <w:shd w:val="clear" w:color="auto" w:fill="auto"/>
            <w:vAlign w:val="bottom"/>
          </w:tcPr>
          <w:p w14:paraId="442F7DC5" w14:textId="77777777" w:rsidR="00CC25B5" w:rsidRDefault="00CC25B5">
            <w:pPr>
              <w:rPr>
                <w:rFonts w:ascii="宋体"/>
              </w:rPr>
            </w:pPr>
          </w:p>
        </w:tc>
        <w:tc>
          <w:tcPr>
            <w:tcW w:w="50" w:type="pct"/>
            <w:shd w:val="clear" w:color="auto" w:fill="auto"/>
            <w:vAlign w:val="bottom"/>
          </w:tcPr>
          <w:p w14:paraId="442F7DC6" w14:textId="77777777" w:rsidR="00CC25B5" w:rsidRDefault="00CC25B5">
            <w:pPr>
              <w:rPr>
                <w:rFonts w:ascii="宋体"/>
              </w:rPr>
            </w:pPr>
          </w:p>
        </w:tc>
        <w:tc>
          <w:tcPr>
            <w:tcW w:w="529" w:type="pct"/>
            <w:shd w:val="clear" w:color="auto" w:fill="auto"/>
            <w:vAlign w:val="bottom"/>
          </w:tcPr>
          <w:p w14:paraId="442F7DC7" w14:textId="77777777" w:rsidR="00CC25B5" w:rsidRDefault="00CC25B5">
            <w:pPr>
              <w:rPr>
                <w:rFonts w:ascii="宋体"/>
              </w:rPr>
            </w:pPr>
          </w:p>
        </w:tc>
        <w:tc>
          <w:tcPr>
            <w:tcW w:w="5" w:type="pct"/>
            <w:shd w:val="clear" w:color="auto" w:fill="auto"/>
            <w:vAlign w:val="bottom"/>
          </w:tcPr>
          <w:p w14:paraId="442F7DC8" w14:textId="77777777" w:rsidR="00CC25B5" w:rsidRDefault="00CC25B5">
            <w:pPr>
              <w:rPr>
                <w:rFonts w:ascii="宋体"/>
              </w:rPr>
            </w:pPr>
          </w:p>
        </w:tc>
        <w:tc>
          <w:tcPr>
            <w:tcW w:w="5" w:type="pct"/>
            <w:shd w:val="clear" w:color="auto" w:fill="auto"/>
            <w:vAlign w:val="bottom"/>
          </w:tcPr>
          <w:p w14:paraId="442F7DC9" w14:textId="77777777" w:rsidR="00CC25B5" w:rsidRDefault="00CC25B5">
            <w:pPr>
              <w:rPr>
                <w:rFonts w:ascii="宋体"/>
              </w:rPr>
            </w:pPr>
          </w:p>
        </w:tc>
        <w:tc>
          <w:tcPr>
            <w:tcW w:w="26" w:type="pct"/>
            <w:shd w:val="clear" w:color="auto" w:fill="auto"/>
            <w:vAlign w:val="bottom"/>
          </w:tcPr>
          <w:p w14:paraId="442F7DCA" w14:textId="77777777" w:rsidR="00CC25B5" w:rsidRDefault="00CC25B5">
            <w:pPr>
              <w:rPr>
                <w:rFonts w:ascii="宋体"/>
              </w:rPr>
            </w:pPr>
          </w:p>
        </w:tc>
        <w:tc>
          <w:tcPr>
            <w:tcW w:w="5" w:type="pct"/>
            <w:shd w:val="clear" w:color="auto" w:fill="auto"/>
            <w:vAlign w:val="bottom"/>
          </w:tcPr>
          <w:p w14:paraId="442F7DCB" w14:textId="77777777" w:rsidR="00CC25B5" w:rsidRDefault="00CC25B5">
            <w:pPr>
              <w:rPr>
                <w:rFonts w:ascii="宋体"/>
              </w:rPr>
            </w:pPr>
          </w:p>
        </w:tc>
        <w:tc>
          <w:tcPr>
            <w:tcW w:w="50" w:type="pct"/>
            <w:shd w:val="clear" w:color="auto" w:fill="auto"/>
            <w:vAlign w:val="bottom"/>
          </w:tcPr>
          <w:p w14:paraId="442F7DCC" w14:textId="77777777" w:rsidR="00CC25B5" w:rsidRDefault="00CC25B5">
            <w:pPr>
              <w:rPr>
                <w:rFonts w:ascii="宋体"/>
              </w:rPr>
            </w:pPr>
          </w:p>
        </w:tc>
        <w:tc>
          <w:tcPr>
            <w:tcW w:w="529" w:type="pct"/>
            <w:shd w:val="clear" w:color="auto" w:fill="auto"/>
            <w:vAlign w:val="bottom"/>
          </w:tcPr>
          <w:p w14:paraId="442F7DCD" w14:textId="77777777" w:rsidR="00CC25B5" w:rsidRDefault="00CC25B5">
            <w:pPr>
              <w:rPr>
                <w:rFonts w:ascii="宋体"/>
              </w:rPr>
            </w:pPr>
          </w:p>
        </w:tc>
        <w:tc>
          <w:tcPr>
            <w:tcW w:w="5" w:type="pct"/>
            <w:shd w:val="clear" w:color="auto" w:fill="auto"/>
            <w:vAlign w:val="bottom"/>
          </w:tcPr>
          <w:p w14:paraId="442F7DCE" w14:textId="77777777" w:rsidR="00CC25B5" w:rsidRDefault="00CC25B5">
            <w:pPr>
              <w:rPr>
                <w:rFonts w:ascii="宋体"/>
              </w:rPr>
            </w:pPr>
          </w:p>
        </w:tc>
        <w:tc>
          <w:tcPr>
            <w:tcW w:w="5" w:type="pct"/>
            <w:shd w:val="clear" w:color="auto" w:fill="auto"/>
            <w:vAlign w:val="bottom"/>
          </w:tcPr>
          <w:p w14:paraId="442F7DCF" w14:textId="77777777" w:rsidR="00CC25B5" w:rsidRDefault="00CC25B5">
            <w:pPr>
              <w:rPr>
                <w:rFonts w:ascii="宋体"/>
              </w:rPr>
            </w:pPr>
          </w:p>
        </w:tc>
        <w:tc>
          <w:tcPr>
            <w:tcW w:w="26" w:type="pct"/>
            <w:shd w:val="clear" w:color="auto" w:fill="auto"/>
            <w:vAlign w:val="bottom"/>
          </w:tcPr>
          <w:p w14:paraId="442F7DD0" w14:textId="77777777" w:rsidR="00CC25B5" w:rsidRDefault="00CC25B5">
            <w:pPr>
              <w:rPr>
                <w:rFonts w:ascii="宋体"/>
              </w:rPr>
            </w:pPr>
          </w:p>
        </w:tc>
        <w:tc>
          <w:tcPr>
            <w:tcW w:w="5" w:type="pct"/>
            <w:shd w:val="clear" w:color="auto" w:fill="auto"/>
            <w:vAlign w:val="bottom"/>
          </w:tcPr>
          <w:p w14:paraId="442F7DD1" w14:textId="77777777" w:rsidR="00CC25B5" w:rsidRDefault="00CC25B5">
            <w:pPr>
              <w:rPr>
                <w:rFonts w:ascii="宋体"/>
              </w:rPr>
            </w:pPr>
          </w:p>
        </w:tc>
        <w:tc>
          <w:tcPr>
            <w:tcW w:w="50" w:type="pct"/>
            <w:shd w:val="clear" w:color="auto" w:fill="auto"/>
            <w:vAlign w:val="bottom"/>
          </w:tcPr>
          <w:p w14:paraId="442F7DD2" w14:textId="77777777" w:rsidR="00CC25B5" w:rsidRDefault="00CC25B5">
            <w:pPr>
              <w:rPr>
                <w:rFonts w:ascii="宋体"/>
              </w:rPr>
            </w:pPr>
          </w:p>
        </w:tc>
        <w:tc>
          <w:tcPr>
            <w:tcW w:w="530" w:type="pct"/>
            <w:shd w:val="clear" w:color="auto" w:fill="auto"/>
            <w:vAlign w:val="bottom"/>
          </w:tcPr>
          <w:p w14:paraId="442F7DD3" w14:textId="77777777" w:rsidR="00CC25B5" w:rsidRDefault="00CC25B5">
            <w:pPr>
              <w:rPr>
                <w:rFonts w:ascii="宋体"/>
              </w:rPr>
            </w:pPr>
          </w:p>
        </w:tc>
        <w:tc>
          <w:tcPr>
            <w:tcW w:w="5" w:type="pct"/>
            <w:shd w:val="clear" w:color="auto" w:fill="auto"/>
            <w:vAlign w:val="bottom"/>
          </w:tcPr>
          <w:p w14:paraId="442F7DD4" w14:textId="77777777" w:rsidR="00CC25B5" w:rsidRDefault="00CC25B5">
            <w:pPr>
              <w:rPr>
                <w:rFonts w:ascii="宋体"/>
              </w:rPr>
            </w:pPr>
          </w:p>
        </w:tc>
      </w:tr>
      <w:tr w:rsidR="00CC25B5" w14:paraId="442F7DD9" w14:textId="77777777">
        <w:tc>
          <w:tcPr>
            <w:tcW w:w="0" w:type="auto"/>
            <w:gridSpan w:val="3"/>
            <w:shd w:val="clear" w:color="auto" w:fill="auto"/>
            <w:tcMar>
              <w:top w:w="40" w:type="dxa"/>
              <w:left w:w="20" w:type="dxa"/>
              <w:bottom w:w="40" w:type="dxa"/>
              <w:right w:w="20" w:type="dxa"/>
            </w:tcMar>
            <w:vAlign w:val="bottom"/>
          </w:tcPr>
          <w:p w14:paraId="442F7DD6"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DD7" w14:textId="77777777" w:rsidR="00CC25B5" w:rsidRDefault="00CC25B5">
            <w:pPr>
              <w:rPr>
                <w:rFonts w:ascii="宋体"/>
              </w:rPr>
            </w:pPr>
          </w:p>
        </w:tc>
        <w:tc>
          <w:tcPr>
            <w:tcW w:w="0" w:type="auto"/>
            <w:gridSpan w:val="15"/>
            <w:shd w:val="clear" w:color="auto" w:fill="auto"/>
            <w:tcMar>
              <w:top w:w="40" w:type="dxa"/>
              <w:left w:w="20" w:type="dxa"/>
              <w:bottom w:w="40" w:type="dxa"/>
              <w:right w:w="20" w:type="dxa"/>
            </w:tcMar>
            <w:vAlign w:val="bottom"/>
          </w:tcPr>
          <w:p w14:paraId="442F7DD8" w14:textId="77777777" w:rsidR="00CC25B5" w:rsidRDefault="00900968">
            <w:pPr>
              <w:jc w:val="center"/>
              <w:textAlignment w:val="bottom"/>
            </w:pPr>
            <w:r>
              <w:rPr>
                <w:rFonts w:ascii="Times New Roman" w:eastAsia="宋体" w:hAnsi="Times New Roman"/>
                <w:b/>
                <w:bCs/>
                <w:color w:val="000000"/>
                <w:sz w:val="16"/>
                <w:szCs w:val="16"/>
              </w:rPr>
              <w:t xml:space="preserve">As of </w:t>
            </w:r>
            <w:r>
              <w:rPr>
                <w:rFonts w:ascii="Times New Roman" w:eastAsia="宋体" w:hAnsi="Times New Roman"/>
                <w:b/>
                <w:bCs/>
                <w:color w:val="000000"/>
                <w:sz w:val="16"/>
                <w:szCs w:val="16"/>
              </w:rPr>
              <w:t>July 31,</w:t>
            </w:r>
          </w:p>
        </w:tc>
      </w:tr>
      <w:tr w:rsidR="00CC25B5" w14:paraId="442F7DE1" w14:textId="77777777">
        <w:tc>
          <w:tcPr>
            <w:tcW w:w="0" w:type="auto"/>
            <w:gridSpan w:val="3"/>
            <w:shd w:val="clear" w:color="auto" w:fill="auto"/>
            <w:tcMar>
              <w:top w:w="40" w:type="dxa"/>
              <w:left w:w="20" w:type="dxa"/>
              <w:bottom w:w="40" w:type="dxa"/>
              <w:right w:w="20" w:type="dxa"/>
            </w:tcMar>
            <w:vAlign w:val="bottom"/>
          </w:tcPr>
          <w:p w14:paraId="442F7DDA"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DDB"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DDC"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DDD"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DDE"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DDF"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DE0" w14:textId="77777777" w:rsidR="00CC25B5" w:rsidRDefault="00900968">
            <w:pPr>
              <w:jc w:val="center"/>
              <w:textAlignment w:val="bottom"/>
            </w:pPr>
            <w:r>
              <w:rPr>
                <w:rFonts w:ascii="Times New Roman" w:eastAsia="宋体" w:hAnsi="Times New Roman"/>
                <w:b/>
                <w:bCs/>
                <w:color w:val="000000"/>
                <w:sz w:val="16"/>
                <w:szCs w:val="16"/>
              </w:rPr>
              <w:t>2019</w:t>
            </w:r>
          </w:p>
        </w:tc>
      </w:tr>
      <w:tr w:rsidR="00CC25B5" w14:paraId="442F7DE9" w14:textId="77777777">
        <w:tc>
          <w:tcPr>
            <w:tcW w:w="0" w:type="auto"/>
            <w:gridSpan w:val="3"/>
            <w:shd w:val="clear" w:color="auto" w:fill="auto"/>
            <w:tcMar>
              <w:top w:w="40" w:type="dxa"/>
              <w:left w:w="20" w:type="dxa"/>
              <w:bottom w:w="40" w:type="dxa"/>
              <w:right w:w="20" w:type="dxa"/>
            </w:tcMar>
            <w:vAlign w:val="bottom"/>
          </w:tcPr>
          <w:p w14:paraId="442F7DE2" w14:textId="77777777" w:rsidR="00CC25B5" w:rsidRDefault="00900968">
            <w:pPr>
              <w:textAlignment w:val="bottom"/>
            </w:pPr>
            <w:r>
              <w:rPr>
                <w:rFonts w:ascii="Times New Roman" w:eastAsia="宋体" w:hAnsi="Times New Roman"/>
                <w:b/>
                <w:bCs/>
                <w:color w:val="000000"/>
                <w:sz w:val="16"/>
                <w:szCs w:val="16"/>
              </w:rPr>
              <w:t>Certain Balance Sheet Data</w:t>
            </w:r>
          </w:p>
        </w:tc>
        <w:tc>
          <w:tcPr>
            <w:tcW w:w="0" w:type="auto"/>
            <w:gridSpan w:val="3"/>
            <w:shd w:val="clear" w:color="auto" w:fill="auto"/>
            <w:tcMar>
              <w:top w:w="0" w:type="dxa"/>
              <w:left w:w="20" w:type="dxa"/>
              <w:bottom w:w="0" w:type="dxa"/>
              <w:right w:w="20" w:type="dxa"/>
            </w:tcMar>
            <w:vAlign w:val="bottom"/>
          </w:tcPr>
          <w:p w14:paraId="442F7DE3"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DE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DE5"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DE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DE7"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DE8" w14:textId="77777777" w:rsidR="00CC25B5" w:rsidRDefault="00CC25B5">
            <w:pPr>
              <w:rPr>
                <w:rFonts w:ascii="宋体"/>
              </w:rPr>
            </w:pPr>
          </w:p>
        </w:tc>
      </w:tr>
      <w:tr w:rsidR="00CC25B5" w14:paraId="442F7DF7" w14:textId="77777777">
        <w:tc>
          <w:tcPr>
            <w:tcW w:w="0" w:type="auto"/>
            <w:gridSpan w:val="3"/>
            <w:shd w:val="clear" w:color="auto" w:fill="CCEEFF"/>
            <w:tcMar>
              <w:top w:w="40" w:type="dxa"/>
              <w:left w:w="20" w:type="dxa"/>
              <w:bottom w:w="40" w:type="dxa"/>
              <w:right w:w="20" w:type="dxa"/>
            </w:tcMar>
            <w:vAlign w:val="center"/>
          </w:tcPr>
          <w:p w14:paraId="442F7DEA" w14:textId="77777777" w:rsidR="00CC25B5" w:rsidRDefault="00900968">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vAlign w:val="bottom"/>
          </w:tcPr>
          <w:p w14:paraId="442F7DEB"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EC"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ED" w14:textId="77777777" w:rsidR="00CC25B5" w:rsidRDefault="00900968">
            <w:pPr>
              <w:jc w:val="right"/>
              <w:textAlignment w:val="center"/>
            </w:pPr>
            <w:r>
              <w:rPr>
                <w:rFonts w:ascii="Times New Roman" w:eastAsia="宋体" w:hAnsi="Times New Roman"/>
                <w:color w:val="000000"/>
                <w:sz w:val="16"/>
                <w:szCs w:val="16"/>
              </w:rPr>
              <w:t>238,552 </w:t>
            </w:r>
          </w:p>
        </w:tc>
        <w:tc>
          <w:tcPr>
            <w:tcW w:w="0" w:type="auto"/>
            <w:shd w:val="clear" w:color="auto" w:fill="CCEEFF"/>
            <w:tcMar>
              <w:top w:w="40" w:type="dxa"/>
              <w:left w:w="0" w:type="dxa"/>
              <w:bottom w:w="40" w:type="dxa"/>
              <w:right w:w="20" w:type="dxa"/>
            </w:tcMar>
            <w:vAlign w:val="center"/>
          </w:tcPr>
          <w:p w14:paraId="442F7DE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EF"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F0"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F1" w14:textId="77777777" w:rsidR="00CC25B5" w:rsidRDefault="00900968">
            <w:pPr>
              <w:jc w:val="right"/>
              <w:textAlignment w:val="center"/>
            </w:pPr>
            <w:r>
              <w:rPr>
                <w:rFonts w:ascii="Times New Roman" w:eastAsia="宋体" w:hAnsi="Times New Roman"/>
                <w:color w:val="000000"/>
                <w:sz w:val="16"/>
                <w:szCs w:val="16"/>
              </w:rPr>
              <w:t>237,382 </w:t>
            </w:r>
          </w:p>
        </w:tc>
        <w:tc>
          <w:tcPr>
            <w:tcW w:w="0" w:type="auto"/>
            <w:shd w:val="clear" w:color="auto" w:fill="CCEEFF"/>
            <w:tcMar>
              <w:top w:w="40" w:type="dxa"/>
              <w:left w:w="0" w:type="dxa"/>
              <w:bottom w:w="40" w:type="dxa"/>
              <w:right w:w="20" w:type="dxa"/>
            </w:tcMar>
            <w:vAlign w:val="center"/>
          </w:tcPr>
          <w:p w14:paraId="442F7DF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DF3"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DF4"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DF5" w14:textId="77777777" w:rsidR="00CC25B5" w:rsidRDefault="00900968">
            <w:pPr>
              <w:jc w:val="right"/>
              <w:textAlignment w:val="center"/>
            </w:pPr>
            <w:r>
              <w:rPr>
                <w:rFonts w:ascii="Times New Roman" w:eastAsia="宋体" w:hAnsi="Times New Roman"/>
                <w:color w:val="000000"/>
                <w:sz w:val="16"/>
                <w:szCs w:val="16"/>
              </w:rPr>
              <w:t>234,861 </w:t>
            </w:r>
          </w:p>
        </w:tc>
        <w:tc>
          <w:tcPr>
            <w:tcW w:w="0" w:type="auto"/>
            <w:shd w:val="clear" w:color="auto" w:fill="CCEEFF"/>
            <w:tcMar>
              <w:top w:w="40" w:type="dxa"/>
              <w:left w:w="0" w:type="dxa"/>
              <w:bottom w:w="40" w:type="dxa"/>
              <w:right w:w="20" w:type="dxa"/>
            </w:tcMar>
            <w:vAlign w:val="center"/>
          </w:tcPr>
          <w:p w14:paraId="442F7DF6" w14:textId="77777777" w:rsidR="00CC25B5" w:rsidRDefault="00CC25B5">
            <w:pPr>
              <w:jc w:val="right"/>
              <w:rPr>
                <w:rFonts w:ascii="宋体"/>
              </w:rPr>
            </w:pPr>
          </w:p>
        </w:tc>
      </w:tr>
      <w:tr w:rsidR="00CC25B5" w14:paraId="442F7E02" w14:textId="77777777">
        <w:tc>
          <w:tcPr>
            <w:tcW w:w="0" w:type="auto"/>
            <w:gridSpan w:val="3"/>
            <w:shd w:val="clear" w:color="auto" w:fill="FFFFFF"/>
            <w:tcMar>
              <w:top w:w="40" w:type="dxa"/>
              <w:left w:w="20" w:type="dxa"/>
              <w:bottom w:w="40" w:type="dxa"/>
              <w:right w:w="20" w:type="dxa"/>
            </w:tcMar>
            <w:vAlign w:val="center"/>
          </w:tcPr>
          <w:p w14:paraId="442F7DF8" w14:textId="77777777" w:rsidR="00CC25B5" w:rsidRDefault="00900968">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vAlign w:val="bottom"/>
          </w:tcPr>
          <w:p w14:paraId="442F7DF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FA" w14:textId="77777777" w:rsidR="00CC25B5" w:rsidRDefault="00900968">
            <w:pPr>
              <w:jc w:val="right"/>
              <w:textAlignment w:val="center"/>
            </w:pPr>
            <w:r>
              <w:rPr>
                <w:rFonts w:ascii="Times New Roman" w:eastAsia="宋体" w:hAnsi="Times New Roman"/>
                <w:color w:val="000000"/>
                <w:sz w:val="16"/>
                <w:szCs w:val="16"/>
              </w:rPr>
              <w:t>98,346 </w:t>
            </w:r>
          </w:p>
        </w:tc>
        <w:tc>
          <w:tcPr>
            <w:tcW w:w="0" w:type="auto"/>
            <w:shd w:val="clear" w:color="auto" w:fill="FFFFFF"/>
            <w:tcMar>
              <w:top w:w="40" w:type="dxa"/>
              <w:left w:w="0" w:type="dxa"/>
              <w:bottom w:w="40" w:type="dxa"/>
              <w:right w:w="20" w:type="dxa"/>
            </w:tcMar>
            <w:vAlign w:val="center"/>
          </w:tcPr>
          <w:p w14:paraId="442F7DF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F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DFD" w14:textId="77777777" w:rsidR="00CC25B5" w:rsidRDefault="00900968">
            <w:pPr>
              <w:jc w:val="right"/>
              <w:textAlignment w:val="center"/>
            </w:pPr>
            <w:r>
              <w:rPr>
                <w:rFonts w:ascii="Times New Roman" w:eastAsia="宋体" w:hAnsi="Times New Roman"/>
                <w:color w:val="000000"/>
                <w:sz w:val="16"/>
                <w:szCs w:val="16"/>
              </w:rPr>
              <w:t>97,023 </w:t>
            </w:r>
          </w:p>
        </w:tc>
        <w:tc>
          <w:tcPr>
            <w:tcW w:w="0" w:type="auto"/>
            <w:shd w:val="clear" w:color="auto" w:fill="FFFFFF"/>
            <w:tcMar>
              <w:top w:w="40" w:type="dxa"/>
              <w:left w:w="0" w:type="dxa"/>
              <w:bottom w:w="40" w:type="dxa"/>
              <w:right w:w="20" w:type="dxa"/>
            </w:tcMar>
            <w:vAlign w:val="center"/>
          </w:tcPr>
          <w:p w14:paraId="442F7DF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DF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00" w14:textId="77777777" w:rsidR="00CC25B5" w:rsidRDefault="00900968">
            <w:pPr>
              <w:jc w:val="right"/>
              <w:textAlignment w:val="center"/>
            </w:pPr>
            <w:r>
              <w:rPr>
                <w:rFonts w:ascii="Times New Roman" w:eastAsia="宋体" w:hAnsi="Times New Roman"/>
                <w:color w:val="000000"/>
                <w:sz w:val="16"/>
                <w:szCs w:val="16"/>
              </w:rPr>
              <w:t>89,813 </w:t>
            </w:r>
          </w:p>
        </w:tc>
        <w:tc>
          <w:tcPr>
            <w:tcW w:w="0" w:type="auto"/>
            <w:shd w:val="clear" w:color="auto" w:fill="FFFFFF"/>
            <w:tcMar>
              <w:top w:w="40" w:type="dxa"/>
              <w:left w:w="0" w:type="dxa"/>
              <w:bottom w:w="40" w:type="dxa"/>
              <w:right w:w="20" w:type="dxa"/>
            </w:tcMar>
            <w:vAlign w:val="center"/>
          </w:tcPr>
          <w:p w14:paraId="442F7E01" w14:textId="77777777" w:rsidR="00CC25B5" w:rsidRDefault="00CC25B5">
            <w:pPr>
              <w:jc w:val="right"/>
              <w:rPr>
                <w:rFonts w:ascii="宋体"/>
              </w:rPr>
            </w:pPr>
          </w:p>
        </w:tc>
      </w:tr>
      <w:tr w:rsidR="00CC25B5" w14:paraId="442F7E0D" w14:textId="77777777">
        <w:tc>
          <w:tcPr>
            <w:tcW w:w="0" w:type="auto"/>
            <w:gridSpan w:val="3"/>
            <w:shd w:val="clear" w:color="auto" w:fill="CCEEFF"/>
            <w:tcMar>
              <w:top w:w="40" w:type="dxa"/>
              <w:left w:w="20" w:type="dxa"/>
              <w:bottom w:w="40" w:type="dxa"/>
              <w:right w:w="20" w:type="dxa"/>
            </w:tcMar>
            <w:vAlign w:val="center"/>
          </w:tcPr>
          <w:p w14:paraId="442F7E03" w14:textId="77777777" w:rsidR="00CC25B5" w:rsidRDefault="00900968">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442F7E0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E05" w14:textId="77777777" w:rsidR="00CC25B5" w:rsidRDefault="00900968">
            <w:pPr>
              <w:jc w:val="right"/>
              <w:textAlignment w:val="center"/>
            </w:pPr>
            <w:r>
              <w:rPr>
                <w:rFonts w:ascii="Times New Roman" w:eastAsia="宋体" w:hAnsi="Times New Roman"/>
                <w:color w:val="000000"/>
                <w:sz w:val="16"/>
                <w:szCs w:val="16"/>
              </w:rPr>
              <w:t>49,601 </w:t>
            </w:r>
          </w:p>
        </w:tc>
        <w:tc>
          <w:tcPr>
            <w:tcW w:w="0" w:type="auto"/>
            <w:shd w:val="clear" w:color="auto" w:fill="CCEEFF"/>
            <w:tcMar>
              <w:top w:w="40" w:type="dxa"/>
              <w:left w:w="0" w:type="dxa"/>
              <w:bottom w:w="40" w:type="dxa"/>
              <w:right w:w="20" w:type="dxa"/>
            </w:tcMar>
            <w:vAlign w:val="center"/>
          </w:tcPr>
          <w:p w14:paraId="442F7E0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0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E08" w14:textId="77777777" w:rsidR="00CC25B5" w:rsidRDefault="00900968">
            <w:pPr>
              <w:jc w:val="right"/>
              <w:textAlignment w:val="center"/>
            </w:pPr>
            <w:r>
              <w:rPr>
                <w:rFonts w:ascii="Times New Roman" w:eastAsia="宋体" w:hAnsi="Times New Roman"/>
                <w:color w:val="000000"/>
                <w:sz w:val="16"/>
                <w:szCs w:val="16"/>
              </w:rPr>
              <w:t>46,326 </w:t>
            </w:r>
          </w:p>
        </w:tc>
        <w:tc>
          <w:tcPr>
            <w:tcW w:w="0" w:type="auto"/>
            <w:shd w:val="clear" w:color="auto" w:fill="CCEEFF"/>
            <w:tcMar>
              <w:top w:w="40" w:type="dxa"/>
              <w:left w:w="0" w:type="dxa"/>
              <w:bottom w:w="40" w:type="dxa"/>
              <w:right w:w="20" w:type="dxa"/>
            </w:tcMar>
            <w:vAlign w:val="center"/>
          </w:tcPr>
          <w:p w14:paraId="442F7E0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0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E0B" w14:textId="77777777" w:rsidR="00CC25B5" w:rsidRDefault="00900968">
            <w:pPr>
              <w:jc w:val="right"/>
              <w:textAlignment w:val="center"/>
            </w:pPr>
            <w:r>
              <w:rPr>
                <w:rFonts w:ascii="Times New Roman" w:eastAsia="宋体" w:hAnsi="Times New Roman"/>
                <w:color w:val="000000"/>
                <w:sz w:val="16"/>
                <w:szCs w:val="16"/>
              </w:rPr>
              <w:t>45,871 </w:t>
            </w:r>
          </w:p>
        </w:tc>
        <w:tc>
          <w:tcPr>
            <w:tcW w:w="0" w:type="auto"/>
            <w:shd w:val="clear" w:color="auto" w:fill="CCEEFF"/>
            <w:tcMar>
              <w:top w:w="40" w:type="dxa"/>
              <w:left w:w="0" w:type="dxa"/>
              <w:bottom w:w="40" w:type="dxa"/>
              <w:right w:w="20" w:type="dxa"/>
            </w:tcMar>
            <w:vAlign w:val="center"/>
          </w:tcPr>
          <w:p w14:paraId="442F7E0C" w14:textId="77777777" w:rsidR="00CC25B5" w:rsidRDefault="00CC25B5">
            <w:pPr>
              <w:jc w:val="right"/>
              <w:rPr>
                <w:rFonts w:ascii="宋体"/>
              </w:rPr>
            </w:pPr>
          </w:p>
        </w:tc>
      </w:tr>
      <w:tr w:rsidR="00CC25B5" w14:paraId="442F7E18" w14:textId="77777777">
        <w:tc>
          <w:tcPr>
            <w:tcW w:w="0" w:type="auto"/>
            <w:gridSpan w:val="3"/>
            <w:shd w:val="clear" w:color="auto" w:fill="FFFFFF"/>
            <w:tcMar>
              <w:top w:w="40" w:type="dxa"/>
              <w:left w:w="20" w:type="dxa"/>
              <w:bottom w:w="40" w:type="dxa"/>
              <w:right w:w="20" w:type="dxa"/>
            </w:tcMar>
            <w:vAlign w:val="center"/>
          </w:tcPr>
          <w:p w14:paraId="442F7E0E" w14:textId="77777777" w:rsidR="00CC25B5" w:rsidRDefault="00900968">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442F7E0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10" w14:textId="77777777" w:rsidR="00CC25B5" w:rsidRDefault="00900968">
            <w:pPr>
              <w:jc w:val="right"/>
              <w:textAlignment w:val="center"/>
            </w:pPr>
            <w:r>
              <w:rPr>
                <w:rFonts w:ascii="Times New Roman" w:eastAsia="宋体" w:hAnsi="Times New Roman"/>
                <w:color w:val="000000"/>
                <w:sz w:val="16"/>
                <w:szCs w:val="16"/>
              </w:rPr>
              <w:t>23,915 </w:t>
            </w:r>
          </w:p>
        </w:tc>
        <w:tc>
          <w:tcPr>
            <w:tcW w:w="0" w:type="auto"/>
            <w:shd w:val="clear" w:color="auto" w:fill="FFFFFF"/>
            <w:tcMar>
              <w:top w:w="40" w:type="dxa"/>
              <w:left w:w="0" w:type="dxa"/>
              <w:bottom w:w="40" w:type="dxa"/>
              <w:right w:w="20" w:type="dxa"/>
            </w:tcMar>
            <w:vAlign w:val="center"/>
          </w:tcPr>
          <w:p w14:paraId="442F7E1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E1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13" w14:textId="77777777" w:rsidR="00CC25B5" w:rsidRDefault="00900968">
            <w:pPr>
              <w:jc w:val="right"/>
              <w:textAlignment w:val="center"/>
            </w:pPr>
            <w:r>
              <w:rPr>
                <w:rFonts w:ascii="Times New Roman" w:eastAsia="宋体" w:hAnsi="Times New Roman"/>
                <w:color w:val="000000"/>
                <w:sz w:val="16"/>
                <w:szCs w:val="16"/>
              </w:rPr>
              <w:t>23,768 </w:t>
            </w:r>
          </w:p>
        </w:tc>
        <w:tc>
          <w:tcPr>
            <w:tcW w:w="0" w:type="auto"/>
            <w:shd w:val="clear" w:color="auto" w:fill="FFFFFF"/>
            <w:tcMar>
              <w:top w:w="40" w:type="dxa"/>
              <w:left w:w="0" w:type="dxa"/>
              <w:bottom w:w="40" w:type="dxa"/>
              <w:right w:w="20" w:type="dxa"/>
            </w:tcMar>
            <w:vAlign w:val="center"/>
          </w:tcPr>
          <w:p w14:paraId="442F7E1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E1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16" w14:textId="77777777" w:rsidR="00CC25B5" w:rsidRDefault="00900968">
            <w:pPr>
              <w:jc w:val="right"/>
              <w:textAlignment w:val="center"/>
            </w:pPr>
            <w:r>
              <w:rPr>
                <w:rFonts w:ascii="Times New Roman" w:eastAsia="宋体" w:hAnsi="Times New Roman"/>
                <w:color w:val="000000"/>
                <w:sz w:val="16"/>
                <w:szCs w:val="16"/>
              </w:rPr>
              <w:t>20,691 </w:t>
            </w:r>
          </w:p>
        </w:tc>
        <w:tc>
          <w:tcPr>
            <w:tcW w:w="0" w:type="auto"/>
            <w:shd w:val="clear" w:color="auto" w:fill="FFFFFF"/>
            <w:tcMar>
              <w:top w:w="40" w:type="dxa"/>
              <w:left w:w="0" w:type="dxa"/>
              <w:bottom w:w="40" w:type="dxa"/>
              <w:right w:w="20" w:type="dxa"/>
            </w:tcMar>
            <w:vAlign w:val="center"/>
          </w:tcPr>
          <w:p w14:paraId="442F7E17" w14:textId="77777777" w:rsidR="00CC25B5" w:rsidRDefault="00CC25B5">
            <w:pPr>
              <w:jc w:val="right"/>
              <w:rPr>
                <w:rFonts w:ascii="宋体"/>
              </w:rPr>
            </w:pPr>
          </w:p>
        </w:tc>
      </w:tr>
    </w:tbl>
    <w:p w14:paraId="442F7E19" w14:textId="77777777" w:rsidR="00CC25B5" w:rsidRDefault="00900968">
      <w:r>
        <w:rPr>
          <w:rFonts w:ascii="Times New Roman" w:eastAsia="宋体" w:hAnsi="Times New Roman"/>
          <w:color w:val="000000"/>
          <w:sz w:val="20"/>
          <w:szCs w:val="20"/>
        </w:rPr>
        <w:t> </w:t>
      </w:r>
    </w:p>
    <w:p w14:paraId="442F7E1A" w14:textId="77777777" w:rsidR="00CC25B5" w:rsidRDefault="00CC25B5">
      <w:pPr>
        <w:ind w:hanging="180"/>
      </w:pPr>
    </w:p>
    <w:p w14:paraId="442F7E1B" w14:textId="77777777" w:rsidR="00CC25B5" w:rsidRDefault="00CC25B5">
      <w:pPr>
        <w:ind w:hanging="360"/>
      </w:pPr>
    </w:p>
    <w:p w14:paraId="442F7E1C" w14:textId="77777777" w:rsidR="00CC25B5" w:rsidRDefault="00CC25B5">
      <w:pPr>
        <w:ind w:hanging="360"/>
      </w:pPr>
    </w:p>
    <w:p w14:paraId="442F7E1D" w14:textId="77777777" w:rsidR="00CC25B5" w:rsidRDefault="00CC25B5">
      <w:pPr>
        <w:ind w:hanging="360"/>
      </w:pPr>
    </w:p>
    <w:p w14:paraId="442F7E1E" w14:textId="77777777" w:rsidR="00CC25B5" w:rsidRDefault="00900968">
      <w:pPr>
        <w:jc w:val="center"/>
      </w:pPr>
      <w:r>
        <w:rPr>
          <w:rFonts w:ascii="Times New Roman" w:eastAsia="宋体" w:hAnsi="Times New Roman"/>
          <w:color w:val="000000"/>
          <w:sz w:val="20"/>
          <w:szCs w:val="20"/>
        </w:rPr>
        <w:t>18</w:t>
      </w:r>
    </w:p>
    <w:p w14:paraId="442F7E1F" w14:textId="77777777" w:rsidR="00CC25B5" w:rsidRDefault="00900968">
      <w:r>
        <w:pict w14:anchorId="442F85DB">
          <v:rect id="_x0000_i1042" style="width:415.3pt;height:1.5pt" o:hralign="center" o:hrstd="t" o:hr="t" fillcolor="#a0a0a0" stroked="f"/>
        </w:pict>
      </w:r>
    </w:p>
    <w:p w14:paraId="442F7E20" w14:textId="77777777" w:rsidR="00CC25B5" w:rsidRDefault="00900968">
      <w:hyperlink r:id="rId64" w:anchor="ie1710166881948a18c44f48eaa2dcf00_7" w:history="1">
        <w:r>
          <w:rPr>
            <w:rStyle w:val="a5"/>
            <w:rFonts w:ascii="Times New Roman" w:eastAsia="宋体" w:hAnsi="Times New Roman"/>
            <w:sz w:val="20"/>
            <w:szCs w:val="20"/>
          </w:rPr>
          <w:t>Table of Contents</w:t>
        </w:r>
      </w:hyperlink>
    </w:p>
    <w:p w14:paraId="442F7E21" w14:textId="77777777" w:rsidR="00CC25B5" w:rsidRDefault="00900968">
      <w:r>
        <w:rPr>
          <w:rFonts w:ascii="Times New Roman" w:eastAsia="宋体" w:hAnsi="Times New Roman"/>
          <w:i/>
          <w:iCs/>
          <w:color w:val="000000"/>
          <w:sz w:val="20"/>
          <w:szCs w:val="20"/>
        </w:rPr>
        <w:t>Free Cash Flow</w:t>
      </w:r>
    </w:p>
    <w:p w14:paraId="442F7E22" w14:textId="77777777" w:rsidR="00CC25B5" w:rsidRDefault="00900968">
      <w:pPr>
        <w:spacing w:before="100"/>
      </w:pPr>
      <w:r>
        <w:rPr>
          <w:rFonts w:ascii="Times New Roman" w:eastAsia="宋体" w:hAnsi="Times New Roman"/>
          <w:color w:val="000000"/>
          <w:sz w:val="20"/>
          <w:szCs w:val="20"/>
        </w:rPr>
        <w:t>Free cash flow is considered a non-GAAP financial measure.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Management b</w:t>
      </w:r>
      <w:r>
        <w:rPr>
          <w:rFonts w:ascii="Times New Roman" w:eastAsia="宋体" w:hAnsi="Times New Roman"/>
          <w:color w:val="000000"/>
          <w:sz w:val="20"/>
          <w:szCs w:val="20"/>
        </w:rPr>
        <w:t>elieves, however, that free cash flow, which measures our ability to generate cash from our business operations, is an important financial measure for use in evaluating the Company's financial performance. Free cash flow should be considered in addition to</w:t>
      </w:r>
      <w:r>
        <w:rPr>
          <w:rFonts w:ascii="Times New Roman" w:eastAsia="宋体" w:hAnsi="Times New Roman"/>
          <w:color w:val="000000"/>
          <w:sz w:val="20"/>
          <w:szCs w:val="20"/>
        </w:rPr>
        <w:t xml:space="preserve">, rather than as a substitute for, consolidated net income as a measure of our performance and net cash provided by operating activities as a measure of our liquidity. See </w:t>
      </w:r>
      <w:hyperlink r:id="rId65" w:anchor="ie1710166881948a18c44f48eaa2dcf00_100"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activities and net cash used in financing </w:t>
      </w:r>
      <w:r>
        <w:rPr>
          <w:rFonts w:ascii="Times New Roman" w:eastAsia="宋体" w:hAnsi="Times New Roman"/>
          <w:color w:val="000000"/>
          <w:sz w:val="20"/>
          <w:szCs w:val="20"/>
        </w:rPr>
        <w:t>activities.</w:t>
      </w:r>
    </w:p>
    <w:p w14:paraId="442F7E23" w14:textId="77777777" w:rsidR="00CC25B5" w:rsidRDefault="00900968">
      <w:pPr>
        <w:spacing w:before="100"/>
      </w:pPr>
      <w:r>
        <w:rPr>
          <w:rFonts w:ascii="Times New Roman" w:eastAsia="宋体" w:hAnsi="Times New Roman"/>
          <w:color w:val="000000"/>
          <w:sz w:val="20"/>
          <w:szCs w:val="20"/>
        </w:rPr>
        <w:t>We define free cash flow as net cash provided by operating activities in a period minus payments for property and equipment made in that period. We had net cash provided by operating activities of $12.4 billion for the six months ended July 31,</w:t>
      </w:r>
      <w:r>
        <w:rPr>
          <w:rFonts w:ascii="Times New Roman" w:eastAsia="宋体" w:hAnsi="Times New Roman"/>
          <w:color w:val="000000"/>
          <w:sz w:val="20"/>
          <w:szCs w:val="20"/>
        </w:rPr>
        <w:t xml:space="preserve"> 2021, which decreased when compared to $19.0 billion for the six months ended July 31, 2020 primarily due to an increase in inventory purchases due in part to lapping the impact of accelerated inventory sell-through in the first half of fiscal 2021. We ge</w:t>
      </w:r>
      <w:r>
        <w:rPr>
          <w:rFonts w:ascii="Times New Roman" w:eastAsia="宋体" w:hAnsi="Times New Roman"/>
          <w:color w:val="000000"/>
          <w:sz w:val="20"/>
          <w:szCs w:val="20"/>
        </w:rPr>
        <w:t>nerated free cash flow of $7.4 billion for the six months ended July 31, 2021, which decreased when compared to $15.4 billion for the six months ended July 31, 2020 due to the same reasons as the decrease in net cash provided by operating activities, as we</w:t>
      </w:r>
      <w:r>
        <w:rPr>
          <w:rFonts w:ascii="Times New Roman" w:eastAsia="宋体" w:hAnsi="Times New Roman"/>
          <w:color w:val="000000"/>
          <w:sz w:val="20"/>
          <w:szCs w:val="20"/>
        </w:rPr>
        <w:t xml:space="preserve">ll as $1.5 billion in increased capital expenditures. </w:t>
      </w:r>
    </w:p>
    <w:p w14:paraId="442F7E24" w14:textId="77777777" w:rsidR="00CC25B5" w:rsidRDefault="00900968">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 due to the fact that the measure does not deduct the payment</w:t>
      </w:r>
      <w:r>
        <w:rPr>
          <w:rFonts w:ascii="Times New Roman" w:eastAsia="宋体" w:hAnsi="Times New Roman"/>
          <w:color w:val="000000"/>
          <w:sz w:val="20"/>
          <w:szCs w:val="20"/>
        </w:rPr>
        <w:t>s required for debt service and other contractual obligations or payments made for business acquisitions. Therefore, we believe it is important to view free cash flow as a measure that provides supplemental information to our Condensed Consolidated Stateme</w:t>
      </w:r>
      <w:r>
        <w:rPr>
          <w:rFonts w:ascii="Times New Roman" w:eastAsia="宋体" w:hAnsi="Times New Roman"/>
          <w:color w:val="000000"/>
          <w:sz w:val="20"/>
          <w:szCs w:val="20"/>
        </w:rPr>
        <w:t>nts of Cash Flows.</w:t>
      </w:r>
    </w:p>
    <w:p w14:paraId="442F7E25" w14:textId="77777777" w:rsidR="00CC25B5" w:rsidRDefault="00900968">
      <w:pPr>
        <w:spacing w:before="100"/>
      </w:pPr>
      <w:r>
        <w:rPr>
          <w:rFonts w:ascii="Times New Roman" w:eastAsia="宋体" w:hAnsi="Times New Roman"/>
          <w:color w:val="000000"/>
          <w:sz w:val="20"/>
          <w:szCs w:val="20"/>
        </w:rPr>
        <w:t>Although other companies report their free cash flow, numerous methods may exist for calculating a company's free cash flow. As a result, the method used by management to calculate our free cash flow may differ from the methods used by o</w:t>
      </w:r>
      <w:r>
        <w:rPr>
          <w:rFonts w:ascii="Times New Roman" w:eastAsia="宋体" w:hAnsi="Times New Roman"/>
          <w:color w:val="000000"/>
          <w:sz w:val="20"/>
          <w:szCs w:val="20"/>
        </w:rPr>
        <w:t>ther companies to calculate their free cash flow.</w:t>
      </w:r>
    </w:p>
    <w:p w14:paraId="442F7E26" w14:textId="77777777" w:rsidR="00CC25B5" w:rsidRDefault="00900968">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activities, which we believe to be the GAAP financial measure most directly</w:t>
      </w:r>
      <w:r>
        <w:rPr>
          <w:rFonts w:ascii="Times New Roman" w:eastAsia="宋体" w:hAnsi="Times New Roman"/>
          <w:color w:val="000000"/>
          <w:sz w:val="20"/>
          <w:szCs w:val="20"/>
        </w:rPr>
        <w:t xml:space="preserve"> comparable to free cash flow, as well as information regarding net cash used in investing activities and net cash used in financing activities.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520"/>
        <w:gridCol w:w="37"/>
        <w:gridCol w:w="36"/>
        <w:gridCol w:w="36"/>
        <w:gridCol w:w="36"/>
        <w:gridCol w:w="36"/>
        <w:gridCol w:w="36"/>
        <w:gridCol w:w="189"/>
        <w:gridCol w:w="188"/>
        <w:gridCol w:w="188"/>
        <w:gridCol w:w="36"/>
        <w:gridCol w:w="36"/>
        <w:gridCol w:w="36"/>
        <w:gridCol w:w="100"/>
        <w:gridCol w:w="736"/>
        <w:gridCol w:w="36"/>
        <w:gridCol w:w="36"/>
        <w:gridCol w:w="36"/>
        <w:gridCol w:w="36"/>
        <w:gridCol w:w="100"/>
        <w:gridCol w:w="760"/>
        <w:gridCol w:w="36"/>
      </w:tblGrid>
      <w:tr w:rsidR="00CC25B5" w14:paraId="442F7E3C" w14:textId="77777777">
        <w:trPr>
          <w:jc w:val="center"/>
        </w:trPr>
        <w:tc>
          <w:tcPr>
            <w:tcW w:w="50" w:type="pct"/>
            <w:shd w:val="clear" w:color="auto" w:fill="auto"/>
            <w:vAlign w:val="bottom"/>
          </w:tcPr>
          <w:p w14:paraId="442F7E27" w14:textId="77777777" w:rsidR="00CC25B5" w:rsidRDefault="00CC25B5">
            <w:pPr>
              <w:rPr>
                <w:rFonts w:ascii="宋体"/>
              </w:rPr>
            </w:pPr>
          </w:p>
        </w:tc>
        <w:tc>
          <w:tcPr>
            <w:tcW w:w="3671" w:type="pct"/>
            <w:shd w:val="clear" w:color="auto" w:fill="auto"/>
            <w:vAlign w:val="bottom"/>
          </w:tcPr>
          <w:p w14:paraId="442F7E28" w14:textId="77777777" w:rsidR="00CC25B5" w:rsidRDefault="00CC25B5">
            <w:pPr>
              <w:rPr>
                <w:rFonts w:ascii="宋体"/>
              </w:rPr>
            </w:pPr>
          </w:p>
        </w:tc>
        <w:tc>
          <w:tcPr>
            <w:tcW w:w="5" w:type="pct"/>
            <w:shd w:val="clear" w:color="auto" w:fill="auto"/>
            <w:vAlign w:val="bottom"/>
          </w:tcPr>
          <w:p w14:paraId="442F7E29" w14:textId="77777777" w:rsidR="00CC25B5" w:rsidRDefault="00CC25B5">
            <w:pPr>
              <w:rPr>
                <w:rFonts w:ascii="宋体"/>
              </w:rPr>
            </w:pPr>
          </w:p>
        </w:tc>
        <w:tc>
          <w:tcPr>
            <w:tcW w:w="5" w:type="pct"/>
            <w:shd w:val="clear" w:color="auto" w:fill="auto"/>
            <w:vAlign w:val="bottom"/>
          </w:tcPr>
          <w:p w14:paraId="442F7E2A" w14:textId="77777777" w:rsidR="00CC25B5" w:rsidRDefault="00CC25B5">
            <w:pPr>
              <w:rPr>
                <w:rFonts w:ascii="宋体"/>
              </w:rPr>
            </w:pPr>
          </w:p>
        </w:tc>
        <w:tc>
          <w:tcPr>
            <w:tcW w:w="26" w:type="pct"/>
            <w:shd w:val="clear" w:color="auto" w:fill="auto"/>
            <w:vAlign w:val="bottom"/>
          </w:tcPr>
          <w:p w14:paraId="442F7E2B" w14:textId="77777777" w:rsidR="00CC25B5" w:rsidRDefault="00CC25B5">
            <w:pPr>
              <w:rPr>
                <w:rFonts w:ascii="宋体"/>
              </w:rPr>
            </w:pPr>
          </w:p>
        </w:tc>
        <w:tc>
          <w:tcPr>
            <w:tcW w:w="5" w:type="pct"/>
            <w:shd w:val="clear" w:color="auto" w:fill="auto"/>
            <w:vAlign w:val="bottom"/>
          </w:tcPr>
          <w:p w14:paraId="442F7E2C" w14:textId="77777777" w:rsidR="00CC25B5" w:rsidRDefault="00CC25B5">
            <w:pPr>
              <w:rPr>
                <w:rFonts w:ascii="宋体"/>
              </w:rPr>
            </w:pPr>
          </w:p>
        </w:tc>
        <w:tc>
          <w:tcPr>
            <w:tcW w:w="0" w:type="auto"/>
            <w:shd w:val="clear" w:color="auto" w:fill="auto"/>
            <w:vAlign w:val="bottom"/>
          </w:tcPr>
          <w:p w14:paraId="442F7E2D" w14:textId="77777777" w:rsidR="00CC25B5" w:rsidRDefault="00CC25B5">
            <w:pPr>
              <w:rPr>
                <w:rFonts w:ascii="宋体"/>
                <w:vanish/>
              </w:rPr>
            </w:pPr>
          </w:p>
        </w:tc>
        <w:tc>
          <w:tcPr>
            <w:tcW w:w="0" w:type="auto"/>
            <w:shd w:val="clear" w:color="auto" w:fill="auto"/>
            <w:vAlign w:val="bottom"/>
          </w:tcPr>
          <w:p w14:paraId="442F7E2E" w14:textId="77777777" w:rsidR="00CC25B5" w:rsidRDefault="00CC25B5">
            <w:pPr>
              <w:rPr>
                <w:rFonts w:ascii="宋体"/>
                <w:vanish/>
              </w:rPr>
            </w:pPr>
          </w:p>
        </w:tc>
        <w:tc>
          <w:tcPr>
            <w:tcW w:w="0" w:type="auto"/>
            <w:shd w:val="clear" w:color="auto" w:fill="auto"/>
            <w:vAlign w:val="bottom"/>
          </w:tcPr>
          <w:p w14:paraId="442F7E2F" w14:textId="77777777" w:rsidR="00CC25B5" w:rsidRDefault="00CC25B5">
            <w:pPr>
              <w:rPr>
                <w:rFonts w:ascii="宋体"/>
                <w:vanish/>
              </w:rPr>
            </w:pPr>
          </w:p>
        </w:tc>
        <w:tc>
          <w:tcPr>
            <w:tcW w:w="0" w:type="auto"/>
            <w:shd w:val="clear" w:color="auto" w:fill="auto"/>
            <w:vAlign w:val="bottom"/>
          </w:tcPr>
          <w:p w14:paraId="442F7E30" w14:textId="77777777" w:rsidR="00CC25B5" w:rsidRDefault="00CC25B5">
            <w:pPr>
              <w:rPr>
                <w:rFonts w:ascii="宋体"/>
                <w:vanish/>
              </w:rPr>
            </w:pPr>
          </w:p>
        </w:tc>
        <w:tc>
          <w:tcPr>
            <w:tcW w:w="0" w:type="auto"/>
            <w:shd w:val="clear" w:color="auto" w:fill="auto"/>
            <w:vAlign w:val="bottom"/>
          </w:tcPr>
          <w:p w14:paraId="442F7E31" w14:textId="77777777" w:rsidR="00CC25B5" w:rsidRDefault="00CC25B5">
            <w:pPr>
              <w:rPr>
                <w:rFonts w:ascii="宋体"/>
                <w:vanish/>
              </w:rPr>
            </w:pPr>
          </w:p>
        </w:tc>
        <w:tc>
          <w:tcPr>
            <w:tcW w:w="0" w:type="auto"/>
            <w:gridSpan w:val="3"/>
            <w:shd w:val="clear" w:color="auto" w:fill="auto"/>
            <w:vAlign w:val="bottom"/>
          </w:tcPr>
          <w:p w14:paraId="442F7E32" w14:textId="77777777" w:rsidR="00CC25B5" w:rsidRDefault="00CC25B5">
            <w:pPr>
              <w:rPr>
                <w:rFonts w:ascii="宋体"/>
                <w:vanish/>
              </w:rPr>
            </w:pPr>
          </w:p>
        </w:tc>
        <w:tc>
          <w:tcPr>
            <w:tcW w:w="50" w:type="pct"/>
            <w:shd w:val="clear" w:color="auto" w:fill="auto"/>
            <w:vAlign w:val="bottom"/>
          </w:tcPr>
          <w:p w14:paraId="442F7E33" w14:textId="77777777" w:rsidR="00CC25B5" w:rsidRDefault="00CC25B5">
            <w:pPr>
              <w:rPr>
                <w:rFonts w:ascii="宋体"/>
              </w:rPr>
            </w:pPr>
          </w:p>
        </w:tc>
        <w:tc>
          <w:tcPr>
            <w:tcW w:w="537" w:type="pct"/>
            <w:shd w:val="clear" w:color="auto" w:fill="auto"/>
            <w:vAlign w:val="bottom"/>
          </w:tcPr>
          <w:p w14:paraId="442F7E34" w14:textId="77777777" w:rsidR="00CC25B5" w:rsidRDefault="00CC25B5">
            <w:pPr>
              <w:rPr>
                <w:rFonts w:ascii="宋体"/>
              </w:rPr>
            </w:pPr>
          </w:p>
        </w:tc>
        <w:tc>
          <w:tcPr>
            <w:tcW w:w="5" w:type="pct"/>
            <w:shd w:val="clear" w:color="auto" w:fill="auto"/>
            <w:vAlign w:val="bottom"/>
          </w:tcPr>
          <w:p w14:paraId="442F7E35" w14:textId="77777777" w:rsidR="00CC25B5" w:rsidRDefault="00CC25B5">
            <w:pPr>
              <w:rPr>
                <w:rFonts w:ascii="宋体"/>
              </w:rPr>
            </w:pPr>
          </w:p>
        </w:tc>
        <w:tc>
          <w:tcPr>
            <w:tcW w:w="5" w:type="pct"/>
            <w:shd w:val="clear" w:color="auto" w:fill="auto"/>
            <w:vAlign w:val="bottom"/>
          </w:tcPr>
          <w:p w14:paraId="442F7E36" w14:textId="77777777" w:rsidR="00CC25B5" w:rsidRDefault="00CC25B5">
            <w:pPr>
              <w:rPr>
                <w:rFonts w:ascii="宋体"/>
              </w:rPr>
            </w:pPr>
          </w:p>
        </w:tc>
        <w:tc>
          <w:tcPr>
            <w:tcW w:w="41" w:type="pct"/>
            <w:shd w:val="clear" w:color="auto" w:fill="auto"/>
            <w:vAlign w:val="bottom"/>
          </w:tcPr>
          <w:p w14:paraId="442F7E37" w14:textId="77777777" w:rsidR="00CC25B5" w:rsidRDefault="00CC25B5">
            <w:pPr>
              <w:rPr>
                <w:rFonts w:ascii="宋体"/>
              </w:rPr>
            </w:pPr>
          </w:p>
        </w:tc>
        <w:tc>
          <w:tcPr>
            <w:tcW w:w="5" w:type="pct"/>
            <w:shd w:val="clear" w:color="auto" w:fill="auto"/>
            <w:vAlign w:val="bottom"/>
          </w:tcPr>
          <w:p w14:paraId="442F7E38" w14:textId="77777777" w:rsidR="00CC25B5" w:rsidRDefault="00CC25B5">
            <w:pPr>
              <w:rPr>
                <w:rFonts w:ascii="宋体"/>
              </w:rPr>
            </w:pPr>
          </w:p>
        </w:tc>
        <w:tc>
          <w:tcPr>
            <w:tcW w:w="50" w:type="pct"/>
            <w:shd w:val="clear" w:color="auto" w:fill="auto"/>
            <w:vAlign w:val="bottom"/>
          </w:tcPr>
          <w:p w14:paraId="442F7E39" w14:textId="77777777" w:rsidR="00CC25B5" w:rsidRDefault="00CC25B5">
            <w:pPr>
              <w:rPr>
                <w:rFonts w:ascii="宋体"/>
              </w:rPr>
            </w:pPr>
          </w:p>
        </w:tc>
        <w:tc>
          <w:tcPr>
            <w:tcW w:w="538" w:type="pct"/>
            <w:shd w:val="clear" w:color="auto" w:fill="auto"/>
            <w:vAlign w:val="bottom"/>
          </w:tcPr>
          <w:p w14:paraId="442F7E3A" w14:textId="77777777" w:rsidR="00CC25B5" w:rsidRDefault="00CC25B5">
            <w:pPr>
              <w:rPr>
                <w:rFonts w:ascii="宋体"/>
              </w:rPr>
            </w:pPr>
          </w:p>
        </w:tc>
        <w:tc>
          <w:tcPr>
            <w:tcW w:w="5" w:type="pct"/>
            <w:shd w:val="clear" w:color="auto" w:fill="auto"/>
            <w:vAlign w:val="bottom"/>
          </w:tcPr>
          <w:p w14:paraId="442F7E3B" w14:textId="77777777" w:rsidR="00CC25B5" w:rsidRDefault="00CC25B5">
            <w:pPr>
              <w:rPr>
                <w:rFonts w:ascii="宋体"/>
              </w:rPr>
            </w:pPr>
          </w:p>
        </w:tc>
      </w:tr>
      <w:tr w:rsidR="00CC25B5" w14:paraId="442F7E4E" w14:textId="77777777">
        <w:trPr>
          <w:jc w:val="center"/>
        </w:trPr>
        <w:tc>
          <w:tcPr>
            <w:tcW w:w="0" w:type="auto"/>
            <w:gridSpan w:val="3"/>
            <w:shd w:val="clear" w:color="auto" w:fill="auto"/>
            <w:tcMar>
              <w:top w:w="40" w:type="dxa"/>
              <w:left w:w="20" w:type="dxa"/>
              <w:bottom w:w="40" w:type="dxa"/>
              <w:right w:w="20" w:type="dxa"/>
            </w:tcMar>
            <w:vAlign w:val="bottom"/>
          </w:tcPr>
          <w:p w14:paraId="442F7E3D"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E3E" w14:textId="77777777" w:rsidR="00CC25B5" w:rsidRDefault="00CC25B5">
            <w:pPr>
              <w:rPr>
                <w:rFonts w:ascii="宋体"/>
              </w:rPr>
            </w:pPr>
          </w:p>
        </w:tc>
        <w:tc>
          <w:tcPr>
            <w:tcW w:w="0" w:type="auto"/>
            <w:shd w:val="clear" w:color="auto" w:fill="auto"/>
            <w:vAlign w:val="bottom"/>
          </w:tcPr>
          <w:p w14:paraId="442F7E3F" w14:textId="77777777" w:rsidR="00CC25B5" w:rsidRDefault="00CC25B5">
            <w:pPr>
              <w:rPr>
                <w:rFonts w:ascii="宋体"/>
                <w:vanish/>
              </w:rPr>
            </w:pPr>
          </w:p>
        </w:tc>
        <w:tc>
          <w:tcPr>
            <w:tcW w:w="0" w:type="auto"/>
            <w:shd w:val="clear" w:color="auto" w:fill="auto"/>
            <w:vAlign w:val="bottom"/>
          </w:tcPr>
          <w:p w14:paraId="442F7E40" w14:textId="77777777" w:rsidR="00CC25B5" w:rsidRDefault="00CC25B5">
            <w:pPr>
              <w:rPr>
                <w:rFonts w:ascii="宋体"/>
                <w:vanish/>
              </w:rPr>
            </w:pPr>
          </w:p>
        </w:tc>
        <w:tc>
          <w:tcPr>
            <w:tcW w:w="0" w:type="auto"/>
            <w:gridSpan w:val="3"/>
            <w:shd w:val="clear" w:color="auto" w:fill="auto"/>
            <w:tcMar>
              <w:top w:w="40" w:type="dxa"/>
              <w:left w:w="20" w:type="dxa"/>
              <w:bottom w:w="40" w:type="dxa"/>
              <w:right w:w="20" w:type="dxa"/>
            </w:tcMar>
            <w:vAlign w:val="bottom"/>
          </w:tcPr>
          <w:p w14:paraId="442F7E41" w14:textId="77777777" w:rsidR="00CC25B5" w:rsidRDefault="00900968">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442F7E42" w14:textId="77777777" w:rsidR="00CC25B5" w:rsidRDefault="00CC25B5">
            <w:pPr>
              <w:rPr>
                <w:rFonts w:ascii="宋体"/>
              </w:rPr>
            </w:pPr>
          </w:p>
        </w:tc>
        <w:tc>
          <w:tcPr>
            <w:tcW w:w="0" w:type="auto"/>
            <w:shd w:val="clear" w:color="auto" w:fill="auto"/>
            <w:vAlign w:val="bottom"/>
          </w:tcPr>
          <w:p w14:paraId="442F7E43" w14:textId="77777777" w:rsidR="00CC25B5" w:rsidRDefault="00CC25B5">
            <w:pPr>
              <w:rPr>
                <w:rFonts w:ascii="宋体"/>
              </w:rPr>
            </w:pPr>
          </w:p>
        </w:tc>
        <w:tc>
          <w:tcPr>
            <w:tcW w:w="0" w:type="auto"/>
            <w:shd w:val="clear" w:color="auto" w:fill="auto"/>
            <w:vAlign w:val="bottom"/>
          </w:tcPr>
          <w:p w14:paraId="442F7E44" w14:textId="77777777" w:rsidR="00CC25B5" w:rsidRDefault="00CC25B5">
            <w:pPr>
              <w:rPr>
                <w:rFonts w:ascii="宋体"/>
              </w:rPr>
            </w:pPr>
          </w:p>
        </w:tc>
        <w:tc>
          <w:tcPr>
            <w:tcW w:w="0" w:type="auto"/>
            <w:shd w:val="clear" w:color="auto" w:fill="auto"/>
            <w:vAlign w:val="bottom"/>
          </w:tcPr>
          <w:p w14:paraId="442F7E45" w14:textId="77777777" w:rsidR="00CC25B5" w:rsidRDefault="00CC25B5">
            <w:pPr>
              <w:rPr>
                <w:rFonts w:ascii="宋体"/>
              </w:rPr>
            </w:pPr>
          </w:p>
        </w:tc>
        <w:tc>
          <w:tcPr>
            <w:tcW w:w="0" w:type="auto"/>
            <w:shd w:val="clear" w:color="auto" w:fill="auto"/>
            <w:vAlign w:val="bottom"/>
          </w:tcPr>
          <w:p w14:paraId="442F7E46" w14:textId="77777777" w:rsidR="00CC25B5" w:rsidRDefault="00CC25B5">
            <w:pPr>
              <w:rPr>
                <w:rFonts w:ascii="宋体"/>
              </w:rPr>
            </w:pPr>
          </w:p>
        </w:tc>
        <w:tc>
          <w:tcPr>
            <w:tcW w:w="0" w:type="auto"/>
            <w:shd w:val="clear" w:color="auto" w:fill="auto"/>
            <w:vAlign w:val="bottom"/>
          </w:tcPr>
          <w:p w14:paraId="442F7E47" w14:textId="77777777" w:rsidR="00CC25B5" w:rsidRDefault="00CC25B5">
            <w:pPr>
              <w:rPr>
                <w:rFonts w:ascii="宋体"/>
              </w:rPr>
            </w:pPr>
          </w:p>
        </w:tc>
        <w:tc>
          <w:tcPr>
            <w:tcW w:w="0" w:type="auto"/>
            <w:shd w:val="clear" w:color="auto" w:fill="auto"/>
            <w:vAlign w:val="bottom"/>
          </w:tcPr>
          <w:p w14:paraId="442F7E48" w14:textId="77777777" w:rsidR="00CC25B5" w:rsidRDefault="00CC25B5">
            <w:pPr>
              <w:rPr>
                <w:rFonts w:ascii="宋体"/>
              </w:rPr>
            </w:pPr>
          </w:p>
        </w:tc>
        <w:tc>
          <w:tcPr>
            <w:tcW w:w="0" w:type="auto"/>
            <w:shd w:val="clear" w:color="auto" w:fill="auto"/>
            <w:vAlign w:val="bottom"/>
          </w:tcPr>
          <w:p w14:paraId="442F7E49" w14:textId="77777777" w:rsidR="00CC25B5" w:rsidRDefault="00CC25B5">
            <w:pPr>
              <w:rPr>
                <w:rFonts w:ascii="宋体"/>
              </w:rPr>
            </w:pPr>
          </w:p>
        </w:tc>
        <w:tc>
          <w:tcPr>
            <w:tcW w:w="0" w:type="auto"/>
            <w:shd w:val="clear" w:color="auto" w:fill="auto"/>
            <w:vAlign w:val="bottom"/>
          </w:tcPr>
          <w:p w14:paraId="442F7E4A" w14:textId="77777777" w:rsidR="00CC25B5" w:rsidRDefault="00CC25B5">
            <w:pPr>
              <w:rPr>
                <w:rFonts w:ascii="宋体"/>
              </w:rPr>
            </w:pPr>
          </w:p>
        </w:tc>
        <w:tc>
          <w:tcPr>
            <w:tcW w:w="0" w:type="auto"/>
            <w:shd w:val="clear" w:color="auto" w:fill="auto"/>
            <w:vAlign w:val="bottom"/>
          </w:tcPr>
          <w:p w14:paraId="442F7E4B" w14:textId="77777777" w:rsidR="00CC25B5" w:rsidRDefault="00CC25B5">
            <w:pPr>
              <w:rPr>
                <w:rFonts w:ascii="宋体"/>
              </w:rPr>
            </w:pPr>
          </w:p>
        </w:tc>
        <w:tc>
          <w:tcPr>
            <w:tcW w:w="0" w:type="auto"/>
            <w:shd w:val="clear" w:color="auto" w:fill="auto"/>
            <w:vAlign w:val="bottom"/>
          </w:tcPr>
          <w:p w14:paraId="442F7E4C" w14:textId="77777777" w:rsidR="00CC25B5" w:rsidRDefault="00CC25B5">
            <w:pPr>
              <w:rPr>
                <w:rFonts w:ascii="宋体"/>
              </w:rPr>
            </w:pPr>
          </w:p>
        </w:tc>
        <w:tc>
          <w:tcPr>
            <w:tcW w:w="0" w:type="auto"/>
            <w:shd w:val="clear" w:color="auto" w:fill="auto"/>
            <w:vAlign w:val="bottom"/>
          </w:tcPr>
          <w:p w14:paraId="442F7E4D" w14:textId="77777777" w:rsidR="00CC25B5" w:rsidRDefault="00CC25B5">
            <w:pPr>
              <w:rPr>
                <w:rFonts w:ascii="宋体"/>
              </w:rPr>
            </w:pPr>
          </w:p>
        </w:tc>
      </w:tr>
      <w:tr w:rsidR="00CC25B5" w14:paraId="442F7E5A" w14:textId="77777777">
        <w:trPr>
          <w:jc w:val="center"/>
        </w:trPr>
        <w:tc>
          <w:tcPr>
            <w:tcW w:w="0" w:type="auto"/>
            <w:gridSpan w:val="3"/>
            <w:shd w:val="clear" w:color="auto" w:fill="auto"/>
            <w:tcMar>
              <w:top w:w="40" w:type="dxa"/>
              <w:left w:w="20" w:type="dxa"/>
              <w:bottom w:w="40" w:type="dxa"/>
              <w:right w:w="20" w:type="dxa"/>
            </w:tcMar>
            <w:vAlign w:val="bottom"/>
          </w:tcPr>
          <w:p w14:paraId="442F7E4F"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7E50" w14:textId="77777777" w:rsidR="00CC25B5" w:rsidRDefault="00CC25B5">
            <w:pPr>
              <w:rPr>
                <w:rFonts w:ascii="宋体"/>
              </w:rPr>
            </w:pPr>
          </w:p>
        </w:tc>
        <w:tc>
          <w:tcPr>
            <w:tcW w:w="0" w:type="auto"/>
            <w:shd w:val="clear" w:color="auto" w:fill="auto"/>
            <w:vAlign w:val="bottom"/>
          </w:tcPr>
          <w:p w14:paraId="442F7E51" w14:textId="77777777" w:rsidR="00CC25B5" w:rsidRDefault="00CC25B5">
            <w:pPr>
              <w:rPr>
                <w:rFonts w:ascii="宋体"/>
                <w:vanish/>
              </w:rPr>
            </w:pPr>
          </w:p>
        </w:tc>
        <w:tc>
          <w:tcPr>
            <w:tcW w:w="0" w:type="auto"/>
            <w:shd w:val="clear" w:color="auto" w:fill="auto"/>
            <w:vAlign w:val="bottom"/>
          </w:tcPr>
          <w:p w14:paraId="442F7E52" w14:textId="77777777" w:rsidR="00CC25B5" w:rsidRDefault="00CC25B5">
            <w:pPr>
              <w:rPr>
                <w:rFonts w:ascii="宋体"/>
                <w:vanish/>
              </w:rPr>
            </w:pPr>
          </w:p>
        </w:tc>
        <w:tc>
          <w:tcPr>
            <w:tcW w:w="0" w:type="auto"/>
            <w:shd w:val="clear" w:color="auto" w:fill="auto"/>
            <w:vAlign w:val="bottom"/>
          </w:tcPr>
          <w:p w14:paraId="442F7E53" w14:textId="77777777" w:rsidR="00CC25B5" w:rsidRDefault="00CC25B5">
            <w:pPr>
              <w:rPr>
                <w:rFonts w:ascii="宋体"/>
                <w:vanish/>
              </w:rPr>
            </w:pPr>
          </w:p>
        </w:tc>
        <w:tc>
          <w:tcPr>
            <w:tcW w:w="0" w:type="auto"/>
            <w:shd w:val="clear" w:color="auto" w:fill="auto"/>
            <w:vAlign w:val="bottom"/>
          </w:tcPr>
          <w:p w14:paraId="442F7E54" w14:textId="77777777" w:rsidR="00CC25B5" w:rsidRDefault="00CC25B5">
            <w:pPr>
              <w:rPr>
                <w:rFonts w:ascii="宋体"/>
                <w:vanish/>
              </w:rPr>
            </w:pPr>
          </w:p>
        </w:tc>
        <w:tc>
          <w:tcPr>
            <w:tcW w:w="0" w:type="auto"/>
            <w:shd w:val="clear" w:color="auto" w:fill="auto"/>
            <w:vAlign w:val="bottom"/>
          </w:tcPr>
          <w:p w14:paraId="442F7E55" w14:textId="77777777" w:rsidR="00CC25B5" w:rsidRDefault="00CC25B5">
            <w:pPr>
              <w:rPr>
                <w:rFonts w:ascii="宋体"/>
                <w:vanish/>
              </w:rPr>
            </w:pPr>
          </w:p>
        </w:tc>
        <w:tc>
          <w:tcPr>
            <w:tcW w:w="0" w:type="auto"/>
            <w:gridSpan w:val="3"/>
            <w:shd w:val="clear" w:color="auto" w:fill="auto"/>
            <w:vAlign w:val="bottom"/>
          </w:tcPr>
          <w:p w14:paraId="442F7E56" w14:textId="77777777" w:rsidR="00CC25B5" w:rsidRDefault="00CC25B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E57"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E58"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E59"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E6A" w14:textId="77777777">
        <w:trPr>
          <w:jc w:val="center"/>
        </w:trPr>
        <w:tc>
          <w:tcPr>
            <w:tcW w:w="0" w:type="auto"/>
            <w:gridSpan w:val="3"/>
            <w:shd w:val="clear" w:color="auto" w:fill="CCEEFF"/>
            <w:tcMar>
              <w:top w:w="40" w:type="dxa"/>
              <w:left w:w="20" w:type="dxa"/>
              <w:bottom w:w="40" w:type="dxa"/>
              <w:right w:w="20" w:type="dxa"/>
            </w:tcMar>
            <w:vAlign w:val="center"/>
          </w:tcPr>
          <w:p w14:paraId="442F7E5B" w14:textId="77777777" w:rsidR="00CC25B5" w:rsidRDefault="00900968">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442F7E5C" w14:textId="77777777" w:rsidR="00CC25B5" w:rsidRDefault="00CC25B5">
            <w:pPr>
              <w:rPr>
                <w:rFonts w:ascii="宋体"/>
              </w:rPr>
            </w:pPr>
          </w:p>
        </w:tc>
        <w:tc>
          <w:tcPr>
            <w:tcW w:w="0" w:type="auto"/>
            <w:shd w:val="clear" w:color="auto" w:fill="auto"/>
            <w:vAlign w:val="bottom"/>
          </w:tcPr>
          <w:p w14:paraId="442F7E5D" w14:textId="77777777" w:rsidR="00CC25B5" w:rsidRDefault="00CC25B5">
            <w:pPr>
              <w:rPr>
                <w:rFonts w:ascii="宋体"/>
                <w:vanish/>
              </w:rPr>
            </w:pPr>
          </w:p>
        </w:tc>
        <w:tc>
          <w:tcPr>
            <w:tcW w:w="0" w:type="auto"/>
            <w:shd w:val="clear" w:color="auto" w:fill="auto"/>
            <w:vAlign w:val="bottom"/>
          </w:tcPr>
          <w:p w14:paraId="442F7E5E" w14:textId="77777777" w:rsidR="00CC25B5" w:rsidRDefault="00CC25B5">
            <w:pPr>
              <w:rPr>
                <w:rFonts w:ascii="宋体"/>
                <w:vanish/>
              </w:rPr>
            </w:pPr>
          </w:p>
        </w:tc>
        <w:tc>
          <w:tcPr>
            <w:tcW w:w="0" w:type="auto"/>
            <w:shd w:val="clear" w:color="auto" w:fill="auto"/>
            <w:vAlign w:val="bottom"/>
          </w:tcPr>
          <w:p w14:paraId="442F7E5F" w14:textId="77777777" w:rsidR="00CC25B5" w:rsidRDefault="00CC25B5">
            <w:pPr>
              <w:rPr>
                <w:rFonts w:ascii="宋体"/>
                <w:vanish/>
              </w:rPr>
            </w:pPr>
          </w:p>
        </w:tc>
        <w:tc>
          <w:tcPr>
            <w:tcW w:w="0" w:type="auto"/>
            <w:shd w:val="clear" w:color="auto" w:fill="auto"/>
            <w:vAlign w:val="bottom"/>
          </w:tcPr>
          <w:p w14:paraId="442F7E60" w14:textId="77777777" w:rsidR="00CC25B5" w:rsidRDefault="00CC25B5">
            <w:pPr>
              <w:rPr>
                <w:rFonts w:ascii="宋体"/>
                <w:vanish/>
              </w:rPr>
            </w:pPr>
          </w:p>
        </w:tc>
        <w:tc>
          <w:tcPr>
            <w:tcW w:w="0" w:type="auto"/>
            <w:shd w:val="clear" w:color="auto" w:fill="auto"/>
            <w:vAlign w:val="bottom"/>
          </w:tcPr>
          <w:p w14:paraId="442F7E61" w14:textId="77777777" w:rsidR="00CC25B5" w:rsidRDefault="00CC25B5">
            <w:pPr>
              <w:rPr>
                <w:rFonts w:ascii="宋体"/>
                <w:vanish/>
              </w:rPr>
            </w:pPr>
          </w:p>
        </w:tc>
        <w:tc>
          <w:tcPr>
            <w:tcW w:w="0" w:type="auto"/>
            <w:gridSpan w:val="3"/>
            <w:shd w:val="clear" w:color="auto" w:fill="auto"/>
            <w:vAlign w:val="bottom"/>
          </w:tcPr>
          <w:p w14:paraId="442F7E62" w14:textId="77777777" w:rsidR="00CC25B5" w:rsidRDefault="00CC25B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6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64" w14:textId="77777777" w:rsidR="00CC25B5" w:rsidRDefault="00900968">
            <w:pPr>
              <w:jc w:val="right"/>
              <w:textAlignment w:val="center"/>
            </w:pPr>
            <w:r>
              <w:rPr>
                <w:rFonts w:ascii="Times New Roman" w:eastAsia="宋体" w:hAnsi="Times New Roman"/>
                <w:color w:val="000000"/>
                <w:sz w:val="16"/>
                <w:szCs w:val="16"/>
              </w:rPr>
              <w:t>12,423 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6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6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6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68" w14:textId="77777777" w:rsidR="00CC25B5" w:rsidRDefault="00900968">
            <w:pPr>
              <w:jc w:val="right"/>
              <w:textAlignment w:val="center"/>
            </w:pPr>
            <w:r>
              <w:rPr>
                <w:rFonts w:ascii="Times New Roman" w:eastAsia="宋体" w:hAnsi="Times New Roman"/>
                <w:color w:val="000000"/>
                <w:sz w:val="16"/>
                <w:szCs w:val="16"/>
              </w:rPr>
              <w:t>18,956 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69" w14:textId="77777777" w:rsidR="00CC25B5" w:rsidRDefault="00CC25B5">
            <w:pPr>
              <w:jc w:val="right"/>
              <w:rPr>
                <w:rFonts w:ascii="宋体"/>
              </w:rPr>
            </w:pPr>
          </w:p>
        </w:tc>
      </w:tr>
      <w:tr w:rsidR="00CC25B5" w14:paraId="442F7E78" w14:textId="77777777">
        <w:trPr>
          <w:jc w:val="center"/>
        </w:trPr>
        <w:tc>
          <w:tcPr>
            <w:tcW w:w="0" w:type="auto"/>
            <w:gridSpan w:val="3"/>
            <w:shd w:val="clear" w:color="auto" w:fill="FFFFFF"/>
            <w:tcMar>
              <w:top w:w="40" w:type="dxa"/>
              <w:left w:w="20" w:type="dxa"/>
              <w:bottom w:w="40" w:type="dxa"/>
              <w:right w:w="20" w:type="dxa"/>
            </w:tcMar>
            <w:vAlign w:val="center"/>
          </w:tcPr>
          <w:p w14:paraId="442F7E6B" w14:textId="77777777" w:rsidR="00CC25B5" w:rsidRDefault="00900968">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442F7E6C" w14:textId="77777777" w:rsidR="00CC25B5" w:rsidRDefault="00CC25B5">
            <w:pPr>
              <w:rPr>
                <w:rFonts w:ascii="宋体"/>
              </w:rPr>
            </w:pPr>
          </w:p>
        </w:tc>
        <w:tc>
          <w:tcPr>
            <w:tcW w:w="0" w:type="auto"/>
            <w:shd w:val="clear" w:color="auto" w:fill="auto"/>
            <w:vAlign w:val="bottom"/>
          </w:tcPr>
          <w:p w14:paraId="442F7E6D" w14:textId="77777777" w:rsidR="00CC25B5" w:rsidRDefault="00CC25B5">
            <w:pPr>
              <w:rPr>
                <w:rFonts w:ascii="宋体"/>
                <w:vanish/>
              </w:rPr>
            </w:pPr>
          </w:p>
        </w:tc>
        <w:tc>
          <w:tcPr>
            <w:tcW w:w="0" w:type="auto"/>
            <w:shd w:val="clear" w:color="auto" w:fill="auto"/>
            <w:vAlign w:val="bottom"/>
          </w:tcPr>
          <w:p w14:paraId="442F7E6E" w14:textId="77777777" w:rsidR="00CC25B5" w:rsidRDefault="00CC25B5">
            <w:pPr>
              <w:rPr>
                <w:rFonts w:ascii="宋体"/>
                <w:vanish/>
              </w:rPr>
            </w:pPr>
          </w:p>
        </w:tc>
        <w:tc>
          <w:tcPr>
            <w:tcW w:w="0" w:type="auto"/>
            <w:shd w:val="clear" w:color="auto" w:fill="auto"/>
            <w:vAlign w:val="bottom"/>
          </w:tcPr>
          <w:p w14:paraId="442F7E6F" w14:textId="77777777" w:rsidR="00CC25B5" w:rsidRDefault="00CC25B5">
            <w:pPr>
              <w:rPr>
                <w:rFonts w:ascii="宋体"/>
                <w:vanish/>
              </w:rPr>
            </w:pPr>
          </w:p>
        </w:tc>
        <w:tc>
          <w:tcPr>
            <w:tcW w:w="0" w:type="auto"/>
            <w:shd w:val="clear" w:color="auto" w:fill="auto"/>
            <w:vAlign w:val="bottom"/>
          </w:tcPr>
          <w:p w14:paraId="442F7E70" w14:textId="77777777" w:rsidR="00CC25B5" w:rsidRDefault="00CC25B5">
            <w:pPr>
              <w:rPr>
                <w:rFonts w:ascii="宋体"/>
                <w:vanish/>
              </w:rPr>
            </w:pPr>
          </w:p>
        </w:tc>
        <w:tc>
          <w:tcPr>
            <w:tcW w:w="0" w:type="auto"/>
            <w:shd w:val="clear" w:color="auto" w:fill="auto"/>
            <w:vAlign w:val="bottom"/>
          </w:tcPr>
          <w:p w14:paraId="442F7E71" w14:textId="77777777" w:rsidR="00CC25B5" w:rsidRDefault="00CC25B5">
            <w:pPr>
              <w:rPr>
                <w:rFonts w:ascii="宋体"/>
                <w:vanish/>
              </w:rPr>
            </w:pPr>
          </w:p>
        </w:tc>
        <w:tc>
          <w:tcPr>
            <w:tcW w:w="0" w:type="auto"/>
            <w:gridSpan w:val="3"/>
            <w:shd w:val="clear" w:color="auto" w:fill="auto"/>
            <w:vAlign w:val="bottom"/>
          </w:tcPr>
          <w:p w14:paraId="442F7E72" w14:textId="77777777" w:rsidR="00CC25B5" w:rsidRDefault="00CC25B5">
            <w:pPr>
              <w:rPr>
                <w:rFonts w:ascii="宋体"/>
                <w:vanish/>
              </w:rPr>
            </w:pPr>
          </w:p>
        </w:tc>
        <w:tc>
          <w:tcPr>
            <w:tcW w:w="0" w:type="auto"/>
            <w:gridSpan w:val="2"/>
            <w:shd w:val="clear" w:color="auto" w:fill="FFFFFF"/>
            <w:tcMar>
              <w:top w:w="40" w:type="dxa"/>
              <w:left w:w="20" w:type="dxa"/>
              <w:bottom w:w="40" w:type="dxa"/>
              <w:right w:w="0" w:type="dxa"/>
            </w:tcMar>
            <w:vAlign w:val="center"/>
          </w:tcPr>
          <w:p w14:paraId="442F7E73" w14:textId="77777777" w:rsidR="00CC25B5" w:rsidRDefault="00900968">
            <w:pPr>
              <w:jc w:val="right"/>
              <w:textAlignment w:val="center"/>
            </w:pPr>
            <w:r>
              <w:rPr>
                <w:rFonts w:ascii="Times New Roman" w:eastAsia="宋体" w:hAnsi="Times New Roman"/>
                <w:color w:val="000000"/>
                <w:sz w:val="16"/>
                <w:szCs w:val="16"/>
              </w:rPr>
              <w:t>(5,019)</w:t>
            </w:r>
          </w:p>
        </w:tc>
        <w:tc>
          <w:tcPr>
            <w:tcW w:w="0" w:type="auto"/>
            <w:shd w:val="clear" w:color="auto" w:fill="FFFFFF"/>
            <w:tcMar>
              <w:top w:w="40" w:type="dxa"/>
              <w:left w:w="0" w:type="dxa"/>
              <w:bottom w:w="40" w:type="dxa"/>
              <w:right w:w="20" w:type="dxa"/>
            </w:tcMar>
            <w:vAlign w:val="center"/>
          </w:tcPr>
          <w:p w14:paraId="442F7E7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E7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76" w14:textId="77777777" w:rsidR="00CC25B5" w:rsidRDefault="00900968">
            <w:pPr>
              <w:jc w:val="right"/>
              <w:textAlignment w:val="center"/>
            </w:pPr>
            <w:r>
              <w:rPr>
                <w:rFonts w:ascii="Times New Roman" w:eastAsia="宋体" w:hAnsi="Times New Roman"/>
                <w:color w:val="000000"/>
                <w:sz w:val="16"/>
                <w:szCs w:val="16"/>
              </w:rPr>
              <w:t>(3,569)</w:t>
            </w:r>
          </w:p>
        </w:tc>
        <w:tc>
          <w:tcPr>
            <w:tcW w:w="0" w:type="auto"/>
            <w:shd w:val="clear" w:color="auto" w:fill="FFFFFF"/>
            <w:tcMar>
              <w:top w:w="40" w:type="dxa"/>
              <w:left w:w="0" w:type="dxa"/>
              <w:bottom w:w="40" w:type="dxa"/>
              <w:right w:w="20" w:type="dxa"/>
            </w:tcMar>
            <w:vAlign w:val="center"/>
          </w:tcPr>
          <w:p w14:paraId="442F7E77" w14:textId="77777777" w:rsidR="00CC25B5" w:rsidRDefault="00CC25B5">
            <w:pPr>
              <w:jc w:val="right"/>
              <w:rPr>
                <w:rFonts w:ascii="宋体"/>
              </w:rPr>
            </w:pPr>
          </w:p>
        </w:tc>
      </w:tr>
      <w:tr w:rsidR="00CC25B5" w14:paraId="442F7E88" w14:textId="77777777">
        <w:trPr>
          <w:jc w:val="center"/>
        </w:trPr>
        <w:tc>
          <w:tcPr>
            <w:tcW w:w="0" w:type="auto"/>
            <w:gridSpan w:val="3"/>
            <w:shd w:val="clear" w:color="auto" w:fill="CCEEFF"/>
            <w:tcMar>
              <w:top w:w="40" w:type="dxa"/>
              <w:left w:w="20" w:type="dxa"/>
              <w:bottom w:w="40" w:type="dxa"/>
              <w:right w:w="20" w:type="dxa"/>
            </w:tcMar>
            <w:vAlign w:val="center"/>
          </w:tcPr>
          <w:p w14:paraId="442F7E79" w14:textId="77777777" w:rsidR="00CC25B5" w:rsidRDefault="00900968">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vAlign w:val="bottom"/>
          </w:tcPr>
          <w:p w14:paraId="442F7E7A" w14:textId="77777777" w:rsidR="00CC25B5" w:rsidRDefault="00CC25B5">
            <w:pPr>
              <w:rPr>
                <w:rFonts w:ascii="宋体"/>
              </w:rPr>
            </w:pPr>
          </w:p>
        </w:tc>
        <w:tc>
          <w:tcPr>
            <w:tcW w:w="0" w:type="auto"/>
            <w:shd w:val="clear" w:color="auto" w:fill="auto"/>
            <w:vAlign w:val="bottom"/>
          </w:tcPr>
          <w:p w14:paraId="442F7E7B" w14:textId="77777777" w:rsidR="00CC25B5" w:rsidRDefault="00CC25B5">
            <w:pPr>
              <w:rPr>
                <w:rFonts w:ascii="宋体"/>
                <w:vanish/>
              </w:rPr>
            </w:pPr>
          </w:p>
        </w:tc>
        <w:tc>
          <w:tcPr>
            <w:tcW w:w="0" w:type="auto"/>
            <w:shd w:val="clear" w:color="auto" w:fill="auto"/>
            <w:vAlign w:val="bottom"/>
          </w:tcPr>
          <w:p w14:paraId="442F7E7C" w14:textId="77777777" w:rsidR="00CC25B5" w:rsidRDefault="00CC25B5">
            <w:pPr>
              <w:rPr>
                <w:rFonts w:ascii="宋体"/>
                <w:vanish/>
              </w:rPr>
            </w:pPr>
          </w:p>
        </w:tc>
        <w:tc>
          <w:tcPr>
            <w:tcW w:w="0" w:type="auto"/>
            <w:shd w:val="clear" w:color="auto" w:fill="auto"/>
            <w:vAlign w:val="bottom"/>
          </w:tcPr>
          <w:p w14:paraId="442F7E7D" w14:textId="77777777" w:rsidR="00CC25B5" w:rsidRDefault="00CC25B5">
            <w:pPr>
              <w:rPr>
                <w:rFonts w:ascii="宋体"/>
                <w:vanish/>
              </w:rPr>
            </w:pPr>
          </w:p>
        </w:tc>
        <w:tc>
          <w:tcPr>
            <w:tcW w:w="0" w:type="auto"/>
            <w:shd w:val="clear" w:color="auto" w:fill="auto"/>
            <w:vAlign w:val="bottom"/>
          </w:tcPr>
          <w:p w14:paraId="442F7E7E" w14:textId="77777777" w:rsidR="00CC25B5" w:rsidRDefault="00CC25B5">
            <w:pPr>
              <w:rPr>
                <w:rFonts w:ascii="宋体"/>
                <w:vanish/>
              </w:rPr>
            </w:pPr>
          </w:p>
        </w:tc>
        <w:tc>
          <w:tcPr>
            <w:tcW w:w="0" w:type="auto"/>
            <w:shd w:val="clear" w:color="auto" w:fill="auto"/>
            <w:vAlign w:val="bottom"/>
          </w:tcPr>
          <w:p w14:paraId="442F7E7F" w14:textId="77777777" w:rsidR="00CC25B5" w:rsidRDefault="00CC25B5">
            <w:pPr>
              <w:rPr>
                <w:rFonts w:ascii="宋体"/>
                <w:vanish/>
              </w:rPr>
            </w:pPr>
          </w:p>
        </w:tc>
        <w:tc>
          <w:tcPr>
            <w:tcW w:w="0" w:type="auto"/>
            <w:gridSpan w:val="3"/>
            <w:shd w:val="clear" w:color="auto" w:fill="auto"/>
            <w:vAlign w:val="bottom"/>
          </w:tcPr>
          <w:p w14:paraId="442F7E80" w14:textId="77777777" w:rsidR="00CC25B5" w:rsidRDefault="00CC25B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81"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82" w14:textId="77777777" w:rsidR="00CC25B5" w:rsidRDefault="00900968">
            <w:pPr>
              <w:jc w:val="right"/>
              <w:textAlignment w:val="center"/>
            </w:pPr>
            <w:r>
              <w:rPr>
                <w:rFonts w:ascii="Times New Roman" w:eastAsia="宋体" w:hAnsi="Times New Roman"/>
                <w:color w:val="000000"/>
                <w:sz w:val="16"/>
                <w:szCs w:val="16"/>
              </w:rPr>
              <w:t>7,404 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83"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84"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8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86" w14:textId="77777777" w:rsidR="00CC25B5" w:rsidRDefault="00900968">
            <w:pPr>
              <w:jc w:val="right"/>
              <w:textAlignment w:val="center"/>
            </w:pPr>
            <w:r>
              <w:rPr>
                <w:rFonts w:ascii="Times New Roman" w:eastAsia="宋体" w:hAnsi="Times New Roman"/>
                <w:color w:val="000000"/>
                <w:sz w:val="16"/>
                <w:szCs w:val="16"/>
              </w:rPr>
              <w:t>15,387 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87" w14:textId="77777777" w:rsidR="00CC25B5" w:rsidRDefault="00CC25B5">
            <w:pPr>
              <w:jc w:val="right"/>
              <w:rPr>
                <w:rFonts w:ascii="宋体"/>
              </w:rPr>
            </w:pPr>
          </w:p>
        </w:tc>
      </w:tr>
      <w:tr w:rsidR="00CC25B5" w14:paraId="442F7E94" w14:textId="77777777">
        <w:trPr>
          <w:trHeight w:val="220"/>
          <w:jc w:val="center"/>
        </w:trPr>
        <w:tc>
          <w:tcPr>
            <w:tcW w:w="0" w:type="auto"/>
            <w:gridSpan w:val="3"/>
            <w:shd w:val="clear" w:color="auto" w:fill="FFFFFF"/>
            <w:tcMar>
              <w:top w:w="0" w:type="dxa"/>
              <w:left w:w="20" w:type="dxa"/>
              <w:bottom w:w="0" w:type="dxa"/>
              <w:right w:w="20" w:type="dxa"/>
            </w:tcMar>
            <w:vAlign w:val="bottom"/>
          </w:tcPr>
          <w:p w14:paraId="442F7E89"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E8A" w14:textId="77777777" w:rsidR="00CC25B5" w:rsidRDefault="00CC25B5">
            <w:pPr>
              <w:rPr>
                <w:rFonts w:ascii="宋体"/>
              </w:rPr>
            </w:pPr>
          </w:p>
        </w:tc>
        <w:tc>
          <w:tcPr>
            <w:tcW w:w="0" w:type="auto"/>
            <w:shd w:val="clear" w:color="auto" w:fill="auto"/>
            <w:vAlign w:val="bottom"/>
          </w:tcPr>
          <w:p w14:paraId="442F7E8B" w14:textId="77777777" w:rsidR="00CC25B5" w:rsidRDefault="00CC25B5">
            <w:pPr>
              <w:rPr>
                <w:rFonts w:ascii="宋体"/>
                <w:vanish/>
              </w:rPr>
            </w:pPr>
          </w:p>
        </w:tc>
        <w:tc>
          <w:tcPr>
            <w:tcW w:w="0" w:type="auto"/>
            <w:shd w:val="clear" w:color="auto" w:fill="auto"/>
            <w:vAlign w:val="bottom"/>
          </w:tcPr>
          <w:p w14:paraId="442F7E8C" w14:textId="77777777" w:rsidR="00CC25B5" w:rsidRDefault="00CC25B5">
            <w:pPr>
              <w:rPr>
                <w:rFonts w:ascii="宋体"/>
                <w:vanish/>
              </w:rPr>
            </w:pPr>
          </w:p>
        </w:tc>
        <w:tc>
          <w:tcPr>
            <w:tcW w:w="0" w:type="auto"/>
            <w:shd w:val="clear" w:color="auto" w:fill="auto"/>
            <w:vAlign w:val="bottom"/>
          </w:tcPr>
          <w:p w14:paraId="442F7E8D" w14:textId="77777777" w:rsidR="00CC25B5" w:rsidRDefault="00CC25B5">
            <w:pPr>
              <w:rPr>
                <w:rFonts w:ascii="宋体"/>
                <w:vanish/>
              </w:rPr>
            </w:pPr>
          </w:p>
        </w:tc>
        <w:tc>
          <w:tcPr>
            <w:tcW w:w="0" w:type="auto"/>
            <w:shd w:val="clear" w:color="auto" w:fill="auto"/>
            <w:vAlign w:val="bottom"/>
          </w:tcPr>
          <w:p w14:paraId="442F7E8E" w14:textId="77777777" w:rsidR="00CC25B5" w:rsidRDefault="00CC25B5">
            <w:pPr>
              <w:rPr>
                <w:rFonts w:ascii="宋体"/>
                <w:vanish/>
              </w:rPr>
            </w:pPr>
          </w:p>
        </w:tc>
        <w:tc>
          <w:tcPr>
            <w:tcW w:w="0" w:type="auto"/>
            <w:shd w:val="clear" w:color="auto" w:fill="auto"/>
            <w:vAlign w:val="bottom"/>
          </w:tcPr>
          <w:p w14:paraId="442F7E8F" w14:textId="77777777" w:rsidR="00CC25B5" w:rsidRDefault="00CC25B5">
            <w:pPr>
              <w:rPr>
                <w:rFonts w:ascii="宋体"/>
                <w:vanish/>
              </w:rPr>
            </w:pPr>
          </w:p>
        </w:tc>
        <w:tc>
          <w:tcPr>
            <w:tcW w:w="0" w:type="auto"/>
            <w:gridSpan w:val="3"/>
            <w:shd w:val="clear" w:color="auto" w:fill="auto"/>
            <w:vAlign w:val="bottom"/>
          </w:tcPr>
          <w:p w14:paraId="442F7E90" w14:textId="77777777" w:rsidR="00CC25B5" w:rsidRDefault="00CC25B5">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F7E9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7E92" w14:textId="77777777" w:rsidR="00CC25B5" w:rsidRDefault="00CC25B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F7E93" w14:textId="77777777" w:rsidR="00CC25B5" w:rsidRDefault="00CC25B5">
            <w:pPr>
              <w:rPr>
                <w:rFonts w:ascii="宋体"/>
              </w:rPr>
            </w:pPr>
          </w:p>
        </w:tc>
      </w:tr>
      <w:tr w:rsidR="00CC25B5" w14:paraId="442F7EA4" w14:textId="77777777">
        <w:trPr>
          <w:jc w:val="center"/>
        </w:trPr>
        <w:tc>
          <w:tcPr>
            <w:tcW w:w="0" w:type="auto"/>
            <w:gridSpan w:val="3"/>
            <w:shd w:val="clear" w:color="auto" w:fill="CCEEFF"/>
            <w:tcMar>
              <w:top w:w="40" w:type="dxa"/>
              <w:left w:w="20" w:type="dxa"/>
              <w:bottom w:w="40" w:type="dxa"/>
              <w:right w:w="20" w:type="dxa"/>
            </w:tcMar>
            <w:vAlign w:val="center"/>
          </w:tcPr>
          <w:p w14:paraId="442F7E95" w14:textId="77777777" w:rsidR="00CC25B5" w:rsidRDefault="00900968">
            <w:pPr>
              <w:textAlignment w:val="center"/>
            </w:pPr>
            <w:r>
              <w:rPr>
                <w:rFonts w:ascii="Times New Roman" w:eastAsia="宋体" w:hAnsi="Times New Roman"/>
                <w:color w:val="000000"/>
                <w:sz w:val="16"/>
                <w:szCs w:val="16"/>
              </w:rPr>
              <w:t>Net cash provided by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442F7E96" w14:textId="77777777" w:rsidR="00CC25B5" w:rsidRDefault="00CC25B5">
            <w:pPr>
              <w:rPr>
                <w:rFonts w:ascii="宋体"/>
              </w:rPr>
            </w:pPr>
          </w:p>
        </w:tc>
        <w:tc>
          <w:tcPr>
            <w:tcW w:w="0" w:type="auto"/>
            <w:shd w:val="clear" w:color="auto" w:fill="auto"/>
            <w:vAlign w:val="bottom"/>
          </w:tcPr>
          <w:p w14:paraId="442F7E97" w14:textId="77777777" w:rsidR="00CC25B5" w:rsidRDefault="00CC25B5">
            <w:pPr>
              <w:rPr>
                <w:rFonts w:ascii="宋体"/>
                <w:vanish/>
              </w:rPr>
            </w:pPr>
          </w:p>
        </w:tc>
        <w:tc>
          <w:tcPr>
            <w:tcW w:w="0" w:type="auto"/>
            <w:shd w:val="clear" w:color="auto" w:fill="auto"/>
            <w:vAlign w:val="bottom"/>
          </w:tcPr>
          <w:p w14:paraId="442F7E98" w14:textId="77777777" w:rsidR="00CC25B5" w:rsidRDefault="00CC25B5">
            <w:pPr>
              <w:rPr>
                <w:rFonts w:ascii="宋体"/>
                <w:vanish/>
              </w:rPr>
            </w:pPr>
          </w:p>
        </w:tc>
        <w:tc>
          <w:tcPr>
            <w:tcW w:w="0" w:type="auto"/>
            <w:shd w:val="clear" w:color="auto" w:fill="auto"/>
            <w:vAlign w:val="bottom"/>
          </w:tcPr>
          <w:p w14:paraId="442F7E99" w14:textId="77777777" w:rsidR="00CC25B5" w:rsidRDefault="00CC25B5">
            <w:pPr>
              <w:rPr>
                <w:rFonts w:ascii="宋体"/>
                <w:vanish/>
              </w:rPr>
            </w:pPr>
          </w:p>
        </w:tc>
        <w:tc>
          <w:tcPr>
            <w:tcW w:w="0" w:type="auto"/>
            <w:shd w:val="clear" w:color="auto" w:fill="auto"/>
            <w:vAlign w:val="bottom"/>
          </w:tcPr>
          <w:p w14:paraId="442F7E9A" w14:textId="77777777" w:rsidR="00CC25B5" w:rsidRDefault="00CC25B5">
            <w:pPr>
              <w:rPr>
                <w:rFonts w:ascii="宋体"/>
                <w:vanish/>
              </w:rPr>
            </w:pPr>
          </w:p>
        </w:tc>
        <w:tc>
          <w:tcPr>
            <w:tcW w:w="0" w:type="auto"/>
            <w:shd w:val="clear" w:color="auto" w:fill="auto"/>
            <w:vAlign w:val="bottom"/>
          </w:tcPr>
          <w:p w14:paraId="442F7E9B" w14:textId="77777777" w:rsidR="00CC25B5" w:rsidRDefault="00CC25B5">
            <w:pPr>
              <w:rPr>
                <w:rFonts w:ascii="宋体"/>
                <w:vanish/>
              </w:rPr>
            </w:pPr>
          </w:p>
        </w:tc>
        <w:tc>
          <w:tcPr>
            <w:tcW w:w="0" w:type="auto"/>
            <w:gridSpan w:val="3"/>
            <w:shd w:val="clear" w:color="auto" w:fill="auto"/>
            <w:vAlign w:val="bottom"/>
          </w:tcPr>
          <w:p w14:paraId="442F7E9C" w14:textId="77777777" w:rsidR="00CC25B5" w:rsidRDefault="00CC25B5">
            <w:pPr>
              <w:rPr>
                <w:rFonts w:ascii="宋体"/>
                <w:vanish/>
              </w:rPr>
            </w:pPr>
          </w:p>
        </w:tc>
        <w:tc>
          <w:tcPr>
            <w:tcW w:w="0" w:type="auto"/>
            <w:shd w:val="clear" w:color="auto" w:fill="CCEEFF"/>
            <w:tcMar>
              <w:top w:w="40" w:type="dxa"/>
              <w:left w:w="20" w:type="dxa"/>
              <w:bottom w:w="40" w:type="dxa"/>
              <w:right w:w="0" w:type="dxa"/>
            </w:tcMar>
            <w:vAlign w:val="center"/>
          </w:tcPr>
          <w:p w14:paraId="442F7E9D"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E9E" w14:textId="77777777" w:rsidR="00CC25B5" w:rsidRDefault="00900968">
            <w:pPr>
              <w:jc w:val="right"/>
              <w:textAlignment w:val="center"/>
            </w:pPr>
            <w:r>
              <w:rPr>
                <w:rFonts w:ascii="Times New Roman" w:eastAsia="宋体" w:hAnsi="Times New Roman"/>
                <w:color w:val="000000"/>
                <w:sz w:val="16"/>
                <w:szCs w:val="16"/>
              </w:rPr>
              <w:t>2,402 </w:t>
            </w:r>
          </w:p>
        </w:tc>
        <w:tc>
          <w:tcPr>
            <w:tcW w:w="0" w:type="auto"/>
            <w:shd w:val="clear" w:color="auto" w:fill="CCEEFF"/>
            <w:tcMar>
              <w:top w:w="40" w:type="dxa"/>
              <w:left w:w="0" w:type="dxa"/>
              <w:bottom w:w="40" w:type="dxa"/>
              <w:right w:w="20" w:type="dxa"/>
            </w:tcMar>
            <w:vAlign w:val="center"/>
          </w:tcPr>
          <w:p w14:paraId="442F7E9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A0"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EA1"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EA2" w14:textId="77777777" w:rsidR="00CC25B5" w:rsidRDefault="00900968">
            <w:pPr>
              <w:jc w:val="right"/>
              <w:textAlignment w:val="center"/>
            </w:pPr>
            <w:r>
              <w:rPr>
                <w:rFonts w:ascii="Times New Roman" w:eastAsia="宋体" w:hAnsi="Times New Roman"/>
                <w:color w:val="000000"/>
                <w:sz w:val="16"/>
                <w:szCs w:val="16"/>
              </w:rPr>
              <w:t>(3,634)</w:t>
            </w:r>
          </w:p>
        </w:tc>
        <w:tc>
          <w:tcPr>
            <w:tcW w:w="0" w:type="auto"/>
            <w:shd w:val="clear" w:color="auto" w:fill="CCEEFF"/>
            <w:tcMar>
              <w:top w:w="40" w:type="dxa"/>
              <w:left w:w="0" w:type="dxa"/>
              <w:bottom w:w="40" w:type="dxa"/>
              <w:right w:w="20" w:type="dxa"/>
            </w:tcMar>
            <w:vAlign w:val="center"/>
          </w:tcPr>
          <w:p w14:paraId="442F7EA3" w14:textId="77777777" w:rsidR="00CC25B5" w:rsidRDefault="00CC25B5">
            <w:pPr>
              <w:jc w:val="right"/>
              <w:rPr>
                <w:rFonts w:ascii="宋体"/>
              </w:rPr>
            </w:pPr>
          </w:p>
        </w:tc>
      </w:tr>
      <w:tr w:rsidR="00CC25B5" w14:paraId="442F7EB2" w14:textId="77777777">
        <w:trPr>
          <w:jc w:val="center"/>
        </w:trPr>
        <w:tc>
          <w:tcPr>
            <w:tcW w:w="0" w:type="auto"/>
            <w:gridSpan w:val="3"/>
            <w:shd w:val="clear" w:color="auto" w:fill="FFFFFF"/>
            <w:tcMar>
              <w:top w:w="40" w:type="dxa"/>
              <w:left w:w="20" w:type="dxa"/>
              <w:bottom w:w="40" w:type="dxa"/>
              <w:right w:w="20" w:type="dxa"/>
            </w:tcMar>
            <w:vAlign w:val="center"/>
          </w:tcPr>
          <w:p w14:paraId="442F7EA5" w14:textId="77777777" w:rsidR="00CC25B5" w:rsidRDefault="00900968">
            <w:pPr>
              <w:textAlignment w:val="center"/>
            </w:pPr>
            <w:r>
              <w:rPr>
                <w:rFonts w:ascii="Times New Roman" w:eastAsia="宋体" w:hAnsi="Times New Roman"/>
                <w:color w:val="000000"/>
                <w:sz w:val="16"/>
                <w:szCs w:val="16"/>
              </w:rPr>
              <w:t>Net cash (used in) provided by financing activities</w:t>
            </w:r>
          </w:p>
        </w:tc>
        <w:tc>
          <w:tcPr>
            <w:tcW w:w="0" w:type="auto"/>
            <w:gridSpan w:val="3"/>
            <w:shd w:val="clear" w:color="auto" w:fill="FFFFFF"/>
            <w:tcMar>
              <w:top w:w="0" w:type="dxa"/>
              <w:left w:w="20" w:type="dxa"/>
              <w:bottom w:w="0" w:type="dxa"/>
              <w:right w:w="20" w:type="dxa"/>
            </w:tcMar>
            <w:vAlign w:val="bottom"/>
          </w:tcPr>
          <w:p w14:paraId="442F7EA6" w14:textId="77777777" w:rsidR="00CC25B5" w:rsidRDefault="00CC25B5">
            <w:pPr>
              <w:rPr>
                <w:rFonts w:ascii="宋体"/>
              </w:rPr>
            </w:pPr>
          </w:p>
        </w:tc>
        <w:tc>
          <w:tcPr>
            <w:tcW w:w="0" w:type="auto"/>
            <w:shd w:val="clear" w:color="auto" w:fill="auto"/>
            <w:vAlign w:val="bottom"/>
          </w:tcPr>
          <w:p w14:paraId="442F7EA7" w14:textId="77777777" w:rsidR="00CC25B5" w:rsidRDefault="00CC25B5">
            <w:pPr>
              <w:rPr>
                <w:rFonts w:ascii="宋体"/>
                <w:vanish/>
              </w:rPr>
            </w:pPr>
          </w:p>
        </w:tc>
        <w:tc>
          <w:tcPr>
            <w:tcW w:w="0" w:type="auto"/>
            <w:shd w:val="clear" w:color="auto" w:fill="auto"/>
            <w:vAlign w:val="bottom"/>
          </w:tcPr>
          <w:p w14:paraId="442F7EA8" w14:textId="77777777" w:rsidR="00CC25B5" w:rsidRDefault="00CC25B5">
            <w:pPr>
              <w:rPr>
                <w:rFonts w:ascii="宋体"/>
                <w:vanish/>
              </w:rPr>
            </w:pPr>
          </w:p>
        </w:tc>
        <w:tc>
          <w:tcPr>
            <w:tcW w:w="0" w:type="auto"/>
            <w:shd w:val="clear" w:color="auto" w:fill="auto"/>
            <w:vAlign w:val="bottom"/>
          </w:tcPr>
          <w:p w14:paraId="442F7EA9" w14:textId="77777777" w:rsidR="00CC25B5" w:rsidRDefault="00CC25B5">
            <w:pPr>
              <w:rPr>
                <w:rFonts w:ascii="宋体"/>
                <w:vanish/>
              </w:rPr>
            </w:pPr>
          </w:p>
        </w:tc>
        <w:tc>
          <w:tcPr>
            <w:tcW w:w="0" w:type="auto"/>
            <w:shd w:val="clear" w:color="auto" w:fill="auto"/>
            <w:vAlign w:val="bottom"/>
          </w:tcPr>
          <w:p w14:paraId="442F7EAA" w14:textId="77777777" w:rsidR="00CC25B5" w:rsidRDefault="00CC25B5">
            <w:pPr>
              <w:rPr>
                <w:rFonts w:ascii="宋体"/>
                <w:vanish/>
              </w:rPr>
            </w:pPr>
          </w:p>
        </w:tc>
        <w:tc>
          <w:tcPr>
            <w:tcW w:w="0" w:type="auto"/>
            <w:shd w:val="clear" w:color="auto" w:fill="auto"/>
            <w:vAlign w:val="bottom"/>
          </w:tcPr>
          <w:p w14:paraId="442F7EAB" w14:textId="77777777" w:rsidR="00CC25B5" w:rsidRDefault="00CC25B5">
            <w:pPr>
              <w:rPr>
                <w:rFonts w:ascii="宋体"/>
                <w:vanish/>
              </w:rPr>
            </w:pPr>
          </w:p>
        </w:tc>
        <w:tc>
          <w:tcPr>
            <w:tcW w:w="0" w:type="auto"/>
            <w:gridSpan w:val="3"/>
            <w:shd w:val="clear" w:color="auto" w:fill="auto"/>
            <w:vAlign w:val="bottom"/>
          </w:tcPr>
          <w:p w14:paraId="442F7EAC" w14:textId="77777777" w:rsidR="00CC25B5" w:rsidRDefault="00CC25B5">
            <w:pPr>
              <w:rPr>
                <w:rFonts w:ascii="宋体"/>
                <w:vanish/>
              </w:rPr>
            </w:pPr>
          </w:p>
        </w:tc>
        <w:tc>
          <w:tcPr>
            <w:tcW w:w="0" w:type="auto"/>
            <w:gridSpan w:val="2"/>
            <w:shd w:val="clear" w:color="auto" w:fill="FFFFFF"/>
            <w:tcMar>
              <w:top w:w="40" w:type="dxa"/>
              <w:left w:w="20" w:type="dxa"/>
              <w:bottom w:w="40" w:type="dxa"/>
              <w:right w:w="0" w:type="dxa"/>
            </w:tcMar>
            <w:vAlign w:val="center"/>
          </w:tcPr>
          <w:p w14:paraId="442F7EAD" w14:textId="77777777" w:rsidR="00CC25B5" w:rsidRDefault="00900968">
            <w:pPr>
              <w:jc w:val="right"/>
              <w:textAlignment w:val="center"/>
            </w:pPr>
            <w:r>
              <w:rPr>
                <w:rFonts w:ascii="Times New Roman" w:eastAsia="宋体" w:hAnsi="Times New Roman"/>
                <w:color w:val="000000"/>
                <w:sz w:val="16"/>
                <w:szCs w:val="16"/>
              </w:rPr>
              <w:t>(11,559)</w:t>
            </w:r>
          </w:p>
        </w:tc>
        <w:tc>
          <w:tcPr>
            <w:tcW w:w="0" w:type="auto"/>
            <w:shd w:val="clear" w:color="auto" w:fill="FFFFFF"/>
            <w:tcMar>
              <w:top w:w="40" w:type="dxa"/>
              <w:left w:w="0" w:type="dxa"/>
              <w:bottom w:w="40" w:type="dxa"/>
              <w:right w:w="20" w:type="dxa"/>
            </w:tcMar>
            <w:vAlign w:val="center"/>
          </w:tcPr>
          <w:p w14:paraId="442F7EA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EA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B0" w14:textId="77777777" w:rsidR="00CC25B5" w:rsidRDefault="00900968">
            <w:pPr>
              <w:jc w:val="right"/>
              <w:textAlignment w:val="center"/>
            </w:pPr>
            <w:r>
              <w:rPr>
                <w:rFonts w:ascii="Times New Roman" w:eastAsia="宋体" w:hAnsi="Times New Roman"/>
                <w:color w:val="000000"/>
                <w:sz w:val="16"/>
                <w:szCs w:val="16"/>
              </w:rPr>
              <w:t>(7,814)</w:t>
            </w:r>
          </w:p>
        </w:tc>
        <w:tc>
          <w:tcPr>
            <w:tcW w:w="0" w:type="auto"/>
            <w:shd w:val="clear" w:color="auto" w:fill="FFFFFF"/>
            <w:tcMar>
              <w:top w:w="40" w:type="dxa"/>
              <w:left w:w="0" w:type="dxa"/>
              <w:bottom w:w="40" w:type="dxa"/>
              <w:right w:w="20" w:type="dxa"/>
            </w:tcMar>
            <w:vAlign w:val="center"/>
          </w:tcPr>
          <w:p w14:paraId="442F7EB1" w14:textId="77777777" w:rsidR="00CC25B5" w:rsidRDefault="00CC25B5">
            <w:pPr>
              <w:jc w:val="right"/>
              <w:rPr>
                <w:rFonts w:ascii="宋体"/>
              </w:rPr>
            </w:pPr>
          </w:p>
        </w:tc>
      </w:tr>
    </w:tbl>
    <w:p w14:paraId="442F7EB3" w14:textId="77777777" w:rsidR="00CC25B5" w:rsidRDefault="00900968">
      <w:pPr>
        <w:spacing w:before="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provided by (used in) investing activities" includes payments for property and equipment, which is also included in our computation of free cash flow.</w:t>
      </w:r>
    </w:p>
    <w:p w14:paraId="442F7EB4" w14:textId="77777777" w:rsidR="00CC25B5" w:rsidRDefault="00900968">
      <w:pPr>
        <w:jc w:val="center"/>
      </w:pPr>
      <w:r>
        <w:rPr>
          <w:rFonts w:ascii="Times New Roman" w:eastAsia="宋体" w:hAnsi="Times New Roman"/>
          <w:color w:val="000000"/>
          <w:sz w:val="20"/>
          <w:szCs w:val="20"/>
        </w:rPr>
        <w:t>19</w:t>
      </w:r>
    </w:p>
    <w:p w14:paraId="442F7EB5" w14:textId="77777777" w:rsidR="00CC25B5" w:rsidRDefault="00900968">
      <w:r>
        <w:pict w14:anchorId="442F85DC">
          <v:rect id="_x0000_i1043" style="width:415.3pt;height:1.5pt" o:hralign="center" o:hrstd="t" o:hr="t" fillcolor="#a0a0a0" stroked="f"/>
        </w:pict>
      </w:r>
    </w:p>
    <w:p w14:paraId="442F7EB6" w14:textId="77777777" w:rsidR="00CC25B5" w:rsidRDefault="00900968">
      <w:hyperlink r:id="rId66" w:anchor="ie1710166881948a18c44f48eaa2dcf00_7" w:history="1">
        <w:r>
          <w:rPr>
            <w:rStyle w:val="a5"/>
            <w:rFonts w:ascii="Times New Roman" w:eastAsia="宋体" w:hAnsi="Times New Roman"/>
            <w:sz w:val="20"/>
            <w:szCs w:val="20"/>
          </w:rPr>
          <w:t>Table of Contents</w:t>
        </w:r>
      </w:hyperlink>
    </w:p>
    <w:p w14:paraId="442F7EB7" w14:textId="77777777" w:rsidR="00CC25B5" w:rsidRDefault="00900968">
      <w:r>
        <w:rPr>
          <w:rFonts w:ascii="Times New Roman" w:eastAsia="宋体" w:hAnsi="Times New Roman"/>
          <w:b/>
          <w:bCs/>
          <w:color w:val="000000"/>
          <w:sz w:val="20"/>
          <w:szCs w:val="20"/>
        </w:rPr>
        <w:t>Results of Operations</w:t>
      </w:r>
    </w:p>
    <w:p w14:paraId="442F7EB8" w14:textId="77777777" w:rsidR="00CC25B5" w:rsidRDefault="00900968">
      <w:pPr>
        <w:spacing w:before="180"/>
      </w:pPr>
      <w:r>
        <w:rPr>
          <w:rFonts w:ascii="Times New Roman" w:eastAsia="宋体" w:hAnsi="Times New Roman"/>
          <w:b/>
          <w:bCs/>
          <w:i/>
          <w:i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85"/>
        <w:gridCol w:w="38"/>
        <w:gridCol w:w="36"/>
        <w:gridCol w:w="36"/>
        <w:gridCol w:w="36"/>
        <w:gridCol w:w="100"/>
        <w:gridCol w:w="744"/>
        <w:gridCol w:w="36"/>
        <w:gridCol w:w="36"/>
        <w:gridCol w:w="36"/>
        <w:gridCol w:w="36"/>
        <w:gridCol w:w="100"/>
        <w:gridCol w:w="744"/>
        <w:gridCol w:w="36"/>
        <w:gridCol w:w="36"/>
        <w:gridCol w:w="36"/>
        <w:gridCol w:w="36"/>
        <w:gridCol w:w="100"/>
        <w:gridCol w:w="744"/>
        <w:gridCol w:w="154"/>
        <w:gridCol w:w="36"/>
        <w:gridCol w:w="36"/>
        <w:gridCol w:w="36"/>
        <w:gridCol w:w="100"/>
        <w:gridCol w:w="748"/>
        <w:gridCol w:w="36"/>
      </w:tblGrid>
      <w:tr w:rsidR="00CC25B5" w14:paraId="442F7ED4" w14:textId="77777777">
        <w:tc>
          <w:tcPr>
            <w:tcW w:w="50" w:type="pct"/>
            <w:shd w:val="clear" w:color="auto" w:fill="auto"/>
            <w:vAlign w:val="bottom"/>
          </w:tcPr>
          <w:p w14:paraId="442F7EB9" w14:textId="77777777" w:rsidR="00CC25B5" w:rsidRDefault="00CC25B5">
            <w:pPr>
              <w:rPr>
                <w:rFonts w:ascii="宋体"/>
              </w:rPr>
            </w:pPr>
          </w:p>
        </w:tc>
        <w:tc>
          <w:tcPr>
            <w:tcW w:w="2547" w:type="pct"/>
            <w:shd w:val="clear" w:color="auto" w:fill="auto"/>
            <w:vAlign w:val="bottom"/>
          </w:tcPr>
          <w:p w14:paraId="442F7EBA" w14:textId="77777777" w:rsidR="00CC25B5" w:rsidRDefault="00CC25B5">
            <w:pPr>
              <w:rPr>
                <w:rFonts w:ascii="宋体"/>
              </w:rPr>
            </w:pPr>
          </w:p>
        </w:tc>
        <w:tc>
          <w:tcPr>
            <w:tcW w:w="5" w:type="pct"/>
            <w:shd w:val="clear" w:color="auto" w:fill="auto"/>
            <w:vAlign w:val="bottom"/>
          </w:tcPr>
          <w:p w14:paraId="442F7EBB" w14:textId="77777777" w:rsidR="00CC25B5" w:rsidRDefault="00CC25B5">
            <w:pPr>
              <w:rPr>
                <w:rFonts w:ascii="宋体"/>
              </w:rPr>
            </w:pPr>
          </w:p>
        </w:tc>
        <w:tc>
          <w:tcPr>
            <w:tcW w:w="5" w:type="pct"/>
            <w:shd w:val="clear" w:color="auto" w:fill="auto"/>
            <w:vAlign w:val="bottom"/>
          </w:tcPr>
          <w:p w14:paraId="442F7EBC" w14:textId="77777777" w:rsidR="00CC25B5" w:rsidRDefault="00CC25B5">
            <w:pPr>
              <w:rPr>
                <w:rFonts w:ascii="宋体"/>
              </w:rPr>
            </w:pPr>
          </w:p>
        </w:tc>
        <w:tc>
          <w:tcPr>
            <w:tcW w:w="26" w:type="pct"/>
            <w:shd w:val="clear" w:color="auto" w:fill="auto"/>
            <w:vAlign w:val="bottom"/>
          </w:tcPr>
          <w:p w14:paraId="442F7EBD" w14:textId="77777777" w:rsidR="00CC25B5" w:rsidRDefault="00CC25B5">
            <w:pPr>
              <w:rPr>
                <w:rFonts w:ascii="宋体"/>
              </w:rPr>
            </w:pPr>
          </w:p>
        </w:tc>
        <w:tc>
          <w:tcPr>
            <w:tcW w:w="5" w:type="pct"/>
            <w:shd w:val="clear" w:color="auto" w:fill="auto"/>
            <w:vAlign w:val="bottom"/>
          </w:tcPr>
          <w:p w14:paraId="442F7EBE" w14:textId="77777777" w:rsidR="00CC25B5" w:rsidRDefault="00CC25B5">
            <w:pPr>
              <w:rPr>
                <w:rFonts w:ascii="宋体"/>
              </w:rPr>
            </w:pPr>
          </w:p>
        </w:tc>
        <w:tc>
          <w:tcPr>
            <w:tcW w:w="50" w:type="pct"/>
            <w:shd w:val="clear" w:color="auto" w:fill="auto"/>
            <w:vAlign w:val="bottom"/>
          </w:tcPr>
          <w:p w14:paraId="442F7EBF" w14:textId="77777777" w:rsidR="00CC25B5" w:rsidRDefault="00CC25B5">
            <w:pPr>
              <w:rPr>
                <w:rFonts w:ascii="宋体"/>
              </w:rPr>
            </w:pPr>
          </w:p>
        </w:tc>
        <w:tc>
          <w:tcPr>
            <w:tcW w:w="507" w:type="pct"/>
            <w:shd w:val="clear" w:color="auto" w:fill="auto"/>
            <w:vAlign w:val="bottom"/>
          </w:tcPr>
          <w:p w14:paraId="442F7EC0" w14:textId="77777777" w:rsidR="00CC25B5" w:rsidRDefault="00CC25B5">
            <w:pPr>
              <w:rPr>
                <w:rFonts w:ascii="宋体"/>
              </w:rPr>
            </w:pPr>
          </w:p>
        </w:tc>
        <w:tc>
          <w:tcPr>
            <w:tcW w:w="5" w:type="pct"/>
            <w:shd w:val="clear" w:color="auto" w:fill="auto"/>
            <w:vAlign w:val="bottom"/>
          </w:tcPr>
          <w:p w14:paraId="442F7EC1" w14:textId="77777777" w:rsidR="00CC25B5" w:rsidRDefault="00CC25B5">
            <w:pPr>
              <w:rPr>
                <w:rFonts w:ascii="宋体"/>
              </w:rPr>
            </w:pPr>
          </w:p>
        </w:tc>
        <w:tc>
          <w:tcPr>
            <w:tcW w:w="5" w:type="pct"/>
            <w:shd w:val="clear" w:color="auto" w:fill="auto"/>
            <w:vAlign w:val="bottom"/>
          </w:tcPr>
          <w:p w14:paraId="442F7EC2" w14:textId="77777777" w:rsidR="00CC25B5" w:rsidRDefault="00CC25B5">
            <w:pPr>
              <w:rPr>
                <w:rFonts w:ascii="宋体"/>
              </w:rPr>
            </w:pPr>
          </w:p>
        </w:tc>
        <w:tc>
          <w:tcPr>
            <w:tcW w:w="26" w:type="pct"/>
            <w:shd w:val="clear" w:color="auto" w:fill="auto"/>
            <w:vAlign w:val="bottom"/>
          </w:tcPr>
          <w:p w14:paraId="442F7EC3" w14:textId="77777777" w:rsidR="00CC25B5" w:rsidRDefault="00CC25B5">
            <w:pPr>
              <w:rPr>
                <w:rFonts w:ascii="宋体"/>
              </w:rPr>
            </w:pPr>
          </w:p>
        </w:tc>
        <w:tc>
          <w:tcPr>
            <w:tcW w:w="5" w:type="pct"/>
            <w:shd w:val="clear" w:color="auto" w:fill="auto"/>
            <w:vAlign w:val="bottom"/>
          </w:tcPr>
          <w:p w14:paraId="442F7EC4" w14:textId="77777777" w:rsidR="00CC25B5" w:rsidRDefault="00CC25B5">
            <w:pPr>
              <w:rPr>
                <w:rFonts w:ascii="宋体"/>
              </w:rPr>
            </w:pPr>
          </w:p>
        </w:tc>
        <w:tc>
          <w:tcPr>
            <w:tcW w:w="50" w:type="pct"/>
            <w:shd w:val="clear" w:color="auto" w:fill="auto"/>
            <w:vAlign w:val="bottom"/>
          </w:tcPr>
          <w:p w14:paraId="442F7EC5" w14:textId="77777777" w:rsidR="00CC25B5" w:rsidRDefault="00CC25B5">
            <w:pPr>
              <w:rPr>
                <w:rFonts w:ascii="宋体"/>
              </w:rPr>
            </w:pPr>
          </w:p>
        </w:tc>
        <w:tc>
          <w:tcPr>
            <w:tcW w:w="507" w:type="pct"/>
            <w:shd w:val="clear" w:color="auto" w:fill="auto"/>
            <w:vAlign w:val="bottom"/>
          </w:tcPr>
          <w:p w14:paraId="442F7EC6" w14:textId="77777777" w:rsidR="00CC25B5" w:rsidRDefault="00CC25B5">
            <w:pPr>
              <w:rPr>
                <w:rFonts w:ascii="宋体"/>
              </w:rPr>
            </w:pPr>
          </w:p>
        </w:tc>
        <w:tc>
          <w:tcPr>
            <w:tcW w:w="5" w:type="pct"/>
            <w:shd w:val="clear" w:color="auto" w:fill="auto"/>
            <w:vAlign w:val="bottom"/>
          </w:tcPr>
          <w:p w14:paraId="442F7EC7" w14:textId="77777777" w:rsidR="00CC25B5" w:rsidRDefault="00CC25B5">
            <w:pPr>
              <w:rPr>
                <w:rFonts w:ascii="宋体"/>
              </w:rPr>
            </w:pPr>
          </w:p>
        </w:tc>
        <w:tc>
          <w:tcPr>
            <w:tcW w:w="5" w:type="pct"/>
            <w:shd w:val="clear" w:color="auto" w:fill="auto"/>
            <w:vAlign w:val="bottom"/>
          </w:tcPr>
          <w:p w14:paraId="442F7EC8" w14:textId="77777777" w:rsidR="00CC25B5" w:rsidRDefault="00CC25B5">
            <w:pPr>
              <w:rPr>
                <w:rFonts w:ascii="宋体"/>
              </w:rPr>
            </w:pPr>
          </w:p>
        </w:tc>
        <w:tc>
          <w:tcPr>
            <w:tcW w:w="26" w:type="pct"/>
            <w:shd w:val="clear" w:color="auto" w:fill="auto"/>
            <w:vAlign w:val="bottom"/>
          </w:tcPr>
          <w:p w14:paraId="442F7EC9" w14:textId="77777777" w:rsidR="00CC25B5" w:rsidRDefault="00CC25B5">
            <w:pPr>
              <w:rPr>
                <w:rFonts w:ascii="宋体"/>
              </w:rPr>
            </w:pPr>
          </w:p>
        </w:tc>
        <w:tc>
          <w:tcPr>
            <w:tcW w:w="5" w:type="pct"/>
            <w:shd w:val="clear" w:color="auto" w:fill="auto"/>
            <w:vAlign w:val="bottom"/>
          </w:tcPr>
          <w:p w14:paraId="442F7ECA" w14:textId="77777777" w:rsidR="00CC25B5" w:rsidRDefault="00CC25B5">
            <w:pPr>
              <w:rPr>
                <w:rFonts w:ascii="宋体"/>
              </w:rPr>
            </w:pPr>
          </w:p>
        </w:tc>
        <w:tc>
          <w:tcPr>
            <w:tcW w:w="50" w:type="pct"/>
            <w:shd w:val="clear" w:color="auto" w:fill="auto"/>
            <w:vAlign w:val="bottom"/>
          </w:tcPr>
          <w:p w14:paraId="442F7ECB" w14:textId="77777777" w:rsidR="00CC25B5" w:rsidRDefault="00CC25B5">
            <w:pPr>
              <w:rPr>
                <w:rFonts w:ascii="宋体"/>
              </w:rPr>
            </w:pPr>
          </w:p>
        </w:tc>
        <w:tc>
          <w:tcPr>
            <w:tcW w:w="507" w:type="pct"/>
            <w:shd w:val="clear" w:color="auto" w:fill="auto"/>
            <w:vAlign w:val="bottom"/>
          </w:tcPr>
          <w:p w14:paraId="442F7ECC" w14:textId="77777777" w:rsidR="00CC25B5" w:rsidRDefault="00CC25B5">
            <w:pPr>
              <w:rPr>
                <w:rFonts w:ascii="宋体"/>
              </w:rPr>
            </w:pPr>
          </w:p>
        </w:tc>
        <w:tc>
          <w:tcPr>
            <w:tcW w:w="5" w:type="pct"/>
            <w:shd w:val="clear" w:color="auto" w:fill="auto"/>
            <w:vAlign w:val="bottom"/>
          </w:tcPr>
          <w:p w14:paraId="442F7ECD" w14:textId="77777777" w:rsidR="00CC25B5" w:rsidRDefault="00CC25B5">
            <w:pPr>
              <w:rPr>
                <w:rFonts w:ascii="宋体"/>
              </w:rPr>
            </w:pPr>
          </w:p>
        </w:tc>
        <w:tc>
          <w:tcPr>
            <w:tcW w:w="5" w:type="pct"/>
            <w:shd w:val="clear" w:color="auto" w:fill="auto"/>
            <w:vAlign w:val="bottom"/>
          </w:tcPr>
          <w:p w14:paraId="442F7ECE" w14:textId="77777777" w:rsidR="00CC25B5" w:rsidRDefault="00CC25B5">
            <w:pPr>
              <w:rPr>
                <w:rFonts w:ascii="宋体"/>
              </w:rPr>
            </w:pPr>
          </w:p>
        </w:tc>
        <w:tc>
          <w:tcPr>
            <w:tcW w:w="26" w:type="pct"/>
            <w:shd w:val="clear" w:color="auto" w:fill="auto"/>
            <w:vAlign w:val="bottom"/>
          </w:tcPr>
          <w:p w14:paraId="442F7ECF" w14:textId="77777777" w:rsidR="00CC25B5" w:rsidRDefault="00CC25B5">
            <w:pPr>
              <w:rPr>
                <w:rFonts w:ascii="宋体"/>
              </w:rPr>
            </w:pPr>
          </w:p>
        </w:tc>
        <w:tc>
          <w:tcPr>
            <w:tcW w:w="5" w:type="pct"/>
            <w:shd w:val="clear" w:color="auto" w:fill="auto"/>
            <w:vAlign w:val="bottom"/>
          </w:tcPr>
          <w:p w14:paraId="442F7ED0" w14:textId="77777777" w:rsidR="00CC25B5" w:rsidRDefault="00CC25B5">
            <w:pPr>
              <w:rPr>
                <w:rFonts w:ascii="宋体"/>
              </w:rPr>
            </w:pPr>
          </w:p>
        </w:tc>
        <w:tc>
          <w:tcPr>
            <w:tcW w:w="50" w:type="pct"/>
            <w:shd w:val="clear" w:color="auto" w:fill="auto"/>
            <w:vAlign w:val="bottom"/>
          </w:tcPr>
          <w:p w14:paraId="442F7ED1" w14:textId="77777777" w:rsidR="00CC25B5" w:rsidRDefault="00CC25B5">
            <w:pPr>
              <w:rPr>
                <w:rFonts w:ascii="宋体"/>
              </w:rPr>
            </w:pPr>
          </w:p>
        </w:tc>
        <w:tc>
          <w:tcPr>
            <w:tcW w:w="508" w:type="pct"/>
            <w:shd w:val="clear" w:color="auto" w:fill="auto"/>
            <w:vAlign w:val="bottom"/>
          </w:tcPr>
          <w:p w14:paraId="442F7ED2" w14:textId="77777777" w:rsidR="00CC25B5" w:rsidRDefault="00CC25B5">
            <w:pPr>
              <w:rPr>
                <w:rFonts w:ascii="宋体"/>
              </w:rPr>
            </w:pPr>
          </w:p>
        </w:tc>
        <w:tc>
          <w:tcPr>
            <w:tcW w:w="5" w:type="pct"/>
            <w:shd w:val="clear" w:color="auto" w:fill="auto"/>
            <w:vAlign w:val="bottom"/>
          </w:tcPr>
          <w:p w14:paraId="442F7ED3" w14:textId="77777777" w:rsidR="00CC25B5" w:rsidRDefault="00CC25B5">
            <w:pPr>
              <w:rPr>
                <w:rFonts w:ascii="宋体"/>
              </w:rPr>
            </w:pPr>
          </w:p>
        </w:tc>
      </w:tr>
      <w:tr w:rsidR="00CC25B5" w14:paraId="442F7EDA" w14:textId="77777777">
        <w:tc>
          <w:tcPr>
            <w:tcW w:w="0" w:type="auto"/>
            <w:gridSpan w:val="3"/>
            <w:shd w:val="clear" w:color="auto" w:fill="auto"/>
            <w:tcMar>
              <w:top w:w="0" w:type="dxa"/>
              <w:left w:w="20" w:type="dxa"/>
              <w:bottom w:w="0" w:type="dxa"/>
              <w:right w:w="20" w:type="dxa"/>
            </w:tcMar>
            <w:vAlign w:val="bottom"/>
          </w:tcPr>
          <w:p w14:paraId="442F7ED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7ED6"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ED7" w14:textId="77777777" w:rsidR="00CC25B5" w:rsidRDefault="00900968">
            <w:pPr>
              <w:jc w:val="center"/>
              <w:textAlignment w:val="bottom"/>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ED8"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bottom"/>
          </w:tcPr>
          <w:p w14:paraId="442F7ED9" w14:textId="77777777" w:rsidR="00CC25B5" w:rsidRDefault="00900968">
            <w:pPr>
              <w:jc w:val="center"/>
              <w:textAlignment w:val="bottom"/>
            </w:pPr>
            <w:r>
              <w:rPr>
                <w:rFonts w:ascii="Times New Roman" w:eastAsia="宋体" w:hAnsi="Times New Roman"/>
                <w:b/>
                <w:bCs/>
                <w:color w:val="000000"/>
                <w:sz w:val="16"/>
                <w:szCs w:val="16"/>
              </w:rPr>
              <w:t>Six Months Ended July 31,</w:t>
            </w:r>
          </w:p>
        </w:tc>
      </w:tr>
      <w:tr w:rsidR="00CC25B5" w14:paraId="442F7EE4" w14:textId="77777777">
        <w:tc>
          <w:tcPr>
            <w:tcW w:w="0" w:type="auto"/>
            <w:gridSpan w:val="3"/>
            <w:shd w:val="clear" w:color="auto" w:fill="auto"/>
            <w:tcMar>
              <w:top w:w="40" w:type="dxa"/>
              <w:left w:w="20" w:type="dxa"/>
              <w:bottom w:w="40" w:type="dxa"/>
              <w:right w:w="20" w:type="dxa"/>
            </w:tcMar>
            <w:vAlign w:val="bottom"/>
          </w:tcPr>
          <w:p w14:paraId="442F7EDB" w14:textId="77777777" w:rsidR="00CC25B5" w:rsidRDefault="00900968">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42F7ED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EDD"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ED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EDF"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EE0"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EE1"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7EE2"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7EE3"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7EF6" w14:textId="77777777">
        <w:tc>
          <w:tcPr>
            <w:tcW w:w="0" w:type="auto"/>
            <w:gridSpan w:val="3"/>
            <w:shd w:val="clear" w:color="auto" w:fill="CCEEFF"/>
            <w:tcMar>
              <w:top w:w="40" w:type="dxa"/>
              <w:left w:w="20" w:type="dxa"/>
              <w:bottom w:w="40" w:type="dxa"/>
              <w:right w:w="20" w:type="dxa"/>
            </w:tcMar>
            <w:vAlign w:val="center"/>
          </w:tcPr>
          <w:p w14:paraId="442F7EE5" w14:textId="77777777" w:rsidR="00CC25B5" w:rsidRDefault="00900968">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442F7EE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E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E8" w14:textId="77777777" w:rsidR="00CC25B5" w:rsidRDefault="00900968">
            <w:pPr>
              <w:jc w:val="right"/>
              <w:textAlignment w:val="center"/>
            </w:pPr>
            <w:r>
              <w:rPr>
                <w:rFonts w:ascii="Times New Roman" w:eastAsia="宋体" w:hAnsi="Times New Roman"/>
                <w:color w:val="000000"/>
                <w:sz w:val="16"/>
                <w:szCs w:val="16"/>
              </w:rPr>
              <w:t>141,048 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E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E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E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EC" w14:textId="77777777" w:rsidR="00CC25B5" w:rsidRDefault="00900968">
            <w:pPr>
              <w:jc w:val="right"/>
              <w:textAlignment w:val="center"/>
            </w:pPr>
            <w:r>
              <w:rPr>
                <w:rFonts w:ascii="Times New Roman" w:eastAsia="宋体" w:hAnsi="Times New Roman"/>
                <w:color w:val="000000"/>
                <w:sz w:val="16"/>
                <w:szCs w:val="16"/>
              </w:rPr>
              <w:t>137,742 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E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E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E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F0" w14:textId="77777777" w:rsidR="00CC25B5" w:rsidRDefault="00900968">
            <w:pPr>
              <w:jc w:val="right"/>
              <w:textAlignment w:val="center"/>
            </w:pPr>
            <w:r>
              <w:rPr>
                <w:rFonts w:ascii="Times New Roman" w:eastAsia="宋体" w:hAnsi="Times New Roman"/>
                <w:color w:val="000000"/>
                <w:sz w:val="16"/>
                <w:szCs w:val="16"/>
              </w:rPr>
              <w:t>279,358 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F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EF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EF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EF4" w14:textId="77777777" w:rsidR="00CC25B5" w:rsidRDefault="00900968">
            <w:pPr>
              <w:jc w:val="right"/>
              <w:textAlignment w:val="center"/>
            </w:pPr>
            <w:r>
              <w:rPr>
                <w:rFonts w:ascii="Times New Roman" w:eastAsia="宋体" w:hAnsi="Times New Roman"/>
                <w:color w:val="000000"/>
                <w:sz w:val="16"/>
                <w:szCs w:val="16"/>
              </w:rPr>
              <w:t>272,364 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EF5" w14:textId="77777777" w:rsidR="00CC25B5" w:rsidRDefault="00CC25B5">
            <w:pPr>
              <w:jc w:val="right"/>
              <w:rPr>
                <w:rFonts w:ascii="宋体"/>
              </w:rPr>
            </w:pPr>
          </w:p>
        </w:tc>
      </w:tr>
      <w:tr w:rsidR="00CC25B5" w14:paraId="442F7F01" w14:textId="77777777">
        <w:tc>
          <w:tcPr>
            <w:tcW w:w="0" w:type="auto"/>
            <w:gridSpan w:val="3"/>
            <w:shd w:val="clear" w:color="auto" w:fill="FFFFFF"/>
            <w:tcMar>
              <w:top w:w="40" w:type="dxa"/>
              <w:left w:w="20" w:type="dxa"/>
              <w:bottom w:w="40" w:type="dxa"/>
              <w:right w:w="20" w:type="dxa"/>
            </w:tcMar>
            <w:vAlign w:val="center"/>
          </w:tcPr>
          <w:p w14:paraId="442F7EF7"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7EF8"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EF9" w14:textId="77777777" w:rsidR="00CC25B5" w:rsidRDefault="00900968">
            <w:pPr>
              <w:jc w:val="right"/>
              <w:textAlignment w:val="center"/>
            </w:pPr>
            <w:r>
              <w:rPr>
                <w:rFonts w:ascii="Times New Roman" w:eastAsia="宋体" w:hAnsi="Times New Roman"/>
                <w:color w:val="000000"/>
                <w:sz w:val="16"/>
                <w:szCs w:val="16"/>
              </w:rPr>
              <w:t>2.4%</w:t>
            </w:r>
          </w:p>
        </w:tc>
        <w:tc>
          <w:tcPr>
            <w:tcW w:w="0" w:type="auto"/>
            <w:gridSpan w:val="3"/>
            <w:shd w:val="clear" w:color="auto" w:fill="FFFFFF"/>
            <w:tcMar>
              <w:top w:w="0" w:type="dxa"/>
              <w:left w:w="20" w:type="dxa"/>
              <w:bottom w:w="0" w:type="dxa"/>
              <w:right w:w="20" w:type="dxa"/>
            </w:tcMar>
            <w:vAlign w:val="bottom"/>
          </w:tcPr>
          <w:p w14:paraId="442F7EFA"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EFB" w14:textId="77777777" w:rsidR="00CC25B5" w:rsidRDefault="00900968">
            <w:pPr>
              <w:jc w:val="right"/>
              <w:textAlignment w:val="center"/>
            </w:pPr>
            <w:r>
              <w:rPr>
                <w:rFonts w:ascii="Times New Roman" w:eastAsia="宋体" w:hAnsi="Times New Roman"/>
                <w:color w:val="000000"/>
                <w:sz w:val="16"/>
                <w:szCs w:val="16"/>
              </w:rPr>
              <w:t>5.6%</w:t>
            </w:r>
          </w:p>
        </w:tc>
        <w:tc>
          <w:tcPr>
            <w:tcW w:w="0" w:type="auto"/>
            <w:gridSpan w:val="3"/>
            <w:shd w:val="clear" w:color="auto" w:fill="FFFFFF"/>
            <w:tcMar>
              <w:top w:w="0" w:type="dxa"/>
              <w:left w:w="20" w:type="dxa"/>
              <w:bottom w:w="0" w:type="dxa"/>
              <w:right w:w="20" w:type="dxa"/>
            </w:tcMar>
            <w:vAlign w:val="bottom"/>
          </w:tcPr>
          <w:p w14:paraId="442F7EF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EFD" w14:textId="77777777" w:rsidR="00CC25B5" w:rsidRDefault="00900968">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442F7EFE"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EFF"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00" w14:textId="77777777" w:rsidR="00CC25B5" w:rsidRDefault="00900968">
            <w:pPr>
              <w:jc w:val="right"/>
              <w:textAlignment w:val="center"/>
            </w:pPr>
            <w:r>
              <w:rPr>
                <w:rFonts w:ascii="Times New Roman" w:eastAsia="宋体" w:hAnsi="Times New Roman"/>
                <w:color w:val="000000"/>
                <w:sz w:val="16"/>
                <w:szCs w:val="16"/>
              </w:rPr>
              <w:t>7.1%</w:t>
            </w:r>
          </w:p>
        </w:tc>
      </w:tr>
      <w:tr w:rsidR="00CC25B5" w14:paraId="442F7F13" w14:textId="77777777">
        <w:tc>
          <w:tcPr>
            <w:tcW w:w="0" w:type="auto"/>
            <w:gridSpan w:val="3"/>
            <w:shd w:val="clear" w:color="auto" w:fill="CCEEFF"/>
            <w:tcMar>
              <w:top w:w="40" w:type="dxa"/>
              <w:left w:w="20" w:type="dxa"/>
              <w:bottom w:w="40" w:type="dxa"/>
              <w:right w:w="20" w:type="dxa"/>
            </w:tcMar>
            <w:vAlign w:val="center"/>
          </w:tcPr>
          <w:p w14:paraId="442F7F02" w14:textId="77777777" w:rsidR="00CC25B5" w:rsidRDefault="00900968">
            <w:pPr>
              <w:textAlignment w:val="center"/>
            </w:pPr>
            <w:r>
              <w:rPr>
                <w:rFonts w:ascii="Times New Roman" w:eastAsia="宋体" w:hAnsi="Times New Roman"/>
                <w:color w:val="000000"/>
                <w:sz w:val="16"/>
                <w:szCs w:val="16"/>
              </w:rPr>
              <w:t>Ne</w:t>
            </w:r>
            <w:r>
              <w:rPr>
                <w:rFonts w:ascii="Times New Roman" w:eastAsia="宋体" w:hAnsi="Times New Roman"/>
                <w:color w:val="000000"/>
                <w:sz w:val="16"/>
                <w:szCs w:val="16"/>
              </w:rPr>
              <w:t>t sales</w:t>
            </w:r>
          </w:p>
        </w:tc>
        <w:tc>
          <w:tcPr>
            <w:tcW w:w="0" w:type="auto"/>
            <w:gridSpan w:val="3"/>
            <w:shd w:val="clear" w:color="auto" w:fill="CCEEFF"/>
            <w:tcMar>
              <w:top w:w="0" w:type="dxa"/>
              <w:left w:w="20" w:type="dxa"/>
              <w:bottom w:w="0" w:type="dxa"/>
              <w:right w:w="20" w:type="dxa"/>
            </w:tcMar>
            <w:vAlign w:val="bottom"/>
          </w:tcPr>
          <w:p w14:paraId="442F7F03"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04"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05" w14:textId="77777777" w:rsidR="00CC25B5" w:rsidRDefault="00900968">
            <w:pPr>
              <w:jc w:val="right"/>
              <w:textAlignment w:val="center"/>
            </w:pPr>
            <w:r>
              <w:rPr>
                <w:rFonts w:ascii="Times New Roman" w:eastAsia="宋体" w:hAnsi="Times New Roman"/>
                <w:color w:val="000000"/>
                <w:sz w:val="16"/>
                <w:szCs w:val="16"/>
              </w:rPr>
              <w:t>139,871 </w:t>
            </w:r>
          </w:p>
        </w:tc>
        <w:tc>
          <w:tcPr>
            <w:tcW w:w="0" w:type="auto"/>
            <w:shd w:val="clear" w:color="auto" w:fill="CCEEFF"/>
            <w:tcMar>
              <w:top w:w="40" w:type="dxa"/>
              <w:left w:w="0" w:type="dxa"/>
              <w:bottom w:w="40" w:type="dxa"/>
              <w:right w:w="20" w:type="dxa"/>
            </w:tcMar>
            <w:vAlign w:val="center"/>
          </w:tcPr>
          <w:p w14:paraId="442F7F0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07"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08"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09" w14:textId="77777777" w:rsidR="00CC25B5" w:rsidRDefault="00900968">
            <w:pPr>
              <w:jc w:val="right"/>
              <w:textAlignment w:val="center"/>
            </w:pPr>
            <w:r>
              <w:rPr>
                <w:rFonts w:ascii="Times New Roman" w:eastAsia="宋体" w:hAnsi="Times New Roman"/>
                <w:color w:val="000000"/>
                <w:sz w:val="16"/>
                <w:szCs w:val="16"/>
              </w:rPr>
              <w:t>136,824 </w:t>
            </w:r>
          </w:p>
        </w:tc>
        <w:tc>
          <w:tcPr>
            <w:tcW w:w="0" w:type="auto"/>
            <w:shd w:val="clear" w:color="auto" w:fill="CCEEFF"/>
            <w:tcMar>
              <w:top w:w="40" w:type="dxa"/>
              <w:left w:w="0" w:type="dxa"/>
              <w:bottom w:w="40" w:type="dxa"/>
              <w:right w:w="20" w:type="dxa"/>
            </w:tcMar>
            <w:vAlign w:val="center"/>
          </w:tcPr>
          <w:p w14:paraId="442F7F0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0B"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0C"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0D" w14:textId="77777777" w:rsidR="00CC25B5" w:rsidRDefault="00900968">
            <w:pPr>
              <w:jc w:val="right"/>
              <w:textAlignment w:val="center"/>
            </w:pPr>
            <w:r>
              <w:rPr>
                <w:rFonts w:ascii="Times New Roman" w:eastAsia="宋体" w:hAnsi="Times New Roman"/>
                <w:color w:val="000000"/>
                <w:sz w:val="16"/>
                <w:szCs w:val="16"/>
              </w:rPr>
              <w:t>277,030 </w:t>
            </w:r>
          </w:p>
        </w:tc>
        <w:tc>
          <w:tcPr>
            <w:tcW w:w="0" w:type="auto"/>
            <w:shd w:val="clear" w:color="auto" w:fill="CCEEFF"/>
            <w:tcMar>
              <w:top w:w="40" w:type="dxa"/>
              <w:left w:w="0" w:type="dxa"/>
              <w:bottom w:w="40" w:type="dxa"/>
              <w:right w:w="20" w:type="dxa"/>
            </w:tcMar>
            <w:vAlign w:val="center"/>
          </w:tcPr>
          <w:p w14:paraId="442F7F0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0F"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10"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11" w14:textId="77777777" w:rsidR="00CC25B5" w:rsidRDefault="00900968">
            <w:pPr>
              <w:jc w:val="right"/>
              <w:textAlignment w:val="center"/>
            </w:pPr>
            <w:r>
              <w:rPr>
                <w:rFonts w:ascii="Times New Roman" w:eastAsia="宋体" w:hAnsi="Times New Roman"/>
                <w:color w:val="000000"/>
                <w:sz w:val="16"/>
                <w:szCs w:val="16"/>
              </w:rPr>
              <w:t>270,496 </w:t>
            </w:r>
          </w:p>
        </w:tc>
        <w:tc>
          <w:tcPr>
            <w:tcW w:w="0" w:type="auto"/>
            <w:shd w:val="clear" w:color="auto" w:fill="CCEEFF"/>
            <w:tcMar>
              <w:top w:w="40" w:type="dxa"/>
              <w:left w:w="0" w:type="dxa"/>
              <w:bottom w:w="40" w:type="dxa"/>
              <w:right w:w="20" w:type="dxa"/>
            </w:tcMar>
            <w:vAlign w:val="center"/>
          </w:tcPr>
          <w:p w14:paraId="442F7F12" w14:textId="77777777" w:rsidR="00CC25B5" w:rsidRDefault="00CC25B5">
            <w:pPr>
              <w:jc w:val="right"/>
              <w:rPr>
                <w:rFonts w:ascii="宋体"/>
              </w:rPr>
            </w:pPr>
          </w:p>
        </w:tc>
      </w:tr>
      <w:tr w:rsidR="00CC25B5" w14:paraId="442F7F1E" w14:textId="77777777">
        <w:tc>
          <w:tcPr>
            <w:tcW w:w="0" w:type="auto"/>
            <w:gridSpan w:val="3"/>
            <w:shd w:val="clear" w:color="auto" w:fill="FFFFFF"/>
            <w:tcMar>
              <w:top w:w="40" w:type="dxa"/>
              <w:left w:w="20" w:type="dxa"/>
              <w:bottom w:w="40" w:type="dxa"/>
              <w:right w:w="20" w:type="dxa"/>
            </w:tcMar>
            <w:vAlign w:val="center"/>
          </w:tcPr>
          <w:p w14:paraId="442F7F14"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7F15"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16" w14:textId="77777777" w:rsidR="00CC25B5" w:rsidRDefault="00900968">
            <w:pPr>
              <w:jc w:val="right"/>
              <w:textAlignment w:val="center"/>
            </w:pPr>
            <w:r>
              <w:rPr>
                <w:rFonts w:ascii="Times New Roman" w:eastAsia="宋体" w:hAnsi="Times New Roman"/>
                <w:color w:val="000000"/>
                <w:sz w:val="16"/>
                <w:szCs w:val="16"/>
              </w:rPr>
              <w:t>2.2%</w:t>
            </w:r>
          </w:p>
        </w:tc>
        <w:tc>
          <w:tcPr>
            <w:tcW w:w="0" w:type="auto"/>
            <w:gridSpan w:val="3"/>
            <w:shd w:val="clear" w:color="auto" w:fill="FFFFFF"/>
            <w:tcMar>
              <w:top w:w="0" w:type="dxa"/>
              <w:left w:w="20" w:type="dxa"/>
              <w:bottom w:w="0" w:type="dxa"/>
              <w:right w:w="20" w:type="dxa"/>
            </w:tcMar>
            <w:vAlign w:val="bottom"/>
          </w:tcPr>
          <w:p w14:paraId="442F7F17"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18" w14:textId="77777777" w:rsidR="00CC25B5" w:rsidRDefault="00900968">
            <w:pPr>
              <w:jc w:val="right"/>
              <w:textAlignment w:val="center"/>
            </w:pPr>
            <w:r>
              <w:rPr>
                <w:rFonts w:ascii="Times New Roman" w:eastAsia="宋体" w:hAnsi="Times New Roman"/>
                <w:color w:val="000000"/>
                <w:sz w:val="16"/>
                <w:szCs w:val="16"/>
              </w:rPr>
              <w:t>5.7%</w:t>
            </w:r>
          </w:p>
        </w:tc>
        <w:tc>
          <w:tcPr>
            <w:tcW w:w="0" w:type="auto"/>
            <w:gridSpan w:val="3"/>
            <w:shd w:val="clear" w:color="auto" w:fill="FFFFFF"/>
            <w:tcMar>
              <w:top w:w="0" w:type="dxa"/>
              <w:left w:w="20" w:type="dxa"/>
              <w:bottom w:w="0" w:type="dxa"/>
              <w:right w:w="20" w:type="dxa"/>
            </w:tcMar>
            <w:vAlign w:val="bottom"/>
          </w:tcPr>
          <w:p w14:paraId="442F7F1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1A" w14:textId="77777777" w:rsidR="00CC25B5" w:rsidRDefault="00900968">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42F7F1B"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F1C"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1D" w14:textId="77777777" w:rsidR="00CC25B5" w:rsidRDefault="00900968">
            <w:pPr>
              <w:jc w:val="right"/>
              <w:textAlignment w:val="center"/>
            </w:pPr>
            <w:r>
              <w:rPr>
                <w:rFonts w:ascii="Times New Roman" w:eastAsia="宋体" w:hAnsi="Times New Roman"/>
                <w:color w:val="000000"/>
                <w:sz w:val="16"/>
                <w:szCs w:val="16"/>
              </w:rPr>
              <w:t>7.2%</w:t>
            </w:r>
          </w:p>
        </w:tc>
      </w:tr>
      <w:tr w:rsidR="00CC25B5" w14:paraId="442F7F29" w14:textId="77777777">
        <w:tc>
          <w:tcPr>
            <w:tcW w:w="0" w:type="auto"/>
            <w:gridSpan w:val="3"/>
            <w:shd w:val="clear" w:color="auto" w:fill="CCEEFF"/>
            <w:tcMar>
              <w:top w:w="40" w:type="dxa"/>
              <w:left w:w="20" w:type="dxa"/>
              <w:bottom w:w="40" w:type="dxa"/>
              <w:right w:w="20" w:type="dxa"/>
            </w:tcMar>
            <w:vAlign w:val="center"/>
          </w:tcPr>
          <w:p w14:paraId="442F7F1F" w14:textId="77777777" w:rsidR="00CC25B5" w:rsidRDefault="00900968">
            <w:pPr>
              <w:textAlignment w:val="center"/>
            </w:pPr>
            <w:r>
              <w:rPr>
                <w:rFonts w:ascii="Times New Roman" w:eastAsia="宋体" w:hAnsi="Times New Roman"/>
                <w:color w:val="000000"/>
                <w:sz w:val="16"/>
                <w:szCs w:val="16"/>
              </w:rPr>
              <w:t>Total U.S. calendar comparable sales increase</w:t>
            </w:r>
          </w:p>
        </w:tc>
        <w:tc>
          <w:tcPr>
            <w:tcW w:w="0" w:type="auto"/>
            <w:gridSpan w:val="3"/>
            <w:shd w:val="clear" w:color="auto" w:fill="CCEEFF"/>
            <w:tcMar>
              <w:top w:w="0" w:type="dxa"/>
              <w:left w:w="20" w:type="dxa"/>
              <w:bottom w:w="0" w:type="dxa"/>
              <w:right w:w="20" w:type="dxa"/>
            </w:tcMar>
            <w:vAlign w:val="bottom"/>
          </w:tcPr>
          <w:p w14:paraId="442F7F20" w14:textId="77777777" w:rsidR="00CC25B5" w:rsidRDefault="00CC25B5">
            <w:pPr>
              <w:rPr>
                <w:rFonts w:ascii="宋体"/>
              </w:rPr>
            </w:pPr>
          </w:p>
        </w:tc>
        <w:tc>
          <w:tcPr>
            <w:tcW w:w="0" w:type="auto"/>
            <w:gridSpan w:val="3"/>
            <w:shd w:val="clear" w:color="auto" w:fill="CCEEFF"/>
            <w:tcMar>
              <w:top w:w="40" w:type="dxa"/>
              <w:left w:w="20" w:type="dxa"/>
              <w:bottom w:w="40" w:type="dxa"/>
              <w:right w:w="140" w:type="dxa"/>
            </w:tcMar>
            <w:vAlign w:val="center"/>
          </w:tcPr>
          <w:p w14:paraId="442F7F21" w14:textId="77777777" w:rsidR="00CC25B5" w:rsidRDefault="00900968">
            <w:pPr>
              <w:jc w:val="right"/>
              <w:textAlignment w:val="center"/>
            </w:pPr>
            <w:r>
              <w:rPr>
                <w:rFonts w:ascii="Times New Roman" w:eastAsia="宋体" w:hAnsi="Times New Roman"/>
                <w:color w:val="000000"/>
                <w:sz w:val="16"/>
                <w:szCs w:val="16"/>
              </w:rPr>
              <w:t>6.7%</w:t>
            </w:r>
          </w:p>
        </w:tc>
        <w:tc>
          <w:tcPr>
            <w:tcW w:w="0" w:type="auto"/>
            <w:gridSpan w:val="3"/>
            <w:shd w:val="clear" w:color="auto" w:fill="CCEEFF"/>
            <w:tcMar>
              <w:top w:w="0" w:type="dxa"/>
              <w:left w:w="20" w:type="dxa"/>
              <w:bottom w:w="0" w:type="dxa"/>
              <w:right w:w="20" w:type="dxa"/>
            </w:tcMar>
            <w:vAlign w:val="bottom"/>
          </w:tcPr>
          <w:p w14:paraId="442F7F22" w14:textId="77777777" w:rsidR="00CC25B5" w:rsidRDefault="00CC25B5">
            <w:pPr>
              <w:rPr>
                <w:rFonts w:ascii="宋体"/>
              </w:rPr>
            </w:pPr>
          </w:p>
        </w:tc>
        <w:tc>
          <w:tcPr>
            <w:tcW w:w="0" w:type="auto"/>
            <w:gridSpan w:val="3"/>
            <w:shd w:val="clear" w:color="auto" w:fill="CCEEFF"/>
            <w:tcMar>
              <w:top w:w="40" w:type="dxa"/>
              <w:left w:w="20" w:type="dxa"/>
              <w:bottom w:w="40" w:type="dxa"/>
              <w:right w:w="140" w:type="dxa"/>
            </w:tcMar>
            <w:vAlign w:val="center"/>
          </w:tcPr>
          <w:p w14:paraId="442F7F23" w14:textId="77777777" w:rsidR="00CC25B5" w:rsidRDefault="00900968">
            <w:pPr>
              <w:jc w:val="right"/>
              <w:textAlignment w:val="center"/>
            </w:pPr>
            <w:r>
              <w:rPr>
                <w:rFonts w:ascii="Times New Roman" w:eastAsia="宋体" w:hAnsi="Times New Roman"/>
                <w:color w:val="000000"/>
                <w:sz w:val="16"/>
                <w:szCs w:val="16"/>
              </w:rPr>
              <w:t>9.6%</w:t>
            </w:r>
          </w:p>
        </w:tc>
        <w:tc>
          <w:tcPr>
            <w:tcW w:w="0" w:type="auto"/>
            <w:gridSpan w:val="3"/>
            <w:shd w:val="clear" w:color="auto" w:fill="CCEEFF"/>
            <w:tcMar>
              <w:top w:w="0" w:type="dxa"/>
              <w:left w:w="20" w:type="dxa"/>
              <w:bottom w:w="0" w:type="dxa"/>
              <w:right w:w="20" w:type="dxa"/>
            </w:tcMar>
            <w:vAlign w:val="bottom"/>
          </w:tcPr>
          <w:p w14:paraId="442F7F2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25" w14:textId="77777777" w:rsidR="00CC25B5" w:rsidRDefault="00900968">
            <w:pPr>
              <w:jc w:val="right"/>
              <w:textAlignment w:val="center"/>
            </w:pPr>
            <w:r>
              <w:rPr>
                <w:rFonts w:ascii="Times New Roman" w:eastAsia="宋体" w:hAnsi="Times New Roman"/>
                <w:color w:val="000000"/>
                <w:sz w:val="16"/>
                <w:szCs w:val="16"/>
              </w:rPr>
              <w:t>6.</w:t>
            </w: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442F7F2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F27" w14:textId="77777777" w:rsidR="00CC25B5" w:rsidRDefault="00CC25B5">
            <w:pPr>
              <w:rPr>
                <w:rFonts w:ascii="宋体"/>
              </w:rPr>
            </w:pPr>
          </w:p>
        </w:tc>
        <w:tc>
          <w:tcPr>
            <w:tcW w:w="0" w:type="auto"/>
            <w:gridSpan w:val="3"/>
            <w:shd w:val="clear" w:color="auto" w:fill="CCEEFF"/>
            <w:tcMar>
              <w:top w:w="40" w:type="dxa"/>
              <w:left w:w="20" w:type="dxa"/>
              <w:bottom w:w="40" w:type="dxa"/>
              <w:right w:w="140" w:type="dxa"/>
            </w:tcMar>
            <w:vAlign w:val="center"/>
          </w:tcPr>
          <w:p w14:paraId="442F7F28" w14:textId="77777777" w:rsidR="00CC25B5" w:rsidRDefault="00900968">
            <w:pPr>
              <w:jc w:val="right"/>
              <w:textAlignment w:val="center"/>
            </w:pPr>
            <w:r>
              <w:rPr>
                <w:rFonts w:ascii="Times New Roman" w:eastAsia="宋体" w:hAnsi="Times New Roman"/>
                <w:color w:val="000000"/>
                <w:sz w:val="16"/>
                <w:szCs w:val="16"/>
              </w:rPr>
              <w:t>10.0%</w:t>
            </w:r>
          </w:p>
        </w:tc>
      </w:tr>
      <w:tr w:rsidR="00CC25B5" w14:paraId="442F7F34" w14:textId="77777777">
        <w:tc>
          <w:tcPr>
            <w:tcW w:w="0" w:type="auto"/>
            <w:gridSpan w:val="3"/>
            <w:shd w:val="clear" w:color="auto" w:fill="FFFFFF"/>
            <w:tcMar>
              <w:top w:w="40" w:type="dxa"/>
              <w:left w:w="20" w:type="dxa"/>
              <w:bottom w:w="40" w:type="dxa"/>
              <w:right w:w="20" w:type="dxa"/>
            </w:tcMar>
            <w:vAlign w:val="center"/>
          </w:tcPr>
          <w:p w14:paraId="442F7F2A" w14:textId="77777777" w:rsidR="00CC25B5" w:rsidRDefault="00900968">
            <w:pPr>
              <w:textAlignment w:val="center"/>
            </w:pPr>
            <w:r>
              <w:rPr>
                <w:rFonts w:ascii="Times New Roman" w:eastAsia="宋体" w:hAnsi="Times New Roman"/>
                <w:color w:val="000000"/>
                <w:sz w:val="16"/>
                <w:szCs w:val="16"/>
              </w:rPr>
              <w:t>Gr</w:t>
            </w:r>
            <w:r>
              <w:rPr>
                <w:rFonts w:ascii="Times New Roman" w:eastAsia="宋体" w:hAnsi="Times New Roman"/>
                <w:color w:val="000000"/>
                <w:sz w:val="16"/>
                <w:szCs w:val="16"/>
              </w:rPr>
              <w:t>oss profit margin as a percentage of net sales</w:t>
            </w:r>
          </w:p>
        </w:tc>
        <w:tc>
          <w:tcPr>
            <w:tcW w:w="0" w:type="auto"/>
            <w:gridSpan w:val="3"/>
            <w:shd w:val="clear" w:color="auto" w:fill="FFFFFF"/>
            <w:tcMar>
              <w:top w:w="0" w:type="dxa"/>
              <w:left w:w="20" w:type="dxa"/>
              <w:bottom w:w="0" w:type="dxa"/>
              <w:right w:w="20" w:type="dxa"/>
            </w:tcMar>
            <w:vAlign w:val="bottom"/>
          </w:tcPr>
          <w:p w14:paraId="442F7F2B"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2C" w14:textId="77777777" w:rsidR="00CC25B5" w:rsidRDefault="00900968">
            <w:pPr>
              <w:jc w:val="right"/>
              <w:textAlignment w:val="center"/>
            </w:pPr>
            <w:r>
              <w:rPr>
                <w:rFonts w:ascii="Times New Roman" w:eastAsia="宋体" w:hAnsi="Times New Roman"/>
                <w:color w:val="000000"/>
                <w:sz w:val="16"/>
                <w:szCs w:val="16"/>
              </w:rPr>
              <w:t>24.8%</w:t>
            </w:r>
          </w:p>
        </w:tc>
        <w:tc>
          <w:tcPr>
            <w:tcW w:w="0" w:type="auto"/>
            <w:gridSpan w:val="3"/>
            <w:shd w:val="clear" w:color="auto" w:fill="FFFFFF"/>
            <w:tcMar>
              <w:top w:w="0" w:type="dxa"/>
              <w:left w:w="20" w:type="dxa"/>
              <w:bottom w:w="0" w:type="dxa"/>
              <w:right w:w="20" w:type="dxa"/>
            </w:tcMar>
            <w:vAlign w:val="bottom"/>
          </w:tcPr>
          <w:p w14:paraId="442F7F2D"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2E" w14:textId="77777777" w:rsidR="00CC25B5" w:rsidRDefault="00900968">
            <w:pPr>
              <w:jc w:val="right"/>
              <w:textAlignment w:val="center"/>
            </w:pPr>
            <w:r>
              <w:rPr>
                <w:rFonts w:ascii="Times New Roman" w:eastAsia="宋体" w:hAnsi="Times New Roman"/>
                <w:color w:val="000000"/>
                <w:sz w:val="16"/>
                <w:szCs w:val="16"/>
              </w:rPr>
              <w:t>24.9%</w:t>
            </w:r>
          </w:p>
        </w:tc>
        <w:tc>
          <w:tcPr>
            <w:tcW w:w="0" w:type="auto"/>
            <w:gridSpan w:val="3"/>
            <w:shd w:val="clear" w:color="auto" w:fill="FFFFFF"/>
            <w:tcMar>
              <w:top w:w="0" w:type="dxa"/>
              <w:left w:w="20" w:type="dxa"/>
              <w:bottom w:w="0" w:type="dxa"/>
              <w:right w:w="20" w:type="dxa"/>
            </w:tcMar>
            <w:vAlign w:val="bottom"/>
          </w:tcPr>
          <w:p w14:paraId="442F7F2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30" w14:textId="77777777" w:rsidR="00CC25B5" w:rsidRDefault="00900968">
            <w:pPr>
              <w:jc w:val="right"/>
              <w:textAlignment w:val="center"/>
            </w:pPr>
            <w:r>
              <w:rPr>
                <w:rFonts w:ascii="Times New Roman" w:eastAsia="宋体" w:hAnsi="Times New Roman"/>
                <w:color w:val="000000"/>
                <w:sz w:val="16"/>
                <w:szCs w:val="16"/>
              </w:rPr>
              <w:t>24.8 </w:t>
            </w:r>
          </w:p>
        </w:tc>
        <w:tc>
          <w:tcPr>
            <w:tcW w:w="0" w:type="auto"/>
            <w:shd w:val="clear" w:color="auto" w:fill="FFFFFF"/>
            <w:tcMar>
              <w:top w:w="40" w:type="dxa"/>
              <w:left w:w="0" w:type="dxa"/>
              <w:bottom w:w="40" w:type="dxa"/>
              <w:right w:w="20" w:type="dxa"/>
            </w:tcMar>
            <w:vAlign w:val="center"/>
          </w:tcPr>
          <w:p w14:paraId="442F7F31"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F32"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33" w14:textId="77777777" w:rsidR="00CC25B5" w:rsidRDefault="00900968">
            <w:pPr>
              <w:jc w:val="right"/>
              <w:textAlignment w:val="center"/>
            </w:pPr>
            <w:r>
              <w:rPr>
                <w:rFonts w:ascii="Times New Roman" w:eastAsia="宋体" w:hAnsi="Times New Roman"/>
                <w:color w:val="000000"/>
                <w:sz w:val="16"/>
                <w:szCs w:val="16"/>
              </w:rPr>
              <w:t>24.3%</w:t>
            </w:r>
          </w:p>
        </w:tc>
      </w:tr>
      <w:tr w:rsidR="00CC25B5" w14:paraId="442F7F46" w14:textId="77777777">
        <w:tc>
          <w:tcPr>
            <w:tcW w:w="0" w:type="auto"/>
            <w:gridSpan w:val="3"/>
            <w:shd w:val="clear" w:color="auto" w:fill="CCEEFF"/>
            <w:tcMar>
              <w:top w:w="40" w:type="dxa"/>
              <w:left w:w="20" w:type="dxa"/>
              <w:bottom w:w="40" w:type="dxa"/>
              <w:right w:w="20" w:type="dxa"/>
            </w:tcMar>
            <w:vAlign w:val="center"/>
          </w:tcPr>
          <w:p w14:paraId="442F7F35" w14:textId="77777777" w:rsidR="00CC25B5" w:rsidRDefault="00900968">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42F7F36"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37"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38" w14:textId="77777777" w:rsidR="00CC25B5" w:rsidRDefault="00900968">
            <w:pPr>
              <w:jc w:val="right"/>
              <w:textAlignment w:val="center"/>
            </w:pPr>
            <w:r>
              <w:rPr>
                <w:rFonts w:ascii="Times New Roman" w:eastAsia="宋体" w:hAnsi="Times New Roman"/>
                <w:color w:val="000000"/>
                <w:sz w:val="16"/>
                <w:szCs w:val="16"/>
              </w:rPr>
              <w:t>7,354 </w:t>
            </w:r>
          </w:p>
        </w:tc>
        <w:tc>
          <w:tcPr>
            <w:tcW w:w="0" w:type="auto"/>
            <w:shd w:val="clear" w:color="auto" w:fill="CCEEFF"/>
            <w:tcMar>
              <w:top w:w="40" w:type="dxa"/>
              <w:left w:w="0" w:type="dxa"/>
              <w:bottom w:w="40" w:type="dxa"/>
              <w:right w:w="20" w:type="dxa"/>
            </w:tcMar>
            <w:vAlign w:val="center"/>
          </w:tcPr>
          <w:p w14:paraId="442F7F3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3A"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3B"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3C" w14:textId="77777777" w:rsidR="00CC25B5" w:rsidRDefault="00900968">
            <w:pPr>
              <w:jc w:val="right"/>
              <w:textAlignment w:val="center"/>
            </w:pPr>
            <w:r>
              <w:rPr>
                <w:rFonts w:ascii="Times New Roman" w:eastAsia="宋体" w:hAnsi="Times New Roman"/>
                <w:color w:val="000000"/>
                <w:sz w:val="16"/>
                <w:szCs w:val="16"/>
              </w:rPr>
              <w:t>6,059 </w:t>
            </w:r>
          </w:p>
        </w:tc>
        <w:tc>
          <w:tcPr>
            <w:tcW w:w="0" w:type="auto"/>
            <w:shd w:val="clear" w:color="auto" w:fill="CCEEFF"/>
            <w:tcMar>
              <w:top w:w="40" w:type="dxa"/>
              <w:left w:w="0" w:type="dxa"/>
              <w:bottom w:w="40" w:type="dxa"/>
              <w:right w:w="20" w:type="dxa"/>
            </w:tcMar>
            <w:vAlign w:val="center"/>
          </w:tcPr>
          <w:p w14:paraId="442F7F3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3E"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3F"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40" w14:textId="77777777" w:rsidR="00CC25B5" w:rsidRDefault="00900968">
            <w:pPr>
              <w:jc w:val="right"/>
              <w:textAlignment w:val="center"/>
            </w:pPr>
            <w:r>
              <w:rPr>
                <w:rFonts w:ascii="Times New Roman" w:eastAsia="宋体" w:hAnsi="Times New Roman"/>
                <w:color w:val="000000"/>
                <w:sz w:val="16"/>
                <w:szCs w:val="16"/>
              </w:rPr>
              <w:t>14,263 </w:t>
            </w:r>
          </w:p>
        </w:tc>
        <w:tc>
          <w:tcPr>
            <w:tcW w:w="0" w:type="auto"/>
            <w:shd w:val="clear" w:color="auto" w:fill="CCEEFF"/>
            <w:tcMar>
              <w:top w:w="40" w:type="dxa"/>
              <w:left w:w="0" w:type="dxa"/>
              <w:bottom w:w="40" w:type="dxa"/>
              <w:right w:w="20" w:type="dxa"/>
            </w:tcMar>
            <w:vAlign w:val="center"/>
          </w:tcPr>
          <w:p w14:paraId="442F7F4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42"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43"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44" w14:textId="77777777" w:rsidR="00CC25B5" w:rsidRDefault="00900968">
            <w:pPr>
              <w:jc w:val="right"/>
              <w:textAlignment w:val="center"/>
            </w:pPr>
            <w:r>
              <w:rPr>
                <w:rFonts w:ascii="Times New Roman" w:eastAsia="宋体" w:hAnsi="Times New Roman"/>
                <w:color w:val="000000"/>
                <w:sz w:val="16"/>
                <w:szCs w:val="16"/>
              </w:rPr>
              <w:t>11,283 </w:t>
            </w:r>
          </w:p>
        </w:tc>
        <w:tc>
          <w:tcPr>
            <w:tcW w:w="0" w:type="auto"/>
            <w:shd w:val="clear" w:color="auto" w:fill="CCEEFF"/>
            <w:tcMar>
              <w:top w:w="40" w:type="dxa"/>
              <w:left w:w="0" w:type="dxa"/>
              <w:bottom w:w="40" w:type="dxa"/>
              <w:right w:w="20" w:type="dxa"/>
            </w:tcMar>
            <w:vAlign w:val="center"/>
          </w:tcPr>
          <w:p w14:paraId="442F7F45" w14:textId="77777777" w:rsidR="00CC25B5" w:rsidRDefault="00CC25B5">
            <w:pPr>
              <w:jc w:val="right"/>
              <w:rPr>
                <w:rFonts w:ascii="宋体"/>
              </w:rPr>
            </w:pPr>
          </w:p>
        </w:tc>
      </w:tr>
      <w:tr w:rsidR="00CC25B5" w14:paraId="442F7F51" w14:textId="77777777">
        <w:tc>
          <w:tcPr>
            <w:tcW w:w="0" w:type="auto"/>
            <w:gridSpan w:val="3"/>
            <w:shd w:val="clear" w:color="auto" w:fill="FFFFFF"/>
            <w:tcMar>
              <w:top w:w="40" w:type="dxa"/>
              <w:left w:w="20" w:type="dxa"/>
              <w:bottom w:w="40" w:type="dxa"/>
              <w:right w:w="20" w:type="dxa"/>
            </w:tcMar>
            <w:vAlign w:val="center"/>
          </w:tcPr>
          <w:p w14:paraId="442F7F47" w14:textId="77777777" w:rsidR="00CC25B5" w:rsidRDefault="00900968">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442F7F48"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49" w14:textId="77777777" w:rsidR="00CC25B5" w:rsidRDefault="00900968">
            <w:pPr>
              <w:jc w:val="right"/>
              <w:textAlignment w:val="center"/>
            </w:pPr>
            <w:r>
              <w:rPr>
                <w:rFonts w:ascii="Times New Roman" w:eastAsia="宋体" w:hAnsi="Times New Roman"/>
                <w:color w:val="000000"/>
                <w:sz w:val="16"/>
                <w:szCs w:val="16"/>
              </w:rPr>
              <w:t>5.3%</w:t>
            </w:r>
          </w:p>
        </w:tc>
        <w:tc>
          <w:tcPr>
            <w:tcW w:w="0" w:type="auto"/>
            <w:gridSpan w:val="3"/>
            <w:shd w:val="clear" w:color="auto" w:fill="FFFFFF"/>
            <w:tcMar>
              <w:top w:w="0" w:type="dxa"/>
              <w:left w:w="20" w:type="dxa"/>
              <w:bottom w:w="0" w:type="dxa"/>
              <w:right w:w="20" w:type="dxa"/>
            </w:tcMar>
            <w:vAlign w:val="bottom"/>
          </w:tcPr>
          <w:p w14:paraId="442F7F4A"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4B" w14:textId="77777777" w:rsidR="00CC25B5" w:rsidRDefault="00900968">
            <w:pPr>
              <w:jc w:val="right"/>
              <w:textAlignment w:val="center"/>
            </w:pPr>
            <w:r>
              <w:rPr>
                <w:rFonts w:ascii="Times New Roman" w:eastAsia="宋体" w:hAnsi="Times New Roman"/>
                <w:color w:val="000000"/>
                <w:sz w:val="16"/>
                <w:szCs w:val="16"/>
              </w:rPr>
              <w:t>4.4%</w:t>
            </w:r>
          </w:p>
        </w:tc>
        <w:tc>
          <w:tcPr>
            <w:tcW w:w="0" w:type="auto"/>
            <w:gridSpan w:val="3"/>
            <w:shd w:val="clear" w:color="auto" w:fill="FFFFFF"/>
            <w:tcMar>
              <w:top w:w="0" w:type="dxa"/>
              <w:left w:w="20" w:type="dxa"/>
              <w:bottom w:w="0" w:type="dxa"/>
              <w:right w:w="20" w:type="dxa"/>
            </w:tcMar>
            <w:vAlign w:val="bottom"/>
          </w:tcPr>
          <w:p w14:paraId="442F7F4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4D" w14:textId="77777777" w:rsidR="00CC25B5" w:rsidRDefault="00900968">
            <w:pPr>
              <w:jc w:val="right"/>
              <w:textAlignment w:val="center"/>
            </w:pPr>
            <w:r>
              <w:rPr>
                <w:rFonts w:ascii="Times New Roman" w:eastAsia="宋体" w:hAnsi="Times New Roman"/>
                <w:color w:val="000000"/>
                <w:sz w:val="16"/>
                <w:szCs w:val="16"/>
              </w:rPr>
              <w:t>5.1 </w:t>
            </w:r>
          </w:p>
        </w:tc>
        <w:tc>
          <w:tcPr>
            <w:tcW w:w="0" w:type="auto"/>
            <w:shd w:val="clear" w:color="auto" w:fill="FFFFFF"/>
            <w:tcMar>
              <w:top w:w="40" w:type="dxa"/>
              <w:left w:w="0" w:type="dxa"/>
              <w:bottom w:w="40" w:type="dxa"/>
              <w:right w:w="20" w:type="dxa"/>
            </w:tcMar>
            <w:vAlign w:val="center"/>
          </w:tcPr>
          <w:p w14:paraId="442F7F4E"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F4F" w14:textId="77777777" w:rsidR="00CC25B5" w:rsidRDefault="00CC25B5">
            <w:pPr>
              <w:rPr>
                <w:rFonts w:ascii="宋体"/>
              </w:rPr>
            </w:pPr>
          </w:p>
        </w:tc>
        <w:tc>
          <w:tcPr>
            <w:tcW w:w="0" w:type="auto"/>
            <w:gridSpan w:val="3"/>
            <w:shd w:val="clear" w:color="auto" w:fill="FFFFFF"/>
            <w:tcMar>
              <w:top w:w="40" w:type="dxa"/>
              <w:left w:w="20" w:type="dxa"/>
              <w:bottom w:w="40" w:type="dxa"/>
              <w:right w:w="140" w:type="dxa"/>
            </w:tcMar>
            <w:vAlign w:val="center"/>
          </w:tcPr>
          <w:p w14:paraId="442F7F50" w14:textId="77777777" w:rsidR="00CC25B5" w:rsidRDefault="00900968">
            <w:pPr>
              <w:jc w:val="right"/>
              <w:textAlignment w:val="center"/>
            </w:pPr>
            <w:r>
              <w:rPr>
                <w:rFonts w:ascii="Times New Roman" w:eastAsia="宋体" w:hAnsi="Times New Roman"/>
                <w:color w:val="000000"/>
                <w:sz w:val="16"/>
                <w:szCs w:val="16"/>
              </w:rPr>
              <w:t>4.2%</w:t>
            </w:r>
          </w:p>
        </w:tc>
      </w:tr>
      <w:tr w:rsidR="00CC25B5" w14:paraId="442F7F63" w14:textId="77777777">
        <w:tc>
          <w:tcPr>
            <w:tcW w:w="0" w:type="auto"/>
            <w:gridSpan w:val="3"/>
            <w:shd w:val="clear" w:color="auto" w:fill="CCEEFF"/>
            <w:tcMar>
              <w:top w:w="40" w:type="dxa"/>
              <w:left w:w="20" w:type="dxa"/>
              <w:bottom w:w="40" w:type="dxa"/>
              <w:right w:w="20" w:type="dxa"/>
            </w:tcMar>
            <w:vAlign w:val="center"/>
          </w:tcPr>
          <w:p w14:paraId="442F7F52" w14:textId="77777777" w:rsidR="00CC25B5" w:rsidRDefault="00900968">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442F7F53" w14:textId="77777777" w:rsidR="00CC25B5" w:rsidRDefault="00CC25B5">
            <w:pPr>
              <w:rPr>
                <w:rFonts w:ascii="宋体"/>
              </w:rPr>
            </w:pPr>
          </w:p>
        </w:tc>
        <w:tc>
          <w:tcPr>
            <w:tcW w:w="0" w:type="auto"/>
            <w:shd w:val="clear" w:color="auto" w:fill="CCEEFF"/>
            <w:tcMar>
              <w:top w:w="40" w:type="dxa"/>
              <w:left w:w="20" w:type="dxa"/>
              <w:bottom w:w="40" w:type="dxa"/>
              <w:right w:w="0" w:type="dxa"/>
            </w:tcMar>
          </w:tcPr>
          <w:p w14:paraId="442F7F54" w14:textId="77777777" w:rsidR="00CC25B5" w:rsidRDefault="00900968">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442F7F55" w14:textId="77777777" w:rsidR="00CC25B5" w:rsidRDefault="00900968">
            <w:pPr>
              <w:jc w:val="right"/>
              <w:textAlignment w:val="top"/>
            </w:pPr>
            <w:r>
              <w:rPr>
                <w:rFonts w:ascii="Times New Roman" w:eastAsia="宋体" w:hAnsi="Times New Roman"/>
                <w:color w:val="000000"/>
                <w:sz w:val="16"/>
                <w:szCs w:val="16"/>
              </w:rPr>
              <w:t>953 </w:t>
            </w:r>
          </w:p>
        </w:tc>
        <w:tc>
          <w:tcPr>
            <w:tcW w:w="0" w:type="auto"/>
            <w:shd w:val="clear" w:color="auto" w:fill="CCEEFF"/>
            <w:tcMar>
              <w:top w:w="40" w:type="dxa"/>
              <w:left w:w="0" w:type="dxa"/>
              <w:bottom w:w="40" w:type="dxa"/>
              <w:right w:w="20" w:type="dxa"/>
            </w:tcMar>
          </w:tcPr>
          <w:p w14:paraId="442F7F5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57" w14:textId="77777777" w:rsidR="00CC25B5" w:rsidRDefault="00CC25B5">
            <w:pPr>
              <w:rPr>
                <w:rFonts w:ascii="宋体"/>
              </w:rPr>
            </w:pPr>
          </w:p>
        </w:tc>
        <w:tc>
          <w:tcPr>
            <w:tcW w:w="0" w:type="auto"/>
            <w:shd w:val="clear" w:color="auto" w:fill="CCEEFF"/>
            <w:tcMar>
              <w:top w:w="40" w:type="dxa"/>
              <w:left w:w="20" w:type="dxa"/>
              <w:bottom w:w="40" w:type="dxa"/>
              <w:right w:w="0" w:type="dxa"/>
            </w:tcMar>
          </w:tcPr>
          <w:p w14:paraId="442F7F58" w14:textId="77777777" w:rsidR="00CC25B5" w:rsidRDefault="00900968">
            <w:pPr>
              <w:textAlignment w:val="top"/>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tcPr>
          <w:p w14:paraId="442F7F59" w14:textId="77777777" w:rsidR="00CC25B5" w:rsidRDefault="00900968">
            <w:pPr>
              <w:jc w:val="right"/>
              <w:textAlignment w:val="top"/>
            </w:pPr>
            <w:r>
              <w:rPr>
                <w:rFonts w:ascii="Times New Roman" w:eastAsia="宋体" w:hAnsi="Times New Roman"/>
                <w:color w:val="000000"/>
                <w:sz w:val="16"/>
                <w:szCs w:val="16"/>
              </w:rPr>
              <w:t>(3,222)</w:t>
            </w:r>
          </w:p>
        </w:tc>
        <w:tc>
          <w:tcPr>
            <w:tcW w:w="0" w:type="auto"/>
            <w:shd w:val="clear" w:color="auto" w:fill="CCEEFF"/>
            <w:tcMar>
              <w:top w:w="40" w:type="dxa"/>
              <w:left w:w="0" w:type="dxa"/>
              <w:bottom w:w="40" w:type="dxa"/>
              <w:right w:w="20" w:type="dxa"/>
            </w:tcMar>
          </w:tcPr>
          <w:p w14:paraId="442F7F5A"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5B"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5C"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5D" w14:textId="77777777" w:rsidR="00CC25B5" w:rsidRDefault="00900968">
            <w:pPr>
              <w:jc w:val="right"/>
              <w:textAlignment w:val="center"/>
            </w:pPr>
            <w:r>
              <w:rPr>
                <w:rFonts w:ascii="Times New Roman" w:eastAsia="宋体" w:hAnsi="Times New Roman"/>
                <w:color w:val="000000"/>
                <w:sz w:val="16"/>
                <w:szCs w:val="16"/>
              </w:rPr>
              <w:t>3,482 </w:t>
            </w:r>
          </w:p>
        </w:tc>
        <w:tc>
          <w:tcPr>
            <w:tcW w:w="0" w:type="auto"/>
            <w:shd w:val="clear" w:color="auto" w:fill="CCEEFF"/>
            <w:tcMar>
              <w:top w:w="40" w:type="dxa"/>
              <w:left w:w="0" w:type="dxa"/>
              <w:bottom w:w="40" w:type="dxa"/>
              <w:right w:w="20" w:type="dxa"/>
            </w:tcMar>
            <w:vAlign w:val="center"/>
          </w:tcPr>
          <w:p w14:paraId="442F7F5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5F"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7F60"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7F61" w14:textId="77777777" w:rsidR="00CC25B5" w:rsidRDefault="00900968">
            <w:pPr>
              <w:jc w:val="right"/>
              <w:textAlignment w:val="center"/>
            </w:pPr>
            <w:r>
              <w:rPr>
                <w:rFonts w:ascii="Times New Roman" w:eastAsia="宋体" w:hAnsi="Times New Roman"/>
                <w:color w:val="000000"/>
                <w:sz w:val="16"/>
                <w:szCs w:val="16"/>
              </w:rPr>
              <w:t>(3,943)</w:t>
            </w:r>
          </w:p>
        </w:tc>
        <w:tc>
          <w:tcPr>
            <w:tcW w:w="0" w:type="auto"/>
            <w:shd w:val="clear" w:color="auto" w:fill="CCEEFF"/>
            <w:tcMar>
              <w:top w:w="40" w:type="dxa"/>
              <w:left w:w="0" w:type="dxa"/>
              <w:bottom w:w="40" w:type="dxa"/>
              <w:right w:w="20" w:type="dxa"/>
            </w:tcMar>
            <w:vAlign w:val="center"/>
          </w:tcPr>
          <w:p w14:paraId="442F7F62" w14:textId="77777777" w:rsidR="00CC25B5" w:rsidRDefault="00CC25B5">
            <w:pPr>
              <w:jc w:val="right"/>
              <w:rPr>
                <w:rFonts w:ascii="宋体"/>
              </w:rPr>
            </w:pPr>
          </w:p>
        </w:tc>
      </w:tr>
      <w:tr w:rsidR="00CC25B5" w14:paraId="442F7F75" w14:textId="77777777">
        <w:tc>
          <w:tcPr>
            <w:tcW w:w="0" w:type="auto"/>
            <w:gridSpan w:val="3"/>
            <w:shd w:val="clear" w:color="auto" w:fill="FFFFFF"/>
            <w:tcMar>
              <w:top w:w="40" w:type="dxa"/>
              <w:left w:w="20" w:type="dxa"/>
              <w:bottom w:w="40" w:type="dxa"/>
              <w:right w:w="20" w:type="dxa"/>
            </w:tcMar>
            <w:vAlign w:val="center"/>
          </w:tcPr>
          <w:p w14:paraId="442F7F64" w14:textId="77777777" w:rsidR="00CC25B5" w:rsidRDefault="00900968">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442F7F65"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F66"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F67" w14:textId="77777777" w:rsidR="00CC25B5" w:rsidRDefault="00900968">
            <w:pPr>
              <w:jc w:val="right"/>
              <w:textAlignment w:val="center"/>
            </w:pPr>
            <w:r>
              <w:rPr>
                <w:rFonts w:ascii="Times New Roman" w:eastAsia="宋体" w:hAnsi="Times New Roman"/>
                <w:color w:val="000000"/>
                <w:sz w:val="16"/>
                <w:szCs w:val="16"/>
              </w:rPr>
              <w:t>4,364 </w:t>
            </w:r>
          </w:p>
        </w:tc>
        <w:tc>
          <w:tcPr>
            <w:tcW w:w="0" w:type="auto"/>
            <w:shd w:val="clear" w:color="auto" w:fill="FFFFFF"/>
            <w:tcMar>
              <w:top w:w="40" w:type="dxa"/>
              <w:left w:w="0" w:type="dxa"/>
              <w:bottom w:w="40" w:type="dxa"/>
              <w:right w:w="20" w:type="dxa"/>
            </w:tcMar>
            <w:vAlign w:val="center"/>
          </w:tcPr>
          <w:p w14:paraId="442F7F6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69"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F6A"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F6B" w14:textId="77777777" w:rsidR="00CC25B5" w:rsidRDefault="00900968">
            <w:pPr>
              <w:jc w:val="right"/>
              <w:textAlignment w:val="center"/>
            </w:pPr>
            <w:r>
              <w:rPr>
                <w:rFonts w:ascii="Times New Roman" w:eastAsia="宋体" w:hAnsi="Times New Roman"/>
                <w:color w:val="000000"/>
                <w:sz w:val="16"/>
                <w:szCs w:val="16"/>
              </w:rPr>
              <w:t>6,439 </w:t>
            </w:r>
          </w:p>
        </w:tc>
        <w:tc>
          <w:tcPr>
            <w:tcW w:w="0" w:type="auto"/>
            <w:shd w:val="clear" w:color="auto" w:fill="FFFFFF"/>
            <w:tcMar>
              <w:top w:w="40" w:type="dxa"/>
              <w:left w:w="0" w:type="dxa"/>
              <w:bottom w:w="40" w:type="dxa"/>
              <w:right w:w="20" w:type="dxa"/>
            </w:tcMar>
            <w:vAlign w:val="center"/>
          </w:tcPr>
          <w:p w14:paraId="442F7F6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6D"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F6E"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F6F" w14:textId="77777777" w:rsidR="00CC25B5" w:rsidRDefault="00900968">
            <w:pPr>
              <w:jc w:val="right"/>
              <w:textAlignment w:val="center"/>
            </w:pPr>
            <w:r>
              <w:rPr>
                <w:rFonts w:ascii="Times New Roman" w:eastAsia="宋体" w:hAnsi="Times New Roman"/>
                <w:color w:val="000000"/>
                <w:sz w:val="16"/>
                <w:szCs w:val="16"/>
              </w:rPr>
              <w:t>7,175 </w:t>
            </w:r>
          </w:p>
        </w:tc>
        <w:tc>
          <w:tcPr>
            <w:tcW w:w="0" w:type="auto"/>
            <w:shd w:val="clear" w:color="auto" w:fill="FFFFFF"/>
            <w:tcMar>
              <w:top w:w="40" w:type="dxa"/>
              <w:left w:w="0" w:type="dxa"/>
              <w:bottom w:w="40" w:type="dxa"/>
              <w:right w:w="20" w:type="dxa"/>
            </w:tcMar>
            <w:vAlign w:val="center"/>
          </w:tcPr>
          <w:p w14:paraId="442F7F7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71"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F72"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F73" w14:textId="77777777" w:rsidR="00CC25B5" w:rsidRDefault="00900968">
            <w:pPr>
              <w:jc w:val="right"/>
              <w:textAlignment w:val="center"/>
            </w:pPr>
            <w:r>
              <w:rPr>
                <w:rFonts w:ascii="Times New Roman" w:eastAsia="宋体" w:hAnsi="Times New Roman"/>
                <w:color w:val="000000"/>
                <w:sz w:val="16"/>
                <w:szCs w:val="16"/>
              </w:rPr>
              <w:t>10,513 </w:t>
            </w:r>
          </w:p>
        </w:tc>
        <w:tc>
          <w:tcPr>
            <w:tcW w:w="0" w:type="auto"/>
            <w:shd w:val="clear" w:color="auto" w:fill="FFFFFF"/>
            <w:tcMar>
              <w:top w:w="40" w:type="dxa"/>
              <w:left w:w="0" w:type="dxa"/>
              <w:bottom w:w="40" w:type="dxa"/>
              <w:right w:w="20" w:type="dxa"/>
            </w:tcMar>
            <w:vAlign w:val="center"/>
          </w:tcPr>
          <w:p w14:paraId="442F7F74" w14:textId="77777777" w:rsidR="00CC25B5" w:rsidRDefault="00CC25B5">
            <w:pPr>
              <w:jc w:val="right"/>
              <w:rPr>
                <w:rFonts w:ascii="宋体"/>
              </w:rPr>
            </w:pPr>
          </w:p>
        </w:tc>
      </w:tr>
      <w:tr w:rsidR="00CC25B5" w14:paraId="442F7F83" w14:textId="77777777">
        <w:tc>
          <w:tcPr>
            <w:tcW w:w="0" w:type="auto"/>
            <w:gridSpan w:val="3"/>
            <w:shd w:val="clear" w:color="auto" w:fill="CCEEFF"/>
            <w:tcMar>
              <w:top w:w="40" w:type="dxa"/>
              <w:left w:w="20" w:type="dxa"/>
              <w:bottom w:w="40" w:type="dxa"/>
              <w:right w:w="20" w:type="dxa"/>
            </w:tcMar>
            <w:vAlign w:val="center"/>
          </w:tcPr>
          <w:p w14:paraId="442F7F76" w14:textId="77777777" w:rsidR="00CC25B5" w:rsidRDefault="00900968">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442F7F7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78" w14:textId="77777777" w:rsidR="00CC25B5" w:rsidRDefault="00900968">
            <w:pPr>
              <w:jc w:val="right"/>
              <w:textAlignment w:val="center"/>
            </w:pPr>
            <w:r>
              <w:rPr>
                <w:rFonts w:ascii="Times New Roman" w:eastAsia="宋体" w:hAnsi="Times New Roman"/>
                <w:color w:val="000000"/>
                <w:sz w:val="16"/>
                <w:szCs w:val="16"/>
              </w:rPr>
              <w:t>10,524 </w:t>
            </w:r>
          </w:p>
        </w:tc>
        <w:tc>
          <w:tcPr>
            <w:tcW w:w="0" w:type="auto"/>
            <w:shd w:val="clear" w:color="auto" w:fill="CCEEFF"/>
            <w:tcMar>
              <w:top w:w="40" w:type="dxa"/>
              <w:left w:w="0" w:type="dxa"/>
              <w:bottom w:w="40" w:type="dxa"/>
              <w:right w:w="20" w:type="dxa"/>
            </w:tcMar>
            <w:vAlign w:val="center"/>
          </w:tcPr>
          <w:p w14:paraId="442F7F7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7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7B" w14:textId="77777777" w:rsidR="00CC25B5" w:rsidRDefault="00900968">
            <w:pPr>
              <w:jc w:val="right"/>
              <w:textAlignment w:val="center"/>
            </w:pPr>
            <w:r>
              <w:rPr>
                <w:rFonts w:ascii="Times New Roman" w:eastAsia="宋体" w:hAnsi="Times New Roman"/>
                <w:color w:val="000000"/>
                <w:sz w:val="16"/>
                <w:szCs w:val="16"/>
              </w:rPr>
              <w:t>11,496 </w:t>
            </w:r>
          </w:p>
        </w:tc>
        <w:tc>
          <w:tcPr>
            <w:tcW w:w="0" w:type="auto"/>
            <w:shd w:val="clear" w:color="auto" w:fill="CCEEFF"/>
            <w:tcMar>
              <w:top w:w="40" w:type="dxa"/>
              <w:left w:w="0" w:type="dxa"/>
              <w:bottom w:w="40" w:type="dxa"/>
              <w:right w:w="20" w:type="dxa"/>
            </w:tcMar>
            <w:vAlign w:val="center"/>
          </w:tcPr>
          <w:p w14:paraId="442F7F7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7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7E" w14:textId="77777777" w:rsidR="00CC25B5" w:rsidRDefault="00900968">
            <w:pPr>
              <w:jc w:val="right"/>
              <w:textAlignment w:val="center"/>
            </w:pPr>
            <w:r>
              <w:rPr>
                <w:rFonts w:ascii="Times New Roman" w:eastAsia="宋体" w:hAnsi="Times New Roman"/>
                <w:color w:val="000000"/>
                <w:sz w:val="16"/>
                <w:szCs w:val="16"/>
              </w:rPr>
              <w:t>10,524 </w:t>
            </w:r>
          </w:p>
        </w:tc>
        <w:tc>
          <w:tcPr>
            <w:tcW w:w="0" w:type="auto"/>
            <w:shd w:val="clear" w:color="auto" w:fill="CCEEFF"/>
            <w:tcMar>
              <w:top w:w="40" w:type="dxa"/>
              <w:left w:w="0" w:type="dxa"/>
              <w:bottom w:w="40" w:type="dxa"/>
              <w:right w:w="20" w:type="dxa"/>
            </w:tcMar>
            <w:vAlign w:val="center"/>
          </w:tcPr>
          <w:p w14:paraId="442F7F7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8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81" w14:textId="77777777" w:rsidR="00CC25B5" w:rsidRDefault="00900968">
            <w:pPr>
              <w:jc w:val="right"/>
              <w:textAlignment w:val="center"/>
            </w:pPr>
            <w:r>
              <w:rPr>
                <w:rFonts w:ascii="Times New Roman" w:eastAsia="宋体" w:hAnsi="Times New Roman"/>
                <w:color w:val="000000"/>
                <w:sz w:val="16"/>
                <w:szCs w:val="16"/>
              </w:rPr>
              <w:t>11,496 </w:t>
            </w:r>
          </w:p>
        </w:tc>
        <w:tc>
          <w:tcPr>
            <w:tcW w:w="0" w:type="auto"/>
            <w:shd w:val="clear" w:color="auto" w:fill="CCEEFF"/>
            <w:tcMar>
              <w:top w:w="40" w:type="dxa"/>
              <w:left w:w="0" w:type="dxa"/>
              <w:bottom w:w="40" w:type="dxa"/>
              <w:right w:w="20" w:type="dxa"/>
            </w:tcMar>
            <w:vAlign w:val="center"/>
          </w:tcPr>
          <w:p w14:paraId="442F7F82" w14:textId="77777777" w:rsidR="00CC25B5" w:rsidRDefault="00CC25B5">
            <w:pPr>
              <w:jc w:val="right"/>
              <w:rPr>
                <w:rFonts w:ascii="宋体"/>
              </w:rPr>
            </w:pPr>
          </w:p>
        </w:tc>
      </w:tr>
      <w:tr w:rsidR="00CC25B5" w14:paraId="442F7F91" w14:textId="77777777">
        <w:tc>
          <w:tcPr>
            <w:tcW w:w="0" w:type="auto"/>
            <w:gridSpan w:val="3"/>
            <w:shd w:val="clear" w:color="auto" w:fill="FFFFFF"/>
            <w:tcMar>
              <w:top w:w="40" w:type="dxa"/>
              <w:left w:w="20" w:type="dxa"/>
              <w:bottom w:w="40" w:type="dxa"/>
              <w:right w:w="20" w:type="dxa"/>
            </w:tcMar>
            <w:vAlign w:val="center"/>
          </w:tcPr>
          <w:p w14:paraId="442F7F84" w14:textId="77777777" w:rsidR="00CC25B5" w:rsidRDefault="00900968">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442F7F8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86" w14:textId="77777777" w:rsidR="00CC25B5" w:rsidRDefault="00900968">
            <w:pPr>
              <w:jc w:val="right"/>
              <w:textAlignment w:val="center"/>
            </w:pPr>
            <w:r>
              <w:rPr>
                <w:rFonts w:ascii="Times New Roman" w:eastAsia="宋体" w:hAnsi="Times New Roman"/>
                <w:color w:val="000000"/>
                <w:sz w:val="16"/>
                <w:szCs w:val="16"/>
              </w:rPr>
              <w:t>1,063 </w:t>
            </w:r>
          </w:p>
        </w:tc>
        <w:tc>
          <w:tcPr>
            <w:tcW w:w="0" w:type="auto"/>
            <w:shd w:val="clear" w:color="auto" w:fill="FFFFFF"/>
            <w:tcMar>
              <w:top w:w="40" w:type="dxa"/>
              <w:left w:w="0" w:type="dxa"/>
              <w:bottom w:w="40" w:type="dxa"/>
              <w:right w:w="20" w:type="dxa"/>
            </w:tcMar>
            <w:vAlign w:val="center"/>
          </w:tcPr>
          <w:p w14:paraId="442F7F8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8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89" w14:textId="77777777" w:rsidR="00CC25B5" w:rsidRDefault="00900968">
            <w:pPr>
              <w:jc w:val="right"/>
              <w:textAlignment w:val="center"/>
            </w:pPr>
            <w:r>
              <w:rPr>
                <w:rFonts w:ascii="Times New Roman" w:eastAsia="宋体" w:hAnsi="Times New Roman"/>
                <w:color w:val="000000"/>
                <w:sz w:val="16"/>
                <w:szCs w:val="16"/>
              </w:rPr>
              <w:t>1,127 </w:t>
            </w:r>
          </w:p>
        </w:tc>
        <w:tc>
          <w:tcPr>
            <w:tcW w:w="0" w:type="auto"/>
            <w:shd w:val="clear" w:color="auto" w:fill="FFFFFF"/>
            <w:tcMar>
              <w:top w:w="40" w:type="dxa"/>
              <w:left w:w="0" w:type="dxa"/>
              <w:bottom w:w="40" w:type="dxa"/>
              <w:right w:w="20" w:type="dxa"/>
            </w:tcMar>
            <w:vAlign w:val="center"/>
          </w:tcPr>
          <w:p w14:paraId="442F7F8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8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8C" w14:textId="77777777" w:rsidR="00CC25B5" w:rsidRDefault="00900968">
            <w:pPr>
              <w:jc w:val="right"/>
              <w:textAlignment w:val="center"/>
            </w:pPr>
            <w:r>
              <w:rPr>
                <w:rFonts w:ascii="Times New Roman" w:eastAsia="宋体" w:hAnsi="Times New Roman"/>
                <w:color w:val="000000"/>
                <w:sz w:val="16"/>
                <w:szCs w:val="16"/>
              </w:rPr>
              <w:t>1,063 </w:t>
            </w:r>
          </w:p>
        </w:tc>
        <w:tc>
          <w:tcPr>
            <w:tcW w:w="0" w:type="auto"/>
            <w:shd w:val="clear" w:color="auto" w:fill="FFFFFF"/>
            <w:tcMar>
              <w:top w:w="40" w:type="dxa"/>
              <w:left w:w="0" w:type="dxa"/>
              <w:bottom w:w="40" w:type="dxa"/>
              <w:right w:w="20" w:type="dxa"/>
            </w:tcMar>
            <w:vAlign w:val="center"/>
          </w:tcPr>
          <w:p w14:paraId="442F7F8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8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8F" w14:textId="77777777" w:rsidR="00CC25B5" w:rsidRDefault="00900968">
            <w:pPr>
              <w:jc w:val="right"/>
              <w:textAlignment w:val="center"/>
            </w:pPr>
            <w:r>
              <w:rPr>
                <w:rFonts w:ascii="Times New Roman" w:eastAsia="宋体" w:hAnsi="Times New Roman"/>
                <w:color w:val="000000"/>
                <w:sz w:val="16"/>
                <w:szCs w:val="16"/>
              </w:rPr>
              <w:t>1,127 </w:t>
            </w:r>
          </w:p>
        </w:tc>
        <w:tc>
          <w:tcPr>
            <w:tcW w:w="0" w:type="auto"/>
            <w:shd w:val="clear" w:color="auto" w:fill="FFFFFF"/>
            <w:tcMar>
              <w:top w:w="40" w:type="dxa"/>
              <w:left w:w="0" w:type="dxa"/>
              <w:bottom w:w="40" w:type="dxa"/>
              <w:right w:w="20" w:type="dxa"/>
            </w:tcMar>
            <w:vAlign w:val="center"/>
          </w:tcPr>
          <w:p w14:paraId="442F7F90" w14:textId="77777777" w:rsidR="00CC25B5" w:rsidRDefault="00CC25B5">
            <w:pPr>
              <w:jc w:val="right"/>
              <w:rPr>
                <w:rFonts w:ascii="宋体"/>
              </w:rPr>
            </w:pPr>
          </w:p>
        </w:tc>
      </w:tr>
    </w:tbl>
    <w:p w14:paraId="442F7F92" w14:textId="77777777" w:rsidR="00CC25B5" w:rsidRDefault="00900968">
      <w:r>
        <w:rPr>
          <w:rFonts w:ascii="Times New Roman" w:eastAsia="宋体" w:hAnsi="Times New Roman"/>
          <w:color w:val="000000"/>
          <w:sz w:val="20"/>
          <w:szCs w:val="20"/>
        </w:rPr>
        <w:t>Our total revenues, which are mostly comprised of net sales, bu</w:t>
      </w:r>
      <w:r>
        <w:rPr>
          <w:rFonts w:ascii="Times New Roman" w:eastAsia="宋体" w:hAnsi="Times New Roman"/>
          <w:color w:val="000000"/>
          <w:sz w:val="20"/>
          <w:szCs w:val="20"/>
        </w:rPr>
        <w:t>t also include membership and other income, increased $3.3 billion or 2.4% and $7.0 billion or 2.6% for the three and six months ended July 31, 2021, respectively, when compared to the same periods in the previous fiscal year. The increases in revenues wer</w:t>
      </w:r>
      <w:r>
        <w:rPr>
          <w:rFonts w:ascii="Times New Roman" w:eastAsia="宋体" w:hAnsi="Times New Roman"/>
          <w:color w:val="000000"/>
          <w:sz w:val="20"/>
          <w:szCs w:val="20"/>
        </w:rPr>
        <w:t>e primarily due to strong positive comparable sales for the Walmart U.S. and Sam's Club segments which benefited from consumer stimulus dollars in the U.S., along with positive comparable sales in several of our remaining international markets. These incre</w:t>
      </w:r>
      <w:r>
        <w:rPr>
          <w:rFonts w:ascii="Times New Roman" w:eastAsia="宋体" w:hAnsi="Times New Roman"/>
          <w:color w:val="000000"/>
          <w:sz w:val="20"/>
          <w:szCs w:val="20"/>
        </w:rPr>
        <w:t xml:space="preserve">ases were partially offset by net sales decreases of $8.9 billion and $13.1 billion for the three and six months ended July 31, 2021, respectively, primarily related to the divestiture of our operations in the U.K. and Japan, which closed in February 2021 </w:t>
      </w:r>
      <w:r>
        <w:rPr>
          <w:rFonts w:ascii="Times New Roman" w:eastAsia="宋体" w:hAnsi="Times New Roman"/>
          <w:color w:val="000000"/>
          <w:sz w:val="20"/>
          <w:szCs w:val="20"/>
        </w:rPr>
        <w:t xml:space="preserve">and March 2021, respectively. Net sales also benefited from a $2.4 billion and $3.3 billion positive impact of fluctuations in currency exchange rates for the three and six months ended July 31, 2021, respectively. </w:t>
      </w:r>
    </w:p>
    <w:p w14:paraId="442F7F93" w14:textId="77777777" w:rsidR="00CC25B5" w:rsidRDefault="00900968">
      <w:pPr>
        <w:spacing w:before="100"/>
      </w:pPr>
      <w:r>
        <w:rPr>
          <w:rFonts w:ascii="Times New Roman" w:eastAsia="宋体" w:hAnsi="Times New Roman"/>
          <w:color w:val="000000"/>
          <w:sz w:val="20"/>
          <w:szCs w:val="20"/>
        </w:rPr>
        <w:t>Gross profit as a percentage of net sales ("gross profit rate") decreased 15 basis points for the three months ended July 31, 2021 when compared to the same period in the previous fiscal year, primarily due to category mix shifts in the Sam's Club segment,</w:t>
      </w:r>
      <w:r>
        <w:rPr>
          <w:rFonts w:ascii="Times New Roman" w:eastAsia="宋体" w:hAnsi="Times New Roman"/>
          <w:color w:val="000000"/>
          <w:sz w:val="20"/>
          <w:szCs w:val="20"/>
        </w:rPr>
        <w:t xml:space="preserve"> increased supply chain costs in the Walmart U.S. segment and format mix shifts in the Walmart International segment. These decreases were partially offset by benefits in the Walmart U.S. segment related to administering COVID-19 vaccines, lapping the temp</w:t>
      </w:r>
      <w:r>
        <w:rPr>
          <w:rFonts w:ascii="Times New Roman" w:eastAsia="宋体" w:hAnsi="Times New Roman"/>
          <w:color w:val="000000"/>
          <w:sz w:val="20"/>
          <w:szCs w:val="20"/>
        </w:rPr>
        <w:t xml:space="preserve">orary COVID-19 related closure of our Auto Care Centers and Vision Centers in the previous year, lower markdowns and growth in our advertising business. </w:t>
      </w:r>
    </w:p>
    <w:p w14:paraId="442F7F94" w14:textId="77777777" w:rsidR="00CC25B5" w:rsidRDefault="00900968">
      <w:pPr>
        <w:spacing w:before="100"/>
      </w:pPr>
      <w:r>
        <w:rPr>
          <w:rFonts w:ascii="Times New Roman" w:eastAsia="宋体" w:hAnsi="Times New Roman"/>
          <w:color w:val="000000"/>
          <w:sz w:val="20"/>
          <w:szCs w:val="20"/>
        </w:rPr>
        <w:t>Gross profit rate increased 43 basis points for the six months ended July 31, 2021 when compared to th</w:t>
      </w:r>
      <w:r>
        <w:rPr>
          <w:rFonts w:ascii="Times New Roman" w:eastAsia="宋体" w:hAnsi="Times New Roman"/>
          <w:color w:val="000000"/>
          <w:sz w:val="20"/>
          <w:szCs w:val="20"/>
        </w:rPr>
        <w:t xml:space="preserve">e same period in the previous fiscal year. The decrease for the three months ended July 31, 2021 was more than offset by increases in the first quarter of fiscal 2022 primarily driven by mix shifts into general merchandise in the Walmart U.S. segment, due </w:t>
      </w:r>
      <w:r>
        <w:rPr>
          <w:rFonts w:ascii="Times New Roman" w:eastAsia="宋体" w:hAnsi="Times New Roman"/>
          <w:color w:val="000000"/>
          <w:sz w:val="20"/>
          <w:szCs w:val="20"/>
        </w:rPr>
        <w:t xml:space="preserve">in part to stimulus, lower markdowns and lapping last year's COVID-19 related mix shifts into lower margin categories such as food and consumables. </w:t>
      </w:r>
    </w:p>
    <w:p w14:paraId="442F7F95" w14:textId="77777777" w:rsidR="00CC25B5" w:rsidRDefault="00900968">
      <w:pPr>
        <w:spacing w:before="100"/>
      </w:pPr>
      <w:r>
        <w:rPr>
          <w:rFonts w:ascii="Times New Roman" w:eastAsia="宋体" w:hAnsi="Times New Roman"/>
          <w:color w:val="000000"/>
          <w:sz w:val="20"/>
          <w:szCs w:val="20"/>
        </w:rPr>
        <w:t>Operating expenses as a percentage of net sales decreased 81 and 39 basis points for the three and six mont</w:t>
      </w:r>
      <w:r>
        <w:rPr>
          <w:rFonts w:ascii="Times New Roman" w:eastAsia="宋体" w:hAnsi="Times New Roman"/>
          <w:color w:val="000000"/>
          <w:sz w:val="20"/>
          <w:szCs w:val="20"/>
        </w:rPr>
        <w:t xml:space="preserve">hs ended July 31, 2021, respectively, when compared to the same periods in the previous fiscal year. These decreases were primarily driven by growth in net sales, lower incremental COVID-19 related costs of $1.2 billion and $1.7 billion as compared to the </w:t>
      </w:r>
      <w:r>
        <w:rPr>
          <w:rFonts w:ascii="Times New Roman" w:eastAsia="宋体" w:hAnsi="Times New Roman"/>
          <w:color w:val="000000"/>
          <w:sz w:val="20"/>
          <w:szCs w:val="20"/>
        </w:rPr>
        <w:t xml:space="preserve">three and six months ended July 31, 2020, respectively, and lapping a $0.4 billion business restructuring charge in the Walmart U.S. segment recorded in the second quarter of fiscal 2021. Operating expenses as a percentage of net sales also benefited from </w:t>
      </w:r>
      <w:r>
        <w:rPr>
          <w:rFonts w:ascii="Times New Roman" w:eastAsia="宋体" w:hAnsi="Times New Roman"/>
          <w:color w:val="000000"/>
          <w:sz w:val="20"/>
          <w:szCs w:val="20"/>
        </w:rPr>
        <w:t>depreciation and amortization expense not having been recorded for our operations in the U.K. and Japan subsequent to their held for sale classification at the end of fiscal 2021 and prior to closing during the first quarter of fiscal 2022. These decreases</w:t>
      </w:r>
      <w:r>
        <w:rPr>
          <w:rFonts w:ascii="Times New Roman" w:eastAsia="宋体" w:hAnsi="Times New Roman"/>
          <w:color w:val="000000"/>
          <w:sz w:val="20"/>
          <w:szCs w:val="20"/>
        </w:rPr>
        <w:t xml:space="preserve"> were partially offset by increased wage investments in the Walmart U.S. segment. </w:t>
      </w:r>
    </w:p>
    <w:p w14:paraId="442F7F96" w14:textId="77777777" w:rsidR="00CC25B5" w:rsidRDefault="00900968">
      <w:pPr>
        <w:spacing w:before="100"/>
      </w:pPr>
      <w:r>
        <w:rPr>
          <w:rFonts w:ascii="Times New Roman" w:eastAsia="宋体" w:hAnsi="Times New Roman"/>
          <w:color w:val="000000"/>
          <w:sz w:val="20"/>
          <w:szCs w:val="20"/>
        </w:rPr>
        <w:t>Other gains and losses for the three months ended July 31, 2021 consisted of a net loss of $1.0 billion which primarily reflects $0.9 billion in net losses associated with t</w:t>
      </w:r>
      <w:r>
        <w:rPr>
          <w:rFonts w:ascii="Times New Roman" w:eastAsia="宋体" w:hAnsi="Times New Roman"/>
          <w:color w:val="000000"/>
          <w:sz w:val="20"/>
          <w:szCs w:val="20"/>
        </w:rPr>
        <w:t xml:space="preserve">he fair value changes of our equity investments. Other gains and losses for the six months ended July 31, 2021 consisted of a net loss of $3.5 billion which primarily reflects $3.0 billion in net losses associated with the fair value changes of our equity </w:t>
      </w:r>
      <w:r>
        <w:rPr>
          <w:rFonts w:ascii="Times New Roman" w:eastAsia="宋体" w:hAnsi="Times New Roman"/>
          <w:color w:val="000000"/>
          <w:sz w:val="20"/>
          <w:szCs w:val="20"/>
        </w:rPr>
        <w:t>investments, as well as $0.4 billion in incremental losses associated with the divestiture of our operations in the U.K. and Japan upon closing of the transactions during the first quarter of fiscal 2022. For the three and six months ended July 31, 2020, o</w:t>
      </w:r>
      <w:r>
        <w:rPr>
          <w:rFonts w:ascii="Times New Roman" w:eastAsia="宋体" w:hAnsi="Times New Roman"/>
          <w:color w:val="000000"/>
          <w:sz w:val="20"/>
          <w:szCs w:val="20"/>
        </w:rPr>
        <w:t>ther gains and losses consisted of a gain of $3.2 billion and $3.9 billion, respectively, primarily representing the fair value changes of our equity investments.</w:t>
      </w:r>
    </w:p>
    <w:p w14:paraId="442F7F97" w14:textId="77777777" w:rsidR="00CC25B5" w:rsidRDefault="00900968">
      <w:pPr>
        <w:spacing w:before="100"/>
      </w:pPr>
      <w:r>
        <w:rPr>
          <w:rFonts w:ascii="Times New Roman" w:eastAsia="宋体" w:hAnsi="Times New Roman"/>
          <w:color w:val="000000"/>
          <w:sz w:val="20"/>
          <w:szCs w:val="20"/>
        </w:rPr>
        <w:t>Our effective income tax rate was 26.3% and 26.5% for the three and six months ended July 31,</w:t>
      </w:r>
      <w:r>
        <w:rPr>
          <w:rFonts w:ascii="Times New Roman" w:eastAsia="宋体" w:hAnsi="Times New Roman"/>
          <w:color w:val="000000"/>
          <w:sz w:val="20"/>
          <w:szCs w:val="20"/>
        </w:rPr>
        <w:t xml:space="preserve"> 2021, respectively, compared to 25.5% and 25.1% for the same periods in the previous fiscal year. Our effective income tax rate may fluctuate from quarter to quarter as a result of factors including changes in our assessment of certain tax contingencies, </w:t>
      </w:r>
      <w:r>
        <w:rPr>
          <w:rFonts w:ascii="Times New Roman" w:eastAsia="宋体" w:hAnsi="Times New Roman"/>
          <w:color w:val="000000"/>
          <w:sz w:val="20"/>
          <w:szCs w:val="20"/>
        </w:rPr>
        <w:t>valuation allowances, changes in tax law, outcomes of administrative audits, the impact of discrete items and the mix and size of earnings among our U.S. operations and international operations, which are subject to statutory rates that may be different th</w:t>
      </w:r>
      <w:r>
        <w:rPr>
          <w:rFonts w:ascii="Times New Roman" w:eastAsia="宋体" w:hAnsi="Times New Roman"/>
          <w:color w:val="000000"/>
          <w:sz w:val="20"/>
          <w:szCs w:val="20"/>
        </w:rPr>
        <w:t xml:space="preserve">an the U.S. statutory rate. </w:t>
      </w:r>
    </w:p>
    <w:p w14:paraId="442F7F98" w14:textId="77777777" w:rsidR="00CC25B5" w:rsidRDefault="00900968">
      <w:pPr>
        <w:jc w:val="center"/>
      </w:pPr>
      <w:r>
        <w:rPr>
          <w:rFonts w:ascii="Times New Roman" w:eastAsia="宋体" w:hAnsi="Times New Roman"/>
          <w:color w:val="000000"/>
          <w:sz w:val="20"/>
          <w:szCs w:val="20"/>
        </w:rPr>
        <w:t>20</w:t>
      </w:r>
    </w:p>
    <w:p w14:paraId="442F7F99" w14:textId="77777777" w:rsidR="00CC25B5" w:rsidRDefault="00900968">
      <w:r>
        <w:pict w14:anchorId="442F85DD">
          <v:rect id="_x0000_i1044" style="width:415.3pt;height:1.5pt" o:hralign="center" o:hrstd="t" o:hr="t" fillcolor="#a0a0a0" stroked="f"/>
        </w:pict>
      </w:r>
    </w:p>
    <w:p w14:paraId="442F7F9A" w14:textId="77777777" w:rsidR="00CC25B5" w:rsidRDefault="00900968">
      <w:hyperlink r:id="rId67" w:anchor="ie1710166881948a18c44f48eaa2dcf00_7" w:history="1">
        <w:r>
          <w:rPr>
            <w:rStyle w:val="a5"/>
            <w:rFonts w:ascii="Times New Roman" w:eastAsia="宋体" w:hAnsi="Times New Roman"/>
            <w:sz w:val="20"/>
            <w:szCs w:val="20"/>
          </w:rPr>
          <w:t>Table of Contents</w:t>
        </w:r>
      </w:hyperlink>
    </w:p>
    <w:p w14:paraId="442F7F9B" w14:textId="77777777" w:rsidR="00CC25B5" w:rsidRDefault="00900968">
      <w:pPr>
        <w:spacing w:before="100"/>
      </w:pPr>
      <w:r>
        <w:rPr>
          <w:rFonts w:ascii="Times New Roman" w:eastAsia="宋体" w:hAnsi="Times New Roman"/>
          <w:color w:val="000000"/>
          <w:sz w:val="20"/>
          <w:szCs w:val="20"/>
        </w:rPr>
        <w:t>As a result of the factors discussed above, consolid</w:t>
      </w:r>
      <w:r>
        <w:rPr>
          <w:rFonts w:ascii="Times New Roman" w:eastAsia="宋体" w:hAnsi="Times New Roman"/>
          <w:color w:val="000000"/>
          <w:sz w:val="20"/>
          <w:szCs w:val="20"/>
        </w:rPr>
        <w:t>ated net income decreased $2.1 billion and $3.3 billion for the three and six months ended July 31, 2021 respectively, when compared to the same periods in the previous fiscal year. Accordingly, diluted net income per common share attributable to Walmart w</w:t>
      </w:r>
      <w:r>
        <w:rPr>
          <w:rFonts w:ascii="Times New Roman" w:eastAsia="宋体" w:hAnsi="Times New Roman"/>
          <w:color w:val="000000"/>
          <w:sz w:val="20"/>
          <w:szCs w:val="20"/>
        </w:rPr>
        <w:t>as $1.52 and $2.48 for the three and six months ended July 31, 2021, respectively, which represents respective decreases of $0.75 and $1.19, when compared to the same periods in the previous fiscal year.</w:t>
      </w:r>
    </w:p>
    <w:p w14:paraId="442F7F9C" w14:textId="77777777" w:rsidR="00CC25B5" w:rsidRDefault="00CC25B5">
      <w:pPr>
        <w:spacing w:before="240"/>
      </w:pPr>
    </w:p>
    <w:p w14:paraId="442F7F9D" w14:textId="77777777" w:rsidR="00CC25B5" w:rsidRDefault="00900968">
      <w:pPr>
        <w:spacing w:before="24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10"/>
        <w:gridCol w:w="37"/>
        <w:gridCol w:w="36"/>
        <w:gridCol w:w="36"/>
        <w:gridCol w:w="36"/>
        <w:gridCol w:w="100"/>
        <w:gridCol w:w="654"/>
        <w:gridCol w:w="154"/>
        <w:gridCol w:w="36"/>
        <w:gridCol w:w="36"/>
        <w:gridCol w:w="36"/>
        <w:gridCol w:w="100"/>
        <w:gridCol w:w="715"/>
        <w:gridCol w:w="154"/>
        <w:gridCol w:w="36"/>
        <w:gridCol w:w="36"/>
        <w:gridCol w:w="36"/>
        <w:gridCol w:w="100"/>
        <w:gridCol w:w="716"/>
        <w:gridCol w:w="154"/>
        <w:gridCol w:w="36"/>
        <w:gridCol w:w="36"/>
        <w:gridCol w:w="36"/>
        <w:gridCol w:w="100"/>
        <w:gridCol w:w="718"/>
        <w:gridCol w:w="154"/>
      </w:tblGrid>
      <w:tr w:rsidR="00CC25B5" w14:paraId="442F7FB9" w14:textId="77777777">
        <w:trPr>
          <w:jc w:val="center"/>
        </w:trPr>
        <w:tc>
          <w:tcPr>
            <w:tcW w:w="50" w:type="pct"/>
            <w:shd w:val="clear" w:color="auto" w:fill="auto"/>
            <w:vAlign w:val="bottom"/>
          </w:tcPr>
          <w:p w14:paraId="442F7F9E" w14:textId="77777777" w:rsidR="00CC25B5" w:rsidRDefault="00CC25B5">
            <w:pPr>
              <w:rPr>
                <w:rFonts w:ascii="宋体"/>
              </w:rPr>
            </w:pPr>
          </w:p>
        </w:tc>
        <w:tc>
          <w:tcPr>
            <w:tcW w:w="2532" w:type="pct"/>
            <w:shd w:val="clear" w:color="auto" w:fill="auto"/>
            <w:vAlign w:val="bottom"/>
          </w:tcPr>
          <w:p w14:paraId="442F7F9F" w14:textId="77777777" w:rsidR="00CC25B5" w:rsidRDefault="00CC25B5">
            <w:pPr>
              <w:rPr>
                <w:rFonts w:ascii="宋体"/>
              </w:rPr>
            </w:pPr>
          </w:p>
        </w:tc>
        <w:tc>
          <w:tcPr>
            <w:tcW w:w="5" w:type="pct"/>
            <w:shd w:val="clear" w:color="auto" w:fill="auto"/>
            <w:vAlign w:val="bottom"/>
          </w:tcPr>
          <w:p w14:paraId="442F7FA0" w14:textId="77777777" w:rsidR="00CC25B5" w:rsidRDefault="00CC25B5">
            <w:pPr>
              <w:rPr>
                <w:rFonts w:ascii="宋体"/>
              </w:rPr>
            </w:pPr>
          </w:p>
        </w:tc>
        <w:tc>
          <w:tcPr>
            <w:tcW w:w="5" w:type="pct"/>
            <w:shd w:val="clear" w:color="auto" w:fill="auto"/>
            <w:vAlign w:val="bottom"/>
          </w:tcPr>
          <w:p w14:paraId="442F7FA1" w14:textId="77777777" w:rsidR="00CC25B5" w:rsidRDefault="00CC25B5">
            <w:pPr>
              <w:rPr>
                <w:rFonts w:ascii="宋体"/>
              </w:rPr>
            </w:pPr>
          </w:p>
        </w:tc>
        <w:tc>
          <w:tcPr>
            <w:tcW w:w="63" w:type="pct"/>
            <w:shd w:val="clear" w:color="auto" w:fill="auto"/>
            <w:vAlign w:val="bottom"/>
          </w:tcPr>
          <w:p w14:paraId="442F7FA2" w14:textId="77777777" w:rsidR="00CC25B5" w:rsidRDefault="00CC25B5">
            <w:pPr>
              <w:rPr>
                <w:rFonts w:ascii="宋体"/>
              </w:rPr>
            </w:pPr>
          </w:p>
        </w:tc>
        <w:tc>
          <w:tcPr>
            <w:tcW w:w="5" w:type="pct"/>
            <w:shd w:val="clear" w:color="auto" w:fill="auto"/>
            <w:vAlign w:val="bottom"/>
          </w:tcPr>
          <w:p w14:paraId="442F7FA3" w14:textId="77777777" w:rsidR="00CC25B5" w:rsidRDefault="00CC25B5">
            <w:pPr>
              <w:rPr>
                <w:rFonts w:ascii="宋体"/>
              </w:rPr>
            </w:pPr>
          </w:p>
        </w:tc>
        <w:tc>
          <w:tcPr>
            <w:tcW w:w="50" w:type="pct"/>
            <w:shd w:val="clear" w:color="auto" w:fill="auto"/>
            <w:vAlign w:val="bottom"/>
          </w:tcPr>
          <w:p w14:paraId="442F7FA4" w14:textId="77777777" w:rsidR="00CC25B5" w:rsidRDefault="00CC25B5">
            <w:pPr>
              <w:rPr>
                <w:rFonts w:ascii="宋体"/>
              </w:rPr>
            </w:pPr>
          </w:p>
        </w:tc>
        <w:tc>
          <w:tcPr>
            <w:tcW w:w="507" w:type="pct"/>
            <w:shd w:val="clear" w:color="auto" w:fill="auto"/>
            <w:vAlign w:val="bottom"/>
          </w:tcPr>
          <w:p w14:paraId="442F7FA5" w14:textId="77777777" w:rsidR="00CC25B5" w:rsidRDefault="00CC25B5">
            <w:pPr>
              <w:rPr>
                <w:rFonts w:ascii="宋体"/>
              </w:rPr>
            </w:pPr>
          </w:p>
        </w:tc>
        <w:tc>
          <w:tcPr>
            <w:tcW w:w="5" w:type="pct"/>
            <w:shd w:val="clear" w:color="auto" w:fill="auto"/>
            <w:vAlign w:val="bottom"/>
          </w:tcPr>
          <w:p w14:paraId="442F7FA6" w14:textId="77777777" w:rsidR="00CC25B5" w:rsidRDefault="00CC25B5">
            <w:pPr>
              <w:rPr>
                <w:rFonts w:ascii="宋体"/>
              </w:rPr>
            </w:pPr>
          </w:p>
        </w:tc>
        <w:tc>
          <w:tcPr>
            <w:tcW w:w="5" w:type="pct"/>
            <w:shd w:val="clear" w:color="auto" w:fill="auto"/>
            <w:vAlign w:val="bottom"/>
          </w:tcPr>
          <w:p w14:paraId="442F7FA7" w14:textId="77777777" w:rsidR="00CC25B5" w:rsidRDefault="00CC25B5">
            <w:pPr>
              <w:rPr>
                <w:rFonts w:ascii="宋体"/>
              </w:rPr>
            </w:pPr>
          </w:p>
        </w:tc>
        <w:tc>
          <w:tcPr>
            <w:tcW w:w="19" w:type="pct"/>
            <w:shd w:val="clear" w:color="auto" w:fill="auto"/>
            <w:vAlign w:val="bottom"/>
          </w:tcPr>
          <w:p w14:paraId="442F7FA8" w14:textId="77777777" w:rsidR="00CC25B5" w:rsidRDefault="00CC25B5">
            <w:pPr>
              <w:rPr>
                <w:rFonts w:ascii="宋体"/>
              </w:rPr>
            </w:pPr>
          </w:p>
        </w:tc>
        <w:tc>
          <w:tcPr>
            <w:tcW w:w="5" w:type="pct"/>
            <w:shd w:val="clear" w:color="auto" w:fill="auto"/>
            <w:vAlign w:val="bottom"/>
          </w:tcPr>
          <w:p w14:paraId="442F7FA9" w14:textId="77777777" w:rsidR="00CC25B5" w:rsidRDefault="00CC25B5">
            <w:pPr>
              <w:rPr>
                <w:rFonts w:ascii="宋体"/>
              </w:rPr>
            </w:pPr>
          </w:p>
        </w:tc>
        <w:tc>
          <w:tcPr>
            <w:tcW w:w="50" w:type="pct"/>
            <w:shd w:val="clear" w:color="auto" w:fill="auto"/>
            <w:vAlign w:val="bottom"/>
          </w:tcPr>
          <w:p w14:paraId="442F7FAA" w14:textId="77777777" w:rsidR="00CC25B5" w:rsidRDefault="00CC25B5">
            <w:pPr>
              <w:rPr>
                <w:rFonts w:ascii="宋体"/>
              </w:rPr>
            </w:pPr>
          </w:p>
        </w:tc>
        <w:tc>
          <w:tcPr>
            <w:tcW w:w="507" w:type="pct"/>
            <w:shd w:val="clear" w:color="auto" w:fill="auto"/>
            <w:vAlign w:val="bottom"/>
          </w:tcPr>
          <w:p w14:paraId="442F7FAB" w14:textId="77777777" w:rsidR="00CC25B5" w:rsidRDefault="00CC25B5">
            <w:pPr>
              <w:rPr>
                <w:rFonts w:ascii="宋体"/>
              </w:rPr>
            </w:pPr>
          </w:p>
        </w:tc>
        <w:tc>
          <w:tcPr>
            <w:tcW w:w="5" w:type="pct"/>
            <w:shd w:val="clear" w:color="auto" w:fill="auto"/>
            <w:vAlign w:val="bottom"/>
          </w:tcPr>
          <w:p w14:paraId="442F7FAC" w14:textId="77777777" w:rsidR="00CC25B5" w:rsidRDefault="00CC25B5">
            <w:pPr>
              <w:rPr>
                <w:rFonts w:ascii="宋体"/>
              </w:rPr>
            </w:pPr>
          </w:p>
        </w:tc>
        <w:tc>
          <w:tcPr>
            <w:tcW w:w="5" w:type="pct"/>
            <w:shd w:val="clear" w:color="auto" w:fill="auto"/>
            <w:vAlign w:val="bottom"/>
          </w:tcPr>
          <w:p w14:paraId="442F7FAD" w14:textId="77777777" w:rsidR="00CC25B5" w:rsidRDefault="00CC25B5">
            <w:pPr>
              <w:rPr>
                <w:rFonts w:ascii="宋体"/>
              </w:rPr>
            </w:pPr>
          </w:p>
        </w:tc>
        <w:tc>
          <w:tcPr>
            <w:tcW w:w="19" w:type="pct"/>
            <w:shd w:val="clear" w:color="auto" w:fill="auto"/>
            <w:vAlign w:val="bottom"/>
          </w:tcPr>
          <w:p w14:paraId="442F7FAE" w14:textId="77777777" w:rsidR="00CC25B5" w:rsidRDefault="00CC25B5">
            <w:pPr>
              <w:rPr>
                <w:rFonts w:ascii="宋体"/>
              </w:rPr>
            </w:pPr>
          </w:p>
        </w:tc>
        <w:tc>
          <w:tcPr>
            <w:tcW w:w="5" w:type="pct"/>
            <w:shd w:val="clear" w:color="auto" w:fill="auto"/>
            <w:vAlign w:val="bottom"/>
          </w:tcPr>
          <w:p w14:paraId="442F7FAF" w14:textId="77777777" w:rsidR="00CC25B5" w:rsidRDefault="00CC25B5">
            <w:pPr>
              <w:rPr>
                <w:rFonts w:ascii="宋体"/>
              </w:rPr>
            </w:pPr>
          </w:p>
        </w:tc>
        <w:tc>
          <w:tcPr>
            <w:tcW w:w="50" w:type="pct"/>
            <w:shd w:val="clear" w:color="auto" w:fill="auto"/>
            <w:vAlign w:val="bottom"/>
          </w:tcPr>
          <w:p w14:paraId="442F7FB0" w14:textId="77777777" w:rsidR="00CC25B5" w:rsidRDefault="00CC25B5">
            <w:pPr>
              <w:rPr>
                <w:rFonts w:ascii="宋体"/>
              </w:rPr>
            </w:pPr>
          </w:p>
        </w:tc>
        <w:tc>
          <w:tcPr>
            <w:tcW w:w="507" w:type="pct"/>
            <w:shd w:val="clear" w:color="auto" w:fill="auto"/>
            <w:vAlign w:val="bottom"/>
          </w:tcPr>
          <w:p w14:paraId="442F7FB1" w14:textId="77777777" w:rsidR="00CC25B5" w:rsidRDefault="00CC25B5">
            <w:pPr>
              <w:rPr>
                <w:rFonts w:ascii="宋体"/>
              </w:rPr>
            </w:pPr>
          </w:p>
        </w:tc>
        <w:tc>
          <w:tcPr>
            <w:tcW w:w="5" w:type="pct"/>
            <w:shd w:val="clear" w:color="auto" w:fill="auto"/>
            <w:vAlign w:val="bottom"/>
          </w:tcPr>
          <w:p w14:paraId="442F7FB2" w14:textId="77777777" w:rsidR="00CC25B5" w:rsidRDefault="00CC25B5">
            <w:pPr>
              <w:rPr>
                <w:rFonts w:ascii="宋体"/>
              </w:rPr>
            </w:pPr>
          </w:p>
        </w:tc>
        <w:tc>
          <w:tcPr>
            <w:tcW w:w="5" w:type="pct"/>
            <w:shd w:val="clear" w:color="auto" w:fill="auto"/>
            <w:vAlign w:val="bottom"/>
          </w:tcPr>
          <w:p w14:paraId="442F7FB3" w14:textId="77777777" w:rsidR="00CC25B5" w:rsidRDefault="00CC25B5">
            <w:pPr>
              <w:rPr>
                <w:rFonts w:ascii="宋体"/>
              </w:rPr>
            </w:pPr>
          </w:p>
        </w:tc>
        <w:tc>
          <w:tcPr>
            <w:tcW w:w="19" w:type="pct"/>
            <w:shd w:val="clear" w:color="auto" w:fill="auto"/>
            <w:vAlign w:val="bottom"/>
          </w:tcPr>
          <w:p w14:paraId="442F7FB4" w14:textId="77777777" w:rsidR="00CC25B5" w:rsidRDefault="00CC25B5">
            <w:pPr>
              <w:rPr>
                <w:rFonts w:ascii="宋体"/>
              </w:rPr>
            </w:pPr>
          </w:p>
        </w:tc>
        <w:tc>
          <w:tcPr>
            <w:tcW w:w="5" w:type="pct"/>
            <w:shd w:val="clear" w:color="auto" w:fill="auto"/>
            <w:vAlign w:val="bottom"/>
          </w:tcPr>
          <w:p w14:paraId="442F7FB5" w14:textId="77777777" w:rsidR="00CC25B5" w:rsidRDefault="00CC25B5">
            <w:pPr>
              <w:rPr>
                <w:rFonts w:ascii="宋体"/>
              </w:rPr>
            </w:pPr>
          </w:p>
        </w:tc>
        <w:tc>
          <w:tcPr>
            <w:tcW w:w="50" w:type="pct"/>
            <w:shd w:val="clear" w:color="auto" w:fill="auto"/>
            <w:vAlign w:val="bottom"/>
          </w:tcPr>
          <w:p w14:paraId="442F7FB6" w14:textId="77777777" w:rsidR="00CC25B5" w:rsidRDefault="00CC25B5">
            <w:pPr>
              <w:rPr>
                <w:rFonts w:ascii="宋体"/>
              </w:rPr>
            </w:pPr>
          </w:p>
        </w:tc>
        <w:tc>
          <w:tcPr>
            <w:tcW w:w="508" w:type="pct"/>
            <w:shd w:val="clear" w:color="auto" w:fill="auto"/>
            <w:vAlign w:val="bottom"/>
          </w:tcPr>
          <w:p w14:paraId="442F7FB7" w14:textId="77777777" w:rsidR="00CC25B5" w:rsidRDefault="00CC25B5">
            <w:pPr>
              <w:rPr>
                <w:rFonts w:ascii="宋体"/>
              </w:rPr>
            </w:pPr>
          </w:p>
        </w:tc>
        <w:tc>
          <w:tcPr>
            <w:tcW w:w="5" w:type="pct"/>
            <w:shd w:val="clear" w:color="auto" w:fill="auto"/>
            <w:vAlign w:val="bottom"/>
          </w:tcPr>
          <w:p w14:paraId="442F7FB8" w14:textId="77777777" w:rsidR="00CC25B5" w:rsidRDefault="00CC25B5">
            <w:pPr>
              <w:rPr>
                <w:rFonts w:ascii="宋体"/>
              </w:rPr>
            </w:pPr>
          </w:p>
        </w:tc>
      </w:tr>
      <w:tr w:rsidR="00CC25B5" w14:paraId="442F7FBF" w14:textId="77777777">
        <w:trPr>
          <w:jc w:val="center"/>
        </w:trPr>
        <w:tc>
          <w:tcPr>
            <w:tcW w:w="0" w:type="auto"/>
            <w:gridSpan w:val="3"/>
            <w:shd w:val="clear" w:color="auto" w:fill="auto"/>
            <w:tcMar>
              <w:top w:w="40" w:type="dxa"/>
              <w:left w:w="20" w:type="dxa"/>
              <w:bottom w:w="40" w:type="dxa"/>
              <w:right w:w="20" w:type="dxa"/>
            </w:tcMar>
            <w:vAlign w:val="center"/>
          </w:tcPr>
          <w:p w14:paraId="442F7FBA"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7FBB"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center"/>
          </w:tcPr>
          <w:p w14:paraId="442F7FBC" w14:textId="77777777" w:rsidR="00CC25B5" w:rsidRDefault="00900968">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7FBD"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center"/>
          </w:tcPr>
          <w:p w14:paraId="442F7FBE" w14:textId="77777777" w:rsidR="00CC25B5" w:rsidRDefault="00900968">
            <w:pPr>
              <w:jc w:val="center"/>
              <w:textAlignment w:val="center"/>
            </w:pPr>
            <w:r>
              <w:rPr>
                <w:rFonts w:ascii="Times New Roman" w:eastAsia="宋体" w:hAnsi="Times New Roman"/>
                <w:b/>
                <w:bCs/>
                <w:color w:val="000000"/>
                <w:sz w:val="16"/>
                <w:szCs w:val="16"/>
              </w:rPr>
              <w:t>Six Months Ended July 31,</w:t>
            </w:r>
          </w:p>
        </w:tc>
      </w:tr>
      <w:tr w:rsidR="00CC25B5" w14:paraId="442F7FC9" w14:textId="77777777">
        <w:trPr>
          <w:jc w:val="center"/>
        </w:trPr>
        <w:tc>
          <w:tcPr>
            <w:tcW w:w="0" w:type="auto"/>
            <w:gridSpan w:val="3"/>
            <w:shd w:val="clear" w:color="auto" w:fill="auto"/>
            <w:tcMar>
              <w:top w:w="40" w:type="dxa"/>
              <w:left w:w="20" w:type="dxa"/>
              <w:bottom w:w="40" w:type="dxa"/>
              <w:right w:w="20" w:type="dxa"/>
            </w:tcMar>
            <w:vAlign w:val="center"/>
          </w:tcPr>
          <w:p w14:paraId="442F7FC0" w14:textId="77777777" w:rsidR="00CC25B5" w:rsidRDefault="00900968">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42F7FC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center"/>
          </w:tcPr>
          <w:p w14:paraId="442F7FC2"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FC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center"/>
          </w:tcPr>
          <w:p w14:paraId="442F7FC4"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7FC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center"/>
          </w:tcPr>
          <w:p w14:paraId="442F7FC6"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F7FC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center"/>
          </w:tcPr>
          <w:p w14:paraId="442F7FC8" w14:textId="77777777" w:rsidR="00CC25B5" w:rsidRDefault="00900968">
            <w:pPr>
              <w:jc w:val="center"/>
              <w:textAlignment w:val="center"/>
            </w:pPr>
            <w:r>
              <w:rPr>
                <w:rFonts w:ascii="Times New Roman" w:eastAsia="宋体" w:hAnsi="Times New Roman"/>
                <w:b/>
                <w:bCs/>
                <w:color w:val="000000"/>
                <w:sz w:val="16"/>
                <w:szCs w:val="16"/>
              </w:rPr>
              <w:t>2020</w:t>
            </w:r>
          </w:p>
        </w:tc>
      </w:tr>
      <w:tr w:rsidR="00CC25B5" w14:paraId="442F7FDB" w14:textId="77777777">
        <w:trPr>
          <w:jc w:val="center"/>
        </w:trPr>
        <w:tc>
          <w:tcPr>
            <w:tcW w:w="0" w:type="auto"/>
            <w:gridSpan w:val="3"/>
            <w:shd w:val="clear" w:color="auto" w:fill="CCEEFF"/>
            <w:tcMar>
              <w:top w:w="40" w:type="dxa"/>
              <w:left w:w="20" w:type="dxa"/>
              <w:bottom w:w="40" w:type="dxa"/>
              <w:right w:w="20" w:type="dxa"/>
            </w:tcMar>
            <w:vAlign w:val="center"/>
          </w:tcPr>
          <w:p w14:paraId="442F7FCA"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42F7FCB"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FCC"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FCD" w14:textId="77777777" w:rsidR="00CC25B5" w:rsidRDefault="00900968">
            <w:pPr>
              <w:jc w:val="right"/>
              <w:textAlignment w:val="center"/>
            </w:pPr>
            <w:r>
              <w:rPr>
                <w:rFonts w:ascii="Times New Roman" w:eastAsia="宋体" w:hAnsi="Times New Roman"/>
                <w:color w:val="000000"/>
                <w:sz w:val="16"/>
                <w:szCs w:val="16"/>
              </w:rPr>
              <w:t>98,192 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FC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CF"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FD0"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FD1" w14:textId="77777777" w:rsidR="00CC25B5" w:rsidRDefault="00900968">
            <w:pPr>
              <w:jc w:val="right"/>
              <w:textAlignment w:val="center"/>
            </w:pPr>
            <w:r>
              <w:rPr>
                <w:rFonts w:ascii="Times New Roman" w:eastAsia="宋体" w:hAnsi="Times New Roman"/>
                <w:color w:val="000000"/>
                <w:sz w:val="16"/>
                <w:szCs w:val="16"/>
              </w:rPr>
              <w:t>93,282 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FD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D3"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FD4"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FD5" w14:textId="77777777" w:rsidR="00CC25B5" w:rsidRDefault="00900968">
            <w:pPr>
              <w:jc w:val="right"/>
              <w:textAlignment w:val="center"/>
            </w:pPr>
            <w:r>
              <w:rPr>
                <w:rFonts w:ascii="Times New Roman" w:eastAsia="宋体" w:hAnsi="Times New Roman"/>
                <w:color w:val="000000"/>
                <w:sz w:val="16"/>
                <w:szCs w:val="16"/>
              </w:rPr>
              <w:t>191,359 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FD6"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7FD7"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7FD8"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7FD9" w14:textId="77777777" w:rsidR="00CC25B5" w:rsidRDefault="00900968">
            <w:pPr>
              <w:jc w:val="right"/>
              <w:textAlignment w:val="center"/>
            </w:pPr>
            <w:r>
              <w:rPr>
                <w:rFonts w:ascii="Times New Roman" w:eastAsia="宋体" w:hAnsi="Times New Roman"/>
                <w:color w:val="000000"/>
                <w:sz w:val="16"/>
                <w:szCs w:val="16"/>
              </w:rPr>
              <w:t>182,025 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7FDA" w14:textId="77777777" w:rsidR="00CC25B5" w:rsidRDefault="00CC25B5">
            <w:pPr>
              <w:jc w:val="right"/>
              <w:rPr>
                <w:rFonts w:ascii="宋体"/>
              </w:rPr>
            </w:pPr>
          </w:p>
        </w:tc>
      </w:tr>
      <w:tr w:rsidR="00CC25B5" w14:paraId="442F7FE9" w14:textId="77777777">
        <w:trPr>
          <w:jc w:val="center"/>
        </w:trPr>
        <w:tc>
          <w:tcPr>
            <w:tcW w:w="0" w:type="auto"/>
            <w:gridSpan w:val="3"/>
            <w:shd w:val="clear" w:color="auto" w:fill="FFFFFF"/>
            <w:tcMar>
              <w:top w:w="40" w:type="dxa"/>
              <w:left w:w="20" w:type="dxa"/>
              <w:bottom w:w="40" w:type="dxa"/>
              <w:right w:w="20" w:type="dxa"/>
            </w:tcMar>
            <w:vAlign w:val="center"/>
          </w:tcPr>
          <w:p w14:paraId="442F7FDC"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7FD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DE" w14:textId="77777777" w:rsidR="00CC25B5" w:rsidRDefault="00900968">
            <w:pPr>
              <w:jc w:val="right"/>
              <w:textAlignment w:val="center"/>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center"/>
          </w:tcPr>
          <w:p w14:paraId="442F7FDF"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FE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E1" w14:textId="77777777" w:rsidR="00CC25B5" w:rsidRDefault="00900968">
            <w:pPr>
              <w:jc w:val="right"/>
              <w:textAlignment w:val="center"/>
            </w:pPr>
            <w:r>
              <w:rPr>
                <w:rFonts w:ascii="Times New Roman" w:eastAsia="宋体" w:hAnsi="Times New Roman"/>
                <w:color w:val="000000"/>
                <w:sz w:val="16"/>
                <w:szCs w:val="16"/>
              </w:rPr>
              <w:t>9.5 </w:t>
            </w:r>
          </w:p>
        </w:tc>
        <w:tc>
          <w:tcPr>
            <w:tcW w:w="0" w:type="auto"/>
            <w:shd w:val="clear" w:color="auto" w:fill="FFFFFF"/>
            <w:tcMar>
              <w:top w:w="40" w:type="dxa"/>
              <w:left w:w="0" w:type="dxa"/>
              <w:bottom w:w="40" w:type="dxa"/>
              <w:right w:w="20" w:type="dxa"/>
            </w:tcMar>
            <w:vAlign w:val="center"/>
          </w:tcPr>
          <w:p w14:paraId="442F7FE2"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FE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E4" w14:textId="77777777" w:rsidR="00CC25B5" w:rsidRDefault="00900968">
            <w:pPr>
              <w:jc w:val="right"/>
              <w:textAlignment w:val="center"/>
            </w:pPr>
            <w:r>
              <w:rPr>
                <w:rFonts w:ascii="Times New Roman" w:eastAsia="宋体" w:hAnsi="Times New Roman"/>
                <w:color w:val="000000"/>
                <w:sz w:val="16"/>
                <w:szCs w:val="16"/>
              </w:rPr>
              <w:t>5.1 </w:t>
            </w:r>
          </w:p>
        </w:tc>
        <w:tc>
          <w:tcPr>
            <w:tcW w:w="0" w:type="auto"/>
            <w:shd w:val="clear" w:color="auto" w:fill="FFFFFF"/>
            <w:tcMar>
              <w:top w:w="40" w:type="dxa"/>
              <w:left w:w="0" w:type="dxa"/>
              <w:bottom w:w="40" w:type="dxa"/>
              <w:right w:w="20" w:type="dxa"/>
            </w:tcMar>
            <w:vAlign w:val="center"/>
          </w:tcPr>
          <w:p w14:paraId="442F7FE5"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7FE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7FE7" w14:textId="77777777" w:rsidR="00CC25B5" w:rsidRDefault="00900968">
            <w:pPr>
              <w:jc w:val="right"/>
              <w:textAlignment w:val="center"/>
            </w:pPr>
            <w:r>
              <w:rPr>
                <w:rFonts w:ascii="Times New Roman" w:eastAsia="宋体" w:hAnsi="Times New Roman"/>
                <w:color w:val="000000"/>
                <w:sz w:val="16"/>
                <w:szCs w:val="16"/>
              </w:rPr>
              <w:t>10.0 </w:t>
            </w:r>
          </w:p>
        </w:tc>
        <w:tc>
          <w:tcPr>
            <w:tcW w:w="0" w:type="auto"/>
            <w:shd w:val="clear" w:color="auto" w:fill="FFFFFF"/>
            <w:tcMar>
              <w:top w:w="40" w:type="dxa"/>
              <w:left w:w="0" w:type="dxa"/>
              <w:bottom w:w="40" w:type="dxa"/>
              <w:right w:w="20" w:type="dxa"/>
            </w:tcMar>
            <w:vAlign w:val="center"/>
          </w:tcPr>
          <w:p w14:paraId="442F7FE8"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7FF7" w14:textId="77777777">
        <w:trPr>
          <w:jc w:val="center"/>
        </w:trPr>
        <w:tc>
          <w:tcPr>
            <w:tcW w:w="0" w:type="auto"/>
            <w:gridSpan w:val="3"/>
            <w:shd w:val="clear" w:color="auto" w:fill="CCEEFF"/>
            <w:tcMar>
              <w:top w:w="40" w:type="dxa"/>
              <w:left w:w="20" w:type="dxa"/>
              <w:bottom w:w="40" w:type="dxa"/>
              <w:right w:w="20" w:type="dxa"/>
            </w:tcMar>
            <w:vAlign w:val="center"/>
          </w:tcPr>
          <w:p w14:paraId="442F7FEA" w14:textId="77777777" w:rsidR="00CC25B5" w:rsidRDefault="00900968">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442F7FE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EC" w14:textId="77777777" w:rsidR="00CC25B5" w:rsidRDefault="00900968">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442F7FED"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FE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EF" w14:textId="77777777" w:rsidR="00CC25B5" w:rsidRDefault="00900968">
            <w:pPr>
              <w:jc w:val="right"/>
              <w:textAlignment w:val="center"/>
            </w:pPr>
            <w:r>
              <w:rPr>
                <w:rFonts w:ascii="Times New Roman" w:eastAsia="宋体" w:hAnsi="Times New Roman"/>
                <w:color w:val="000000"/>
                <w:sz w:val="16"/>
                <w:szCs w:val="16"/>
              </w:rPr>
              <w:t>9.7 </w:t>
            </w:r>
          </w:p>
        </w:tc>
        <w:tc>
          <w:tcPr>
            <w:tcW w:w="0" w:type="auto"/>
            <w:shd w:val="clear" w:color="auto" w:fill="CCEEFF"/>
            <w:tcMar>
              <w:top w:w="40" w:type="dxa"/>
              <w:left w:w="0" w:type="dxa"/>
              <w:bottom w:w="40" w:type="dxa"/>
              <w:right w:w="20" w:type="dxa"/>
            </w:tcMar>
            <w:vAlign w:val="center"/>
          </w:tcPr>
          <w:p w14:paraId="442F7FF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FF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F2" w14:textId="77777777" w:rsidR="00CC25B5" w:rsidRDefault="00900968">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442F7FF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7FF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7FF5" w14:textId="77777777" w:rsidR="00CC25B5" w:rsidRDefault="00900968">
            <w:pPr>
              <w:jc w:val="right"/>
              <w:textAlignment w:val="center"/>
            </w:pPr>
            <w:r>
              <w:rPr>
                <w:rFonts w:ascii="Times New Roman" w:eastAsia="宋体" w:hAnsi="Times New Roman"/>
                <w:color w:val="000000"/>
                <w:sz w:val="16"/>
                <w:szCs w:val="16"/>
              </w:rPr>
              <w:t>10.1 </w:t>
            </w:r>
          </w:p>
        </w:tc>
        <w:tc>
          <w:tcPr>
            <w:tcW w:w="0" w:type="auto"/>
            <w:shd w:val="clear" w:color="auto" w:fill="CCEEFF"/>
            <w:tcMar>
              <w:top w:w="40" w:type="dxa"/>
              <w:left w:w="0" w:type="dxa"/>
              <w:bottom w:w="40" w:type="dxa"/>
              <w:right w:w="20" w:type="dxa"/>
            </w:tcMar>
            <w:vAlign w:val="center"/>
          </w:tcPr>
          <w:p w14:paraId="442F7FF6"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009" w14:textId="77777777">
        <w:trPr>
          <w:jc w:val="center"/>
        </w:trPr>
        <w:tc>
          <w:tcPr>
            <w:tcW w:w="0" w:type="auto"/>
            <w:gridSpan w:val="3"/>
            <w:shd w:val="clear" w:color="auto" w:fill="FFFFFF"/>
            <w:tcMar>
              <w:top w:w="40" w:type="dxa"/>
              <w:left w:w="20" w:type="dxa"/>
              <w:bottom w:w="40" w:type="dxa"/>
              <w:right w:w="20" w:type="dxa"/>
            </w:tcMar>
            <w:vAlign w:val="center"/>
          </w:tcPr>
          <w:p w14:paraId="442F7FF8" w14:textId="77777777" w:rsidR="00CC25B5" w:rsidRDefault="00900968">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42F7FF9"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FFA"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FFB" w14:textId="77777777" w:rsidR="00CC25B5" w:rsidRDefault="00900968">
            <w:pPr>
              <w:jc w:val="right"/>
              <w:textAlignment w:val="center"/>
            </w:pPr>
            <w:r>
              <w:rPr>
                <w:rFonts w:ascii="Times New Roman" w:eastAsia="宋体" w:hAnsi="Times New Roman"/>
                <w:color w:val="000000"/>
                <w:sz w:val="16"/>
                <w:szCs w:val="16"/>
              </w:rPr>
              <w:t>6,089 </w:t>
            </w:r>
          </w:p>
        </w:tc>
        <w:tc>
          <w:tcPr>
            <w:tcW w:w="0" w:type="auto"/>
            <w:shd w:val="clear" w:color="auto" w:fill="FFFFFF"/>
            <w:tcMar>
              <w:top w:w="40" w:type="dxa"/>
              <w:left w:w="0" w:type="dxa"/>
              <w:bottom w:w="40" w:type="dxa"/>
              <w:right w:w="20" w:type="dxa"/>
            </w:tcMar>
            <w:vAlign w:val="center"/>
          </w:tcPr>
          <w:p w14:paraId="442F7FF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7FFD"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7FFE"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7FFF" w14:textId="77777777" w:rsidR="00CC25B5" w:rsidRDefault="00900968">
            <w:pPr>
              <w:jc w:val="right"/>
              <w:textAlignment w:val="center"/>
            </w:pPr>
            <w:r>
              <w:rPr>
                <w:rFonts w:ascii="Times New Roman" w:eastAsia="宋体" w:hAnsi="Times New Roman"/>
                <w:color w:val="000000"/>
                <w:sz w:val="16"/>
                <w:szCs w:val="16"/>
              </w:rPr>
              <w:t>5,057 </w:t>
            </w:r>
          </w:p>
        </w:tc>
        <w:tc>
          <w:tcPr>
            <w:tcW w:w="0" w:type="auto"/>
            <w:shd w:val="clear" w:color="auto" w:fill="FFFFFF"/>
            <w:tcMar>
              <w:top w:w="40" w:type="dxa"/>
              <w:left w:w="0" w:type="dxa"/>
              <w:bottom w:w="40" w:type="dxa"/>
              <w:right w:w="20" w:type="dxa"/>
            </w:tcMar>
            <w:vAlign w:val="center"/>
          </w:tcPr>
          <w:p w14:paraId="442F8000"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01"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002"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003" w14:textId="77777777" w:rsidR="00CC25B5" w:rsidRDefault="00900968">
            <w:pPr>
              <w:jc w:val="right"/>
              <w:textAlignment w:val="center"/>
            </w:pPr>
            <w:r>
              <w:rPr>
                <w:rFonts w:ascii="Times New Roman" w:eastAsia="宋体" w:hAnsi="Times New Roman"/>
                <w:color w:val="000000"/>
                <w:sz w:val="16"/>
                <w:szCs w:val="16"/>
              </w:rPr>
              <w:t>11,544 </w:t>
            </w:r>
          </w:p>
        </w:tc>
        <w:tc>
          <w:tcPr>
            <w:tcW w:w="0" w:type="auto"/>
            <w:shd w:val="clear" w:color="auto" w:fill="FFFFFF"/>
            <w:tcMar>
              <w:top w:w="40" w:type="dxa"/>
              <w:left w:w="0" w:type="dxa"/>
              <w:bottom w:w="40" w:type="dxa"/>
              <w:right w:w="20" w:type="dxa"/>
            </w:tcMar>
            <w:vAlign w:val="center"/>
          </w:tcPr>
          <w:p w14:paraId="442F800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05"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006"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007" w14:textId="77777777" w:rsidR="00CC25B5" w:rsidRDefault="00900968">
            <w:pPr>
              <w:jc w:val="right"/>
              <w:textAlignment w:val="center"/>
            </w:pPr>
            <w:r>
              <w:rPr>
                <w:rFonts w:ascii="Times New Roman" w:eastAsia="宋体" w:hAnsi="Times New Roman"/>
                <w:color w:val="000000"/>
                <w:sz w:val="16"/>
                <w:szCs w:val="16"/>
              </w:rPr>
              <w:t>9,359 </w:t>
            </w:r>
          </w:p>
        </w:tc>
        <w:tc>
          <w:tcPr>
            <w:tcW w:w="0" w:type="auto"/>
            <w:shd w:val="clear" w:color="auto" w:fill="FFFFFF"/>
            <w:tcMar>
              <w:top w:w="40" w:type="dxa"/>
              <w:left w:w="0" w:type="dxa"/>
              <w:bottom w:w="40" w:type="dxa"/>
              <w:right w:w="20" w:type="dxa"/>
            </w:tcMar>
            <w:vAlign w:val="center"/>
          </w:tcPr>
          <w:p w14:paraId="442F8008" w14:textId="77777777" w:rsidR="00CC25B5" w:rsidRDefault="00CC25B5">
            <w:pPr>
              <w:jc w:val="right"/>
              <w:rPr>
                <w:rFonts w:ascii="宋体"/>
              </w:rPr>
            </w:pPr>
          </w:p>
        </w:tc>
      </w:tr>
      <w:tr w:rsidR="00CC25B5" w14:paraId="442F8017" w14:textId="77777777">
        <w:trPr>
          <w:jc w:val="center"/>
        </w:trPr>
        <w:tc>
          <w:tcPr>
            <w:tcW w:w="0" w:type="auto"/>
            <w:gridSpan w:val="3"/>
            <w:shd w:val="clear" w:color="auto" w:fill="CCEEFF"/>
            <w:tcMar>
              <w:top w:w="40" w:type="dxa"/>
              <w:left w:w="20" w:type="dxa"/>
              <w:bottom w:w="40" w:type="dxa"/>
              <w:right w:w="20" w:type="dxa"/>
            </w:tcMar>
            <w:vAlign w:val="center"/>
          </w:tcPr>
          <w:p w14:paraId="442F800A" w14:textId="77777777" w:rsidR="00CC25B5" w:rsidRDefault="00900968">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442F800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0C" w14:textId="77777777" w:rsidR="00CC25B5" w:rsidRDefault="00900968">
            <w:pPr>
              <w:jc w:val="right"/>
              <w:textAlignment w:val="center"/>
            </w:pPr>
            <w:r>
              <w:rPr>
                <w:rFonts w:ascii="Times New Roman" w:eastAsia="宋体" w:hAnsi="Times New Roman"/>
                <w:color w:val="000000"/>
                <w:sz w:val="16"/>
                <w:szCs w:val="16"/>
              </w:rPr>
              <w:t>6.2 </w:t>
            </w:r>
          </w:p>
        </w:tc>
        <w:tc>
          <w:tcPr>
            <w:tcW w:w="0" w:type="auto"/>
            <w:shd w:val="clear" w:color="auto" w:fill="CCEEFF"/>
            <w:tcMar>
              <w:top w:w="40" w:type="dxa"/>
              <w:left w:w="0" w:type="dxa"/>
              <w:bottom w:w="40" w:type="dxa"/>
              <w:right w:w="20" w:type="dxa"/>
            </w:tcMar>
            <w:vAlign w:val="center"/>
          </w:tcPr>
          <w:p w14:paraId="442F800D"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00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0F" w14:textId="77777777" w:rsidR="00CC25B5" w:rsidRDefault="00900968">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442F801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01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12" w14:textId="77777777" w:rsidR="00CC25B5" w:rsidRDefault="00900968">
            <w:pPr>
              <w:jc w:val="right"/>
              <w:textAlignment w:val="center"/>
            </w:pPr>
            <w:r>
              <w:rPr>
                <w:rFonts w:ascii="Times New Roman" w:eastAsia="宋体" w:hAnsi="Times New Roman"/>
                <w:color w:val="000000"/>
                <w:sz w:val="16"/>
                <w:szCs w:val="16"/>
              </w:rPr>
              <w:t>6.0 </w:t>
            </w:r>
          </w:p>
        </w:tc>
        <w:tc>
          <w:tcPr>
            <w:tcW w:w="0" w:type="auto"/>
            <w:shd w:val="clear" w:color="auto" w:fill="CCEEFF"/>
            <w:tcMar>
              <w:top w:w="40" w:type="dxa"/>
              <w:left w:w="0" w:type="dxa"/>
              <w:bottom w:w="40" w:type="dxa"/>
              <w:right w:w="20" w:type="dxa"/>
            </w:tcMar>
            <w:vAlign w:val="center"/>
          </w:tcPr>
          <w:p w14:paraId="442F801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01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15" w14:textId="77777777" w:rsidR="00CC25B5" w:rsidRDefault="00900968">
            <w:pPr>
              <w:jc w:val="right"/>
              <w:textAlignment w:val="center"/>
            </w:pPr>
            <w:r>
              <w:rPr>
                <w:rFonts w:ascii="Times New Roman" w:eastAsia="宋体" w:hAnsi="Times New Roman"/>
                <w:color w:val="000000"/>
                <w:sz w:val="16"/>
                <w:szCs w:val="16"/>
              </w:rPr>
              <w:t>5.1 </w:t>
            </w:r>
          </w:p>
        </w:tc>
        <w:tc>
          <w:tcPr>
            <w:tcW w:w="0" w:type="auto"/>
            <w:shd w:val="clear" w:color="auto" w:fill="CCEEFF"/>
            <w:tcMar>
              <w:top w:w="40" w:type="dxa"/>
              <w:left w:w="0" w:type="dxa"/>
              <w:bottom w:w="40" w:type="dxa"/>
              <w:right w:w="20" w:type="dxa"/>
            </w:tcMar>
            <w:vAlign w:val="center"/>
          </w:tcPr>
          <w:p w14:paraId="442F8016"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025" w14:textId="77777777">
        <w:trPr>
          <w:jc w:val="center"/>
        </w:trPr>
        <w:tc>
          <w:tcPr>
            <w:tcW w:w="0" w:type="auto"/>
            <w:gridSpan w:val="3"/>
            <w:shd w:val="clear" w:color="auto" w:fill="FFFFFF"/>
            <w:tcMar>
              <w:top w:w="40" w:type="dxa"/>
              <w:left w:w="20" w:type="dxa"/>
              <w:bottom w:w="40" w:type="dxa"/>
              <w:right w:w="20" w:type="dxa"/>
            </w:tcMar>
            <w:vAlign w:val="center"/>
          </w:tcPr>
          <w:p w14:paraId="442F8018" w14:textId="77777777" w:rsidR="00CC25B5" w:rsidRDefault="00900968">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442F801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1A" w14:textId="77777777" w:rsidR="00CC25B5" w:rsidRDefault="00900968">
            <w:pPr>
              <w:jc w:val="right"/>
              <w:textAlignment w:val="center"/>
            </w:pPr>
            <w:r>
              <w:rPr>
                <w:rFonts w:ascii="Times New Roman" w:eastAsia="宋体" w:hAnsi="Times New Roman"/>
                <w:color w:val="000000"/>
                <w:sz w:val="16"/>
                <w:szCs w:val="16"/>
              </w:rPr>
              <w:t>4,740 </w:t>
            </w:r>
          </w:p>
        </w:tc>
        <w:tc>
          <w:tcPr>
            <w:tcW w:w="0" w:type="auto"/>
            <w:shd w:val="clear" w:color="auto" w:fill="FFFFFF"/>
            <w:tcMar>
              <w:top w:w="40" w:type="dxa"/>
              <w:left w:w="0" w:type="dxa"/>
              <w:bottom w:w="40" w:type="dxa"/>
              <w:right w:w="20" w:type="dxa"/>
            </w:tcMar>
            <w:vAlign w:val="center"/>
          </w:tcPr>
          <w:p w14:paraId="442F801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1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1D" w14:textId="77777777" w:rsidR="00CC25B5" w:rsidRDefault="00900968">
            <w:pPr>
              <w:jc w:val="right"/>
              <w:textAlignment w:val="center"/>
            </w:pPr>
            <w:r>
              <w:rPr>
                <w:rFonts w:ascii="Times New Roman" w:eastAsia="宋体" w:hAnsi="Times New Roman"/>
                <w:color w:val="000000"/>
                <w:sz w:val="16"/>
                <w:szCs w:val="16"/>
              </w:rPr>
              <w:t>4,754 </w:t>
            </w:r>
          </w:p>
        </w:tc>
        <w:tc>
          <w:tcPr>
            <w:tcW w:w="0" w:type="auto"/>
            <w:shd w:val="clear" w:color="auto" w:fill="FFFFFF"/>
            <w:tcMar>
              <w:top w:w="40" w:type="dxa"/>
              <w:left w:w="0" w:type="dxa"/>
              <w:bottom w:w="40" w:type="dxa"/>
              <w:right w:w="20" w:type="dxa"/>
            </w:tcMar>
            <w:vAlign w:val="center"/>
          </w:tcPr>
          <w:p w14:paraId="442F801E"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1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20" w14:textId="77777777" w:rsidR="00CC25B5" w:rsidRDefault="00900968">
            <w:pPr>
              <w:jc w:val="right"/>
              <w:textAlignment w:val="center"/>
            </w:pPr>
            <w:r>
              <w:rPr>
                <w:rFonts w:ascii="Times New Roman" w:eastAsia="宋体" w:hAnsi="Times New Roman"/>
                <w:color w:val="000000"/>
                <w:sz w:val="16"/>
                <w:szCs w:val="16"/>
              </w:rPr>
              <w:t>4,740 </w:t>
            </w:r>
          </w:p>
        </w:tc>
        <w:tc>
          <w:tcPr>
            <w:tcW w:w="0" w:type="auto"/>
            <w:shd w:val="clear" w:color="auto" w:fill="FFFFFF"/>
            <w:tcMar>
              <w:top w:w="40" w:type="dxa"/>
              <w:left w:w="0" w:type="dxa"/>
              <w:bottom w:w="40" w:type="dxa"/>
              <w:right w:w="20" w:type="dxa"/>
            </w:tcMar>
            <w:vAlign w:val="center"/>
          </w:tcPr>
          <w:p w14:paraId="442F802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2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23" w14:textId="77777777" w:rsidR="00CC25B5" w:rsidRDefault="00900968">
            <w:pPr>
              <w:jc w:val="right"/>
              <w:textAlignment w:val="center"/>
            </w:pPr>
            <w:r>
              <w:rPr>
                <w:rFonts w:ascii="Times New Roman" w:eastAsia="宋体" w:hAnsi="Times New Roman"/>
                <w:color w:val="000000"/>
                <w:sz w:val="16"/>
                <w:szCs w:val="16"/>
              </w:rPr>
              <w:t>4,754 </w:t>
            </w:r>
          </w:p>
        </w:tc>
        <w:tc>
          <w:tcPr>
            <w:tcW w:w="0" w:type="auto"/>
            <w:shd w:val="clear" w:color="auto" w:fill="FFFFFF"/>
            <w:tcMar>
              <w:top w:w="40" w:type="dxa"/>
              <w:left w:w="0" w:type="dxa"/>
              <w:bottom w:w="40" w:type="dxa"/>
              <w:right w:w="20" w:type="dxa"/>
            </w:tcMar>
            <w:vAlign w:val="center"/>
          </w:tcPr>
          <w:p w14:paraId="442F8024" w14:textId="77777777" w:rsidR="00CC25B5" w:rsidRDefault="00CC25B5">
            <w:pPr>
              <w:jc w:val="right"/>
              <w:rPr>
                <w:rFonts w:ascii="宋体"/>
              </w:rPr>
            </w:pPr>
          </w:p>
        </w:tc>
      </w:tr>
      <w:tr w:rsidR="00CC25B5" w14:paraId="442F8033" w14:textId="77777777">
        <w:trPr>
          <w:jc w:val="center"/>
        </w:trPr>
        <w:tc>
          <w:tcPr>
            <w:tcW w:w="0" w:type="auto"/>
            <w:gridSpan w:val="3"/>
            <w:shd w:val="clear" w:color="auto" w:fill="CCEEFF"/>
            <w:tcMar>
              <w:top w:w="40" w:type="dxa"/>
              <w:left w:w="20" w:type="dxa"/>
              <w:bottom w:w="40" w:type="dxa"/>
              <w:right w:w="20" w:type="dxa"/>
            </w:tcMar>
            <w:vAlign w:val="center"/>
          </w:tcPr>
          <w:p w14:paraId="442F8026" w14:textId="77777777" w:rsidR="00CC25B5" w:rsidRDefault="00900968">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442F802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28" w14:textId="77777777" w:rsidR="00CC25B5" w:rsidRDefault="00900968">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42F802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2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2B" w14:textId="77777777" w:rsidR="00CC25B5" w:rsidRDefault="00900968">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42F802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2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2E" w14:textId="77777777" w:rsidR="00CC25B5" w:rsidRDefault="00900968">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42F802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3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31" w14:textId="77777777" w:rsidR="00CC25B5" w:rsidRDefault="00900968">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42F8032" w14:textId="77777777" w:rsidR="00CC25B5" w:rsidRDefault="00CC25B5">
            <w:pPr>
              <w:jc w:val="right"/>
              <w:rPr>
                <w:rFonts w:ascii="宋体"/>
              </w:rPr>
            </w:pPr>
          </w:p>
        </w:tc>
      </w:tr>
    </w:tbl>
    <w:p w14:paraId="442F8034" w14:textId="77777777" w:rsidR="00CC25B5" w:rsidRDefault="00900968">
      <w:r>
        <w:rPr>
          <w:rFonts w:ascii="Times New Roman" w:eastAsia="宋体" w:hAnsi="Times New Roman"/>
          <w:color w:val="000000"/>
          <w:sz w:val="20"/>
          <w:szCs w:val="20"/>
        </w:rPr>
        <w:t xml:space="preserve">Net sales for the Walmart U.S. segment increased $4.9 billion or 5.3% and $9.3 billion or 5.1% for the three and six months ended July 31, 2021, respectively when compared to the same periods </w:t>
      </w:r>
      <w:r>
        <w:rPr>
          <w:rFonts w:ascii="Times New Roman" w:eastAsia="宋体" w:hAnsi="Times New Roman"/>
          <w:color w:val="000000"/>
          <w:sz w:val="20"/>
          <w:szCs w:val="20"/>
        </w:rPr>
        <w:t>in the previous fiscal year. The increases were due to comparable sales of 5.4% for both the three and six months ended July 31, 2021, driven by growth in average ticket during the first quarter of fiscal 2022 primarily aided by stimulus spending while tra</w:t>
      </w:r>
      <w:r>
        <w:rPr>
          <w:rFonts w:ascii="Times New Roman" w:eastAsia="宋体" w:hAnsi="Times New Roman"/>
          <w:color w:val="000000"/>
          <w:sz w:val="20"/>
          <w:szCs w:val="20"/>
        </w:rPr>
        <w:t>nsactions decreased as customers consolidated shopping trips and purchased larger baskets. Transaction growth turned positive in April 2021 and continued with strong growth in the second quarter of fiscal 2022 as customers started to return to pre-pandemic</w:t>
      </w:r>
      <w:r>
        <w:rPr>
          <w:rFonts w:ascii="Times New Roman" w:eastAsia="宋体" w:hAnsi="Times New Roman"/>
          <w:color w:val="000000"/>
          <w:sz w:val="20"/>
          <w:szCs w:val="20"/>
        </w:rPr>
        <w:t xml:space="preserve"> behaviors, partially offset by a decline in average ticket through the second quarter. Walmart U.S. eCommerce sales positively contributed approximately 0.3% and 1.9% to comparable sales during the three and six months ended July 31, 2021, respectively, w</w:t>
      </w:r>
      <w:r>
        <w:rPr>
          <w:rFonts w:ascii="Times New Roman" w:eastAsia="宋体" w:hAnsi="Times New Roman"/>
          <w:color w:val="000000"/>
          <w:sz w:val="20"/>
          <w:szCs w:val="20"/>
        </w:rPr>
        <w:t xml:space="preserve">hich was primarily driven by store pickup and delivery. </w:t>
      </w:r>
    </w:p>
    <w:p w14:paraId="442F8035" w14:textId="77777777" w:rsidR="00CC25B5" w:rsidRDefault="00900968">
      <w:pPr>
        <w:spacing w:before="100"/>
      </w:pPr>
      <w:r>
        <w:rPr>
          <w:rFonts w:ascii="Times New Roman" w:eastAsia="宋体" w:hAnsi="Times New Roman"/>
          <w:color w:val="000000"/>
          <w:sz w:val="20"/>
          <w:szCs w:val="20"/>
        </w:rPr>
        <w:t>Gross profit rate increased 20 basis points for the three months ended July 31, 2021 when compared to the same period in the previous fiscal year, primarily driven by a benefit from administering COV</w:t>
      </w:r>
      <w:r>
        <w:rPr>
          <w:rFonts w:ascii="Times New Roman" w:eastAsia="宋体" w:hAnsi="Times New Roman"/>
          <w:color w:val="000000"/>
          <w:sz w:val="20"/>
          <w:szCs w:val="20"/>
        </w:rPr>
        <w:t xml:space="preserve">ID-19 vaccines, lapping last year's temporary COVID-19 related closure of our Auto Care Centers and Vision Centers, lower markdowns and growth in our advertising business, partially offset by increased supply chain costs. For the six months ended July 31, </w:t>
      </w:r>
      <w:r>
        <w:rPr>
          <w:rFonts w:ascii="Times New Roman" w:eastAsia="宋体" w:hAnsi="Times New Roman"/>
          <w:color w:val="000000"/>
          <w:sz w:val="20"/>
          <w:szCs w:val="20"/>
        </w:rPr>
        <w:t>2021, gross profit rate increased 80 basis points due primarily to shifts into general merchandise due in part to stimulus and lapping last year's COVID-related mix shifts into food and consumables in the first quarter of fiscal 2022. Gross profit rate was</w:t>
      </w:r>
      <w:r>
        <w:rPr>
          <w:rFonts w:ascii="Times New Roman" w:eastAsia="宋体" w:hAnsi="Times New Roman"/>
          <w:color w:val="000000"/>
          <w:sz w:val="20"/>
          <w:szCs w:val="20"/>
        </w:rPr>
        <w:t xml:space="preserve"> also impacted by lower markdowns, lapping the temporary closures of our Auto Care Centers and Vision centers, and a benefit from administering vaccines, partially offset by increased supply chain costs. </w:t>
      </w:r>
    </w:p>
    <w:p w14:paraId="442F8036" w14:textId="77777777" w:rsidR="00CC25B5" w:rsidRDefault="00900968">
      <w:pPr>
        <w:spacing w:before="100"/>
      </w:pPr>
      <w:r>
        <w:rPr>
          <w:rFonts w:ascii="Times New Roman" w:eastAsia="宋体" w:hAnsi="Times New Roman"/>
          <w:color w:val="000000"/>
          <w:sz w:val="20"/>
          <w:szCs w:val="20"/>
        </w:rPr>
        <w:t>Operating expenses as a percentage of net sales dec</w:t>
      </w:r>
      <w:r>
        <w:rPr>
          <w:rFonts w:ascii="Times New Roman" w:eastAsia="宋体" w:hAnsi="Times New Roman"/>
          <w:color w:val="000000"/>
          <w:sz w:val="20"/>
          <w:szCs w:val="20"/>
        </w:rPr>
        <w:t xml:space="preserve">reased 49 basis points for the three months ended July 31, 2021 when compared to the same period in the previous fiscal year, primarily due to strong sales, $1.0 billion of lower incremental COVID-19 costs and lapping a $0.4 billion business restructuring </w:t>
      </w:r>
      <w:r>
        <w:rPr>
          <w:rFonts w:ascii="Times New Roman" w:eastAsia="宋体" w:hAnsi="Times New Roman"/>
          <w:color w:val="000000"/>
          <w:sz w:val="20"/>
          <w:szCs w:val="20"/>
        </w:rPr>
        <w:t>charge in the second quarter of fiscal 2021. These decreases were partially offset by increased investments in wages, marketing, and technology. Despite the increase in net sales for the six months ended July 31, 2021, operating expenses as a percentage of</w:t>
      </w:r>
      <w:r>
        <w:rPr>
          <w:rFonts w:ascii="Times New Roman" w:eastAsia="宋体" w:hAnsi="Times New Roman"/>
          <w:color w:val="000000"/>
          <w:sz w:val="20"/>
          <w:szCs w:val="20"/>
        </w:rPr>
        <w:t xml:space="preserve"> net sales were relatively flat when compared to the same period in the previous fiscal year, primarily due to increased wage, technology and marketing investments in the first and second quarters of fiscal 2022, which were offset by $1.4 billion of lower </w:t>
      </w:r>
      <w:r>
        <w:rPr>
          <w:rFonts w:ascii="Times New Roman" w:eastAsia="宋体" w:hAnsi="Times New Roman"/>
          <w:color w:val="000000"/>
          <w:sz w:val="20"/>
          <w:szCs w:val="20"/>
        </w:rPr>
        <w:t>incremental COVID-19 related costs and lapping the business restructuring charge.</w:t>
      </w:r>
    </w:p>
    <w:p w14:paraId="442F8037" w14:textId="77777777" w:rsidR="00CC25B5" w:rsidRDefault="00900968">
      <w:pPr>
        <w:spacing w:before="100"/>
      </w:pPr>
      <w:r>
        <w:rPr>
          <w:rFonts w:ascii="Times New Roman" w:eastAsia="宋体" w:hAnsi="Times New Roman"/>
          <w:color w:val="000000"/>
          <w:sz w:val="20"/>
          <w:szCs w:val="20"/>
        </w:rPr>
        <w:t>As a result of the factors discussed above, operating income increased $1.0 billion and $2.2 billion for the three and six months ended July 31, 2021, respectively, when comp</w:t>
      </w:r>
      <w:r>
        <w:rPr>
          <w:rFonts w:ascii="Times New Roman" w:eastAsia="宋体" w:hAnsi="Times New Roman"/>
          <w:color w:val="000000"/>
          <w:sz w:val="20"/>
          <w:szCs w:val="20"/>
        </w:rPr>
        <w:t xml:space="preserve">ared to the same period in the previous fiscal year. </w:t>
      </w:r>
    </w:p>
    <w:p w14:paraId="442F8038" w14:textId="77777777" w:rsidR="00CC25B5" w:rsidRDefault="00900968">
      <w:pPr>
        <w:spacing w:before="240"/>
      </w:pPr>
      <w:r>
        <w:rPr>
          <w:rFonts w:ascii="Times New Roman" w:eastAsia="宋体" w:hAnsi="Times New Roman"/>
          <w:b/>
          <w:bCs/>
          <w:i/>
          <w:iCs/>
          <w:color w:val="000000"/>
          <w:sz w:val="20"/>
          <w:szCs w:val="20"/>
        </w:rPr>
        <w:t>Walmart International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71"/>
        <w:gridCol w:w="37"/>
        <w:gridCol w:w="36"/>
        <w:gridCol w:w="36"/>
        <w:gridCol w:w="36"/>
        <w:gridCol w:w="100"/>
        <w:gridCol w:w="715"/>
        <w:gridCol w:w="154"/>
        <w:gridCol w:w="36"/>
        <w:gridCol w:w="36"/>
        <w:gridCol w:w="36"/>
        <w:gridCol w:w="100"/>
        <w:gridCol w:w="715"/>
        <w:gridCol w:w="154"/>
        <w:gridCol w:w="36"/>
        <w:gridCol w:w="36"/>
        <w:gridCol w:w="36"/>
        <w:gridCol w:w="100"/>
        <w:gridCol w:w="716"/>
        <w:gridCol w:w="154"/>
        <w:gridCol w:w="36"/>
        <w:gridCol w:w="36"/>
        <w:gridCol w:w="36"/>
        <w:gridCol w:w="100"/>
        <w:gridCol w:w="596"/>
        <w:gridCol w:w="154"/>
      </w:tblGrid>
      <w:tr w:rsidR="00CC25B5" w14:paraId="442F8054" w14:textId="77777777">
        <w:trPr>
          <w:jc w:val="center"/>
        </w:trPr>
        <w:tc>
          <w:tcPr>
            <w:tcW w:w="50" w:type="pct"/>
            <w:shd w:val="clear" w:color="auto" w:fill="auto"/>
            <w:vAlign w:val="bottom"/>
          </w:tcPr>
          <w:p w14:paraId="442F8039" w14:textId="77777777" w:rsidR="00CC25B5" w:rsidRDefault="00CC25B5">
            <w:pPr>
              <w:rPr>
                <w:rFonts w:ascii="宋体"/>
              </w:rPr>
            </w:pPr>
          </w:p>
        </w:tc>
        <w:tc>
          <w:tcPr>
            <w:tcW w:w="2569" w:type="pct"/>
            <w:shd w:val="clear" w:color="auto" w:fill="auto"/>
            <w:vAlign w:val="bottom"/>
          </w:tcPr>
          <w:p w14:paraId="442F803A" w14:textId="77777777" w:rsidR="00CC25B5" w:rsidRDefault="00CC25B5">
            <w:pPr>
              <w:rPr>
                <w:rFonts w:ascii="宋体"/>
              </w:rPr>
            </w:pPr>
          </w:p>
        </w:tc>
        <w:tc>
          <w:tcPr>
            <w:tcW w:w="5" w:type="pct"/>
            <w:shd w:val="clear" w:color="auto" w:fill="auto"/>
            <w:vAlign w:val="bottom"/>
          </w:tcPr>
          <w:p w14:paraId="442F803B" w14:textId="77777777" w:rsidR="00CC25B5" w:rsidRDefault="00CC25B5">
            <w:pPr>
              <w:rPr>
                <w:rFonts w:ascii="宋体"/>
              </w:rPr>
            </w:pPr>
          </w:p>
        </w:tc>
        <w:tc>
          <w:tcPr>
            <w:tcW w:w="5" w:type="pct"/>
            <w:shd w:val="clear" w:color="auto" w:fill="auto"/>
            <w:vAlign w:val="bottom"/>
          </w:tcPr>
          <w:p w14:paraId="442F803C" w14:textId="77777777" w:rsidR="00CC25B5" w:rsidRDefault="00CC25B5">
            <w:pPr>
              <w:rPr>
                <w:rFonts w:ascii="宋体"/>
              </w:rPr>
            </w:pPr>
          </w:p>
        </w:tc>
        <w:tc>
          <w:tcPr>
            <w:tcW w:w="19" w:type="pct"/>
            <w:shd w:val="clear" w:color="auto" w:fill="auto"/>
            <w:vAlign w:val="bottom"/>
          </w:tcPr>
          <w:p w14:paraId="442F803D" w14:textId="77777777" w:rsidR="00CC25B5" w:rsidRDefault="00CC25B5">
            <w:pPr>
              <w:rPr>
                <w:rFonts w:ascii="宋体"/>
              </w:rPr>
            </w:pPr>
          </w:p>
        </w:tc>
        <w:tc>
          <w:tcPr>
            <w:tcW w:w="5" w:type="pct"/>
            <w:shd w:val="clear" w:color="auto" w:fill="auto"/>
            <w:vAlign w:val="bottom"/>
          </w:tcPr>
          <w:p w14:paraId="442F803E" w14:textId="77777777" w:rsidR="00CC25B5" w:rsidRDefault="00CC25B5">
            <w:pPr>
              <w:rPr>
                <w:rFonts w:ascii="宋体"/>
              </w:rPr>
            </w:pPr>
          </w:p>
        </w:tc>
        <w:tc>
          <w:tcPr>
            <w:tcW w:w="50" w:type="pct"/>
            <w:shd w:val="clear" w:color="auto" w:fill="auto"/>
            <w:vAlign w:val="bottom"/>
          </w:tcPr>
          <w:p w14:paraId="442F803F" w14:textId="77777777" w:rsidR="00CC25B5" w:rsidRDefault="00CC25B5">
            <w:pPr>
              <w:rPr>
                <w:rFonts w:ascii="宋体"/>
              </w:rPr>
            </w:pPr>
          </w:p>
        </w:tc>
        <w:tc>
          <w:tcPr>
            <w:tcW w:w="507" w:type="pct"/>
            <w:shd w:val="clear" w:color="auto" w:fill="auto"/>
            <w:vAlign w:val="bottom"/>
          </w:tcPr>
          <w:p w14:paraId="442F8040" w14:textId="77777777" w:rsidR="00CC25B5" w:rsidRDefault="00CC25B5">
            <w:pPr>
              <w:rPr>
                <w:rFonts w:ascii="宋体"/>
              </w:rPr>
            </w:pPr>
          </w:p>
        </w:tc>
        <w:tc>
          <w:tcPr>
            <w:tcW w:w="5" w:type="pct"/>
            <w:shd w:val="clear" w:color="auto" w:fill="auto"/>
            <w:vAlign w:val="bottom"/>
          </w:tcPr>
          <w:p w14:paraId="442F8041" w14:textId="77777777" w:rsidR="00CC25B5" w:rsidRDefault="00CC25B5">
            <w:pPr>
              <w:rPr>
                <w:rFonts w:ascii="宋体"/>
              </w:rPr>
            </w:pPr>
          </w:p>
        </w:tc>
        <w:tc>
          <w:tcPr>
            <w:tcW w:w="5" w:type="pct"/>
            <w:shd w:val="clear" w:color="auto" w:fill="auto"/>
            <w:vAlign w:val="bottom"/>
          </w:tcPr>
          <w:p w14:paraId="442F8042" w14:textId="77777777" w:rsidR="00CC25B5" w:rsidRDefault="00CC25B5">
            <w:pPr>
              <w:rPr>
                <w:rFonts w:ascii="宋体"/>
              </w:rPr>
            </w:pPr>
          </w:p>
        </w:tc>
        <w:tc>
          <w:tcPr>
            <w:tcW w:w="19" w:type="pct"/>
            <w:shd w:val="clear" w:color="auto" w:fill="auto"/>
            <w:vAlign w:val="bottom"/>
          </w:tcPr>
          <w:p w14:paraId="442F8043" w14:textId="77777777" w:rsidR="00CC25B5" w:rsidRDefault="00CC25B5">
            <w:pPr>
              <w:rPr>
                <w:rFonts w:ascii="宋体"/>
              </w:rPr>
            </w:pPr>
          </w:p>
        </w:tc>
        <w:tc>
          <w:tcPr>
            <w:tcW w:w="5" w:type="pct"/>
            <w:shd w:val="clear" w:color="auto" w:fill="auto"/>
            <w:vAlign w:val="bottom"/>
          </w:tcPr>
          <w:p w14:paraId="442F8044" w14:textId="77777777" w:rsidR="00CC25B5" w:rsidRDefault="00CC25B5">
            <w:pPr>
              <w:rPr>
                <w:rFonts w:ascii="宋体"/>
              </w:rPr>
            </w:pPr>
          </w:p>
        </w:tc>
        <w:tc>
          <w:tcPr>
            <w:tcW w:w="50" w:type="pct"/>
            <w:shd w:val="clear" w:color="auto" w:fill="auto"/>
            <w:vAlign w:val="bottom"/>
          </w:tcPr>
          <w:p w14:paraId="442F8045" w14:textId="77777777" w:rsidR="00CC25B5" w:rsidRDefault="00CC25B5">
            <w:pPr>
              <w:rPr>
                <w:rFonts w:ascii="宋体"/>
              </w:rPr>
            </w:pPr>
          </w:p>
        </w:tc>
        <w:tc>
          <w:tcPr>
            <w:tcW w:w="507" w:type="pct"/>
            <w:shd w:val="clear" w:color="auto" w:fill="auto"/>
            <w:vAlign w:val="bottom"/>
          </w:tcPr>
          <w:p w14:paraId="442F8046" w14:textId="77777777" w:rsidR="00CC25B5" w:rsidRDefault="00CC25B5">
            <w:pPr>
              <w:rPr>
                <w:rFonts w:ascii="宋体"/>
              </w:rPr>
            </w:pPr>
          </w:p>
        </w:tc>
        <w:tc>
          <w:tcPr>
            <w:tcW w:w="5" w:type="pct"/>
            <w:shd w:val="clear" w:color="auto" w:fill="auto"/>
            <w:vAlign w:val="bottom"/>
          </w:tcPr>
          <w:p w14:paraId="442F8047" w14:textId="77777777" w:rsidR="00CC25B5" w:rsidRDefault="00CC25B5">
            <w:pPr>
              <w:rPr>
                <w:rFonts w:ascii="宋体"/>
              </w:rPr>
            </w:pPr>
          </w:p>
        </w:tc>
        <w:tc>
          <w:tcPr>
            <w:tcW w:w="5" w:type="pct"/>
            <w:shd w:val="clear" w:color="auto" w:fill="auto"/>
            <w:vAlign w:val="bottom"/>
          </w:tcPr>
          <w:p w14:paraId="442F8048" w14:textId="77777777" w:rsidR="00CC25B5" w:rsidRDefault="00CC25B5">
            <w:pPr>
              <w:rPr>
                <w:rFonts w:ascii="宋体"/>
              </w:rPr>
            </w:pPr>
          </w:p>
        </w:tc>
        <w:tc>
          <w:tcPr>
            <w:tcW w:w="19" w:type="pct"/>
            <w:shd w:val="clear" w:color="auto" w:fill="auto"/>
            <w:vAlign w:val="bottom"/>
          </w:tcPr>
          <w:p w14:paraId="442F8049" w14:textId="77777777" w:rsidR="00CC25B5" w:rsidRDefault="00CC25B5">
            <w:pPr>
              <w:rPr>
                <w:rFonts w:ascii="宋体"/>
              </w:rPr>
            </w:pPr>
          </w:p>
        </w:tc>
        <w:tc>
          <w:tcPr>
            <w:tcW w:w="5" w:type="pct"/>
            <w:shd w:val="clear" w:color="auto" w:fill="auto"/>
            <w:vAlign w:val="bottom"/>
          </w:tcPr>
          <w:p w14:paraId="442F804A" w14:textId="77777777" w:rsidR="00CC25B5" w:rsidRDefault="00CC25B5">
            <w:pPr>
              <w:rPr>
                <w:rFonts w:ascii="宋体"/>
              </w:rPr>
            </w:pPr>
          </w:p>
        </w:tc>
        <w:tc>
          <w:tcPr>
            <w:tcW w:w="50" w:type="pct"/>
            <w:shd w:val="clear" w:color="auto" w:fill="auto"/>
            <w:vAlign w:val="bottom"/>
          </w:tcPr>
          <w:p w14:paraId="442F804B" w14:textId="77777777" w:rsidR="00CC25B5" w:rsidRDefault="00CC25B5">
            <w:pPr>
              <w:rPr>
                <w:rFonts w:ascii="宋体"/>
              </w:rPr>
            </w:pPr>
          </w:p>
        </w:tc>
        <w:tc>
          <w:tcPr>
            <w:tcW w:w="507" w:type="pct"/>
            <w:shd w:val="clear" w:color="auto" w:fill="auto"/>
            <w:vAlign w:val="bottom"/>
          </w:tcPr>
          <w:p w14:paraId="442F804C" w14:textId="77777777" w:rsidR="00CC25B5" w:rsidRDefault="00CC25B5">
            <w:pPr>
              <w:rPr>
                <w:rFonts w:ascii="宋体"/>
              </w:rPr>
            </w:pPr>
          </w:p>
        </w:tc>
        <w:tc>
          <w:tcPr>
            <w:tcW w:w="5" w:type="pct"/>
            <w:shd w:val="clear" w:color="auto" w:fill="auto"/>
            <w:vAlign w:val="bottom"/>
          </w:tcPr>
          <w:p w14:paraId="442F804D" w14:textId="77777777" w:rsidR="00CC25B5" w:rsidRDefault="00CC25B5">
            <w:pPr>
              <w:rPr>
                <w:rFonts w:ascii="宋体"/>
              </w:rPr>
            </w:pPr>
          </w:p>
        </w:tc>
        <w:tc>
          <w:tcPr>
            <w:tcW w:w="5" w:type="pct"/>
            <w:shd w:val="clear" w:color="auto" w:fill="auto"/>
            <w:vAlign w:val="bottom"/>
          </w:tcPr>
          <w:p w14:paraId="442F804E" w14:textId="77777777" w:rsidR="00CC25B5" w:rsidRDefault="00CC25B5">
            <w:pPr>
              <w:rPr>
                <w:rFonts w:ascii="宋体"/>
              </w:rPr>
            </w:pPr>
          </w:p>
        </w:tc>
        <w:tc>
          <w:tcPr>
            <w:tcW w:w="26" w:type="pct"/>
            <w:shd w:val="clear" w:color="auto" w:fill="auto"/>
            <w:vAlign w:val="bottom"/>
          </w:tcPr>
          <w:p w14:paraId="442F804F" w14:textId="77777777" w:rsidR="00CC25B5" w:rsidRDefault="00CC25B5">
            <w:pPr>
              <w:rPr>
                <w:rFonts w:ascii="宋体"/>
              </w:rPr>
            </w:pPr>
          </w:p>
        </w:tc>
        <w:tc>
          <w:tcPr>
            <w:tcW w:w="5" w:type="pct"/>
            <w:shd w:val="clear" w:color="auto" w:fill="auto"/>
            <w:vAlign w:val="bottom"/>
          </w:tcPr>
          <w:p w14:paraId="442F8050" w14:textId="77777777" w:rsidR="00CC25B5" w:rsidRDefault="00CC25B5">
            <w:pPr>
              <w:rPr>
                <w:rFonts w:ascii="宋体"/>
              </w:rPr>
            </w:pPr>
          </w:p>
        </w:tc>
        <w:tc>
          <w:tcPr>
            <w:tcW w:w="50" w:type="pct"/>
            <w:shd w:val="clear" w:color="auto" w:fill="auto"/>
            <w:vAlign w:val="bottom"/>
          </w:tcPr>
          <w:p w14:paraId="442F8051" w14:textId="77777777" w:rsidR="00CC25B5" w:rsidRDefault="00CC25B5">
            <w:pPr>
              <w:rPr>
                <w:rFonts w:ascii="宋体"/>
              </w:rPr>
            </w:pPr>
          </w:p>
        </w:tc>
        <w:tc>
          <w:tcPr>
            <w:tcW w:w="508" w:type="pct"/>
            <w:shd w:val="clear" w:color="auto" w:fill="auto"/>
            <w:vAlign w:val="bottom"/>
          </w:tcPr>
          <w:p w14:paraId="442F8052" w14:textId="77777777" w:rsidR="00CC25B5" w:rsidRDefault="00CC25B5">
            <w:pPr>
              <w:rPr>
                <w:rFonts w:ascii="宋体"/>
              </w:rPr>
            </w:pPr>
          </w:p>
        </w:tc>
        <w:tc>
          <w:tcPr>
            <w:tcW w:w="5" w:type="pct"/>
            <w:shd w:val="clear" w:color="auto" w:fill="auto"/>
            <w:vAlign w:val="bottom"/>
          </w:tcPr>
          <w:p w14:paraId="442F8053" w14:textId="77777777" w:rsidR="00CC25B5" w:rsidRDefault="00CC25B5">
            <w:pPr>
              <w:rPr>
                <w:rFonts w:ascii="宋体"/>
              </w:rPr>
            </w:pPr>
          </w:p>
        </w:tc>
      </w:tr>
      <w:tr w:rsidR="00CC25B5" w14:paraId="442F805A" w14:textId="77777777">
        <w:trPr>
          <w:jc w:val="center"/>
        </w:trPr>
        <w:tc>
          <w:tcPr>
            <w:tcW w:w="0" w:type="auto"/>
            <w:gridSpan w:val="3"/>
            <w:shd w:val="clear" w:color="auto" w:fill="auto"/>
            <w:tcMar>
              <w:top w:w="40" w:type="dxa"/>
              <w:left w:w="20" w:type="dxa"/>
              <w:bottom w:w="40" w:type="dxa"/>
              <w:right w:w="20" w:type="dxa"/>
            </w:tcMar>
            <w:vAlign w:val="center"/>
          </w:tcPr>
          <w:p w14:paraId="442F8055"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8056"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center"/>
          </w:tcPr>
          <w:p w14:paraId="442F8057" w14:textId="77777777" w:rsidR="00CC25B5" w:rsidRDefault="00900968">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8058"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center"/>
          </w:tcPr>
          <w:p w14:paraId="442F8059" w14:textId="77777777" w:rsidR="00CC25B5" w:rsidRDefault="00900968">
            <w:pPr>
              <w:jc w:val="center"/>
              <w:textAlignment w:val="center"/>
            </w:pPr>
            <w:r>
              <w:rPr>
                <w:rFonts w:ascii="Times New Roman" w:eastAsia="宋体" w:hAnsi="Times New Roman"/>
                <w:b/>
                <w:bCs/>
                <w:color w:val="000000"/>
                <w:sz w:val="16"/>
                <w:szCs w:val="16"/>
              </w:rPr>
              <w:t>Six Months Ended July 31,</w:t>
            </w:r>
          </w:p>
        </w:tc>
      </w:tr>
      <w:tr w:rsidR="00CC25B5" w14:paraId="442F8064" w14:textId="77777777">
        <w:trPr>
          <w:jc w:val="center"/>
        </w:trPr>
        <w:tc>
          <w:tcPr>
            <w:tcW w:w="0" w:type="auto"/>
            <w:gridSpan w:val="3"/>
            <w:shd w:val="clear" w:color="auto" w:fill="auto"/>
            <w:tcMar>
              <w:top w:w="40" w:type="dxa"/>
              <w:left w:w="20" w:type="dxa"/>
              <w:bottom w:w="40" w:type="dxa"/>
              <w:right w:w="20" w:type="dxa"/>
            </w:tcMar>
            <w:vAlign w:val="center"/>
          </w:tcPr>
          <w:p w14:paraId="442F805B" w14:textId="77777777" w:rsidR="00CC25B5" w:rsidRDefault="00900968">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42F805C"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05D"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5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05F"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8060"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061"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62"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063" w14:textId="77777777" w:rsidR="00CC25B5" w:rsidRDefault="00900968">
            <w:pPr>
              <w:jc w:val="center"/>
              <w:textAlignment w:val="center"/>
            </w:pPr>
            <w:r>
              <w:rPr>
                <w:rFonts w:ascii="Times New Roman" w:eastAsia="宋体" w:hAnsi="Times New Roman"/>
                <w:b/>
                <w:bCs/>
                <w:color w:val="000000"/>
                <w:sz w:val="16"/>
                <w:szCs w:val="16"/>
              </w:rPr>
              <w:t>2020</w:t>
            </w:r>
          </w:p>
        </w:tc>
      </w:tr>
      <w:tr w:rsidR="00CC25B5" w14:paraId="442F8076" w14:textId="77777777">
        <w:trPr>
          <w:jc w:val="center"/>
        </w:trPr>
        <w:tc>
          <w:tcPr>
            <w:tcW w:w="0" w:type="auto"/>
            <w:gridSpan w:val="3"/>
            <w:shd w:val="clear" w:color="auto" w:fill="CCEEFF"/>
            <w:tcMar>
              <w:top w:w="40" w:type="dxa"/>
              <w:left w:w="20" w:type="dxa"/>
              <w:bottom w:w="40" w:type="dxa"/>
              <w:right w:w="20" w:type="dxa"/>
            </w:tcMar>
            <w:vAlign w:val="center"/>
          </w:tcPr>
          <w:p w14:paraId="442F8065"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42F8066"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067"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068" w14:textId="77777777" w:rsidR="00CC25B5" w:rsidRDefault="00900968">
            <w:pPr>
              <w:jc w:val="right"/>
              <w:textAlignment w:val="center"/>
            </w:pPr>
            <w:r>
              <w:rPr>
                <w:rFonts w:ascii="Times New Roman" w:eastAsia="宋体" w:hAnsi="Times New Roman"/>
                <w:color w:val="000000"/>
                <w:sz w:val="16"/>
                <w:szCs w:val="16"/>
              </w:rPr>
              <w:t>23,035 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06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6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06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06C" w14:textId="77777777" w:rsidR="00CC25B5" w:rsidRDefault="00900968">
            <w:pPr>
              <w:jc w:val="right"/>
              <w:textAlignment w:val="center"/>
            </w:pPr>
            <w:r>
              <w:rPr>
                <w:rFonts w:ascii="Times New Roman" w:eastAsia="宋体" w:hAnsi="Times New Roman"/>
                <w:color w:val="000000"/>
                <w:sz w:val="16"/>
                <w:szCs w:val="16"/>
              </w:rPr>
              <w:t>27,167 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06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6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06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070" w14:textId="77777777" w:rsidR="00CC25B5" w:rsidRDefault="00900968">
            <w:pPr>
              <w:jc w:val="right"/>
              <w:textAlignment w:val="center"/>
            </w:pPr>
            <w:r>
              <w:rPr>
                <w:rFonts w:ascii="Times New Roman" w:eastAsia="宋体" w:hAnsi="Times New Roman"/>
                <w:color w:val="000000"/>
                <w:sz w:val="16"/>
                <w:szCs w:val="16"/>
              </w:rPr>
              <w:t>50,335 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07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7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07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074" w14:textId="77777777" w:rsidR="00CC25B5" w:rsidRDefault="00900968">
            <w:pPr>
              <w:jc w:val="right"/>
              <w:textAlignment w:val="center"/>
            </w:pPr>
            <w:r>
              <w:rPr>
                <w:rFonts w:ascii="Times New Roman" w:eastAsia="宋体" w:hAnsi="Times New Roman"/>
                <w:color w:val="000000"/>
                <w:sz w:val="16"/>
                <w:szCs w:val="16"/>
              </w:rPr>
              <w:t>56,933 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075" w14:textId="77777777" w:rsidR="00CC25B5" w:rsidRDefault="00CC25B5">
            <w:pPr>
              <w:jc w:val="right"/>
              <w:rPr>
                <w:rFonts w:ascii="宋体"/>
              </w:rPr>
            </w:pPr>
          </w:p>
        </w:tc>
      </w:tr>
      <w:tr w:rsidR="00CC25B5" w14:paraId="442F8084" w14:textId="77777777">
        <w:trPr>
          <w:jc w:val="center"/>
        </w:trPr>
        <w:tc>
          <w:tcPr>
            <w:tcW w:w="0" w:type="auto"/>
            <w:gridSpan w:val="3"/>
            <w:shd w:val="clear" w:color="auto" w:fill="FFFFFF"/>
            <w:tcMar>
              <w:top w:w="40" w:type="dxa"/>
              <w:left w:w="20" w:type="dxa"/>
              <w:bottom w:w="40" w:type="dxa"/>
              <w:right w:w="20" w:type="dxa"/>
            </w:tcMar>
            <w:vAlign w:val="center"/>
          </w:tcPr>
          <w:p w14:paraId="442F8077"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807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79" w14:textId="77777777" w:rsidR="00CC25B5" w:rsidRDefault="00900968">
            <w:pPr>
              <w:jc w:val="right"/>
              <w:textAlignment w:val="center"/>
            </w:pPr>
            <w:r>
              <w:rPr>
                <w:rFonts w:ascii="Times New Roman" w:eastAsia="宋体" w:hAnsi="Times New Roman"/>
                <w:color w:val="000000"/>
                <w:sz w:val="16"/>
                <w:szCs w:val="16"/>
              </w:rPr>
              <w:t>(15.2)</w:t>
            </w:r>
          </w:p>
        </w:tc>
        <w:tc>
          <w:tcPr>
            <w:tcW w:w="0" w:type="auto"/>
            <w:shd w:val="clear" w:color="auto" w:fill="FFFFFF"/>
            <w:tcMar>
              <w:top w:w="40" w:type="dxa"/>
              <w:left w:w="0" w:type="dxa"/>
              <w:bottom w:w="40" w:type="dxa"/>
              <w:right w:w="20" w:type="dxa"/>
            </w:tcMar>
            <w:vAlign w:val="center"/>
          </w:tcPr>
          <w:p w14:paraId="442F807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07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7C" w14:textId="77777777" w:rsidR="00CC25B5" w:rsidRDefault="00900968">
            <w:pPr>
              <w:jc w:val="right"/>
              <w:textAlignment w:val="center"/>
            </w:pPr>
            <w:r>
              <w:rPr>
                <w:rFonts w:ascii="Times New Roman" w:eastAsia="宋体" w:hAnsi="Times New Roman"/>
                <w:color w:val="000000"/>
                <w:sz w:val="16"/>
                <w:szCs w:val="16"/>
              </w:rPr>
              <w:t>(6.8)</w:t>
            </w:r>
          </w:p>
        </w:tc>
        <w:tc>
          <w:tcPr>
            <w:tcW w:w="0" w:type="auto"/>
            <w:shd w:val="clear" w:color="auto" w:fill="FFFFFF"/>
            <w:tcMar>
              <w:top w:w="40" w:type="dxa"/>
              <w:left w:w="0" w:type="dxa"/>
              <w:bottom w:w="40" w:type="dxa"/>
              <w:right w:w="20" w:type="dxa"/>
            </w:tcMar>
            <w:vAlign w:val="center"/>
          </w:tcPr>
          <w:p w14:paraId="442F807D"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07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7F" w14:textId="77777777" w:rsidR="00CC25B5" w:rsidRDefault="00900968">
            <w:pPr>
              <w:jc w:val="right"/>
              <w:textAlignment w:val="center"/>
            </w:pPr>
            <w:r>
              <w:rPr>
                <w:rFonts w:ascii="Times New Roman" w:eastAsia="宋体" w:hAnsi="Times New Roman"/>
                <w:color w:val="000000"/>
                <w:sz w:val="16"/>
                <w:szCs w:val="16"/>
              </w:rPr>
              <w:t>(11.6)</w:t>
            </w:r>
          </w:p>
        </w:tc>
        <w:tc>
          <w:tcPr>
            <w:tcW w:w="0" w:type="auto"/>
            <w:shd w:val="clear" w:color="auto" w:fill="FFFFFF"/>
            <w:tcMar>
              <w:top w:w="40" w:type="dxa"/>
              <w:left w:w="0" w:type="dxa"/>
              <w:bottom w:w="40" w:type="dxa"/>
              <w:right w:w="20" w:type="dxa"/>
            </w:tcMar>
            <w:vAlign w:val="center"/>
          </w:tcPr>
          <w:p w14:paraId="442F808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08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82" w14:textId="77777777" w:rsidR="00CC25B5" w:rsidRDefault="00900968">
            <w:pPr>
              <w:jc w:val="right"/>
              <w:textAlignment w:val="center"/>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center"/>
          </w:tcPr>
          <w:p w14:paraId="442F8083"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096" w14:textId="77777777">
        <w:trPr>
          <w:jc w:val="center"/>
        </w:trPr>
        <w:tc>
          <w:tcPr>
            <w:tcW w:w="0" w:type="auto"/>
            <w:gridSpan w:val="3"/>
            <w:shd w:val="clear" w:color="auto" w:fill="CCEEFF"/>
            <w:tcMar>
              <w:top w:w="40" w:type="dxa"/>
              <w:left w:w="20" w:type="dxa"/>
              <w:bottom w:w="40" w:type="dxa"/>
              <w:right w:w="20" w:type="dxa"/>
            </w:tcMar>
            <w:vAlign w:val="center"/>
          </w:tcPr>
          <w:p w14:paraId="442F8085" w14:textId="77777777" w:rsidR="00CC25B5" w:rsidRDefault="00900968">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442F8086"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087"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088" w14:textId="77777777" w:rsidR="00CC25B5" w:rsidRDefault="00900968">
            <w:pPr>
              <w:jc w:val="right"/>
              <w:textAlignment w:val="center"/>
            </w:pPr>
            <w:r>
              <w:rPr>
                <w:rFonts w:ascii="Times New Roman" w:eastAsia="宋体" w:hAnsi="Times New Roman"/>
                <w:color w:val="000000"/>
                <w:sz w:val="16"/>
                <w:szCs w:val="16"/>
              </w:rPr>
              <w:t>861 </w:t>
            </w:r>
          </w:p>
        </w:tc>
        <w:tc>
          <w:tcPr>
            <w:tcW w:w="0" w:type="auto"/>
            <w:shd w:val="clear" w:color="auto" w:fill="CCEEFF"/>
            <w:tcMar>
              <w:top w:w="40" w:type="dxa"/>
              <w:left w:w="0" w:type="dxa"/>
              <w:bottom w:w="40" w:type="dxa"/>
              <w:right w:w="20" w:type="dxa"/>
            </w:tcMar>
            <w:vAlign w:val="center"/>
          </w:tcPr>
          <w:p w14:paraId="442F8089"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8A"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08B"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08C" w14:textId="77777777" w:rsidR="00CC25B5" w:rsidRDefault="00900968">
            <w:pPr>
              <w:jc w:val="right"/>
              <w:textAlignment w:val="center"/>
            </w:pPr>
            <w:r>
              <w:rPr>
                <w:rFonts w:ascii="Times New Roman" w:eastAsia="宋体" w:hAnsi="Times New Roman"/>
                <w:color w:val="000000"/>
                <w:sz w:val="16"/>
                <w:szCs w:val="16"/>
              </w:rPr>
              <w:t>812 </w:t>
            </w:r>
          </w:p>
        </w:tc>
        <w:tc>
          <w:tcPr>
            <w:tcW w:w="0" w:type="auto"/>
            <w:shd w:val="clear" w:color="auto" w:fill="CCEEFF"/>
            <w:tcMar>
              <w:top w:w="40" w:type="dxa"/>
              <w:left w:w="0" w:type="dxa"/>
              <w:bottom w:w="40" w:type="dxa"/>
              <w:right w:w="20" w:type="dxa"/>
            </w:tcMar>
            <w:vAlign w:val="center"/>
          </w:tcPr>
          <w:p w14:paraId="442F808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8E"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08F"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090" w14:textId="77777777" w:rsidR="00CC25B5" w:rsidRDefault="00900968">
            <w:pPr>
              <w:jc w:val="right"/>
              <w:textAlignment w:val="center"/>
            </w:pPr>
            <w:r>
              <w:rPr>
                <w:rFonts w:ascii="Times New Roman" w:eastAsia="宋体" w:hAnsi="Times New Roman"/>
                <w:color w:val="000000"/>
                <w:sz w:val="16"/>
                <w:szCs w:val="16"/>
              </w:rPr>
              <w:t>2,055 </w:t>
            </w:r>
          </w:p>
        </w:tc>
        <w:tc>
          <w:tcPr>
            <w:tcW w:w="0" w:type="auto"/>
            <w:shd w:val="clear" w:color="auto" w:fill="CCEEFF"/>
            <w:tcMar>
              <w:top w:w="40" w:type="dxa"/>
              <w:left w:w="0" w:type="dxa"/>
              <w:bottom w:w="40" w:type="dxa"/>
              <w:right w:w="20" w:type="dxa"/>
            </w:tcMar>
            <w:vAlign w:val="center"/>
          </w:tcPr>
          <w:p w14:paraId="442F809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92"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093"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094" w14:textId="77777777" w:rsidR="00CC25B5" w:rsidRDefault="00900968">
            <w:pPr>
              <w:jc w:val="right"/>
              <w:textAlignment w:val="center"/>
            </w:pPr>
            <w:r>
              <w:rPr>
                <w:rFonts w:ascii="Times New Roman" w:eastAsia="宋体" w:hAnsi="Times New Roman"/>
                <w:color w:val="000000"/>
                <w:sz w:val="16"/>
                <w:szCs w:val="16"/>
              </w:rPr>
              <w:t>1,618 </w:t>
            </w:r>
          </w:p>
        </w:tc>
        <w:tc>
          <w:tcPr>
            <w:tcW w:w="0" w:type="auto"/>
            <w:shd w:val="clear" w:color="auto" w:fill="CCEEFF"/>
            <w:tcMar>
              <w:top w:w="40" w:type="dxa"/>
              <w:left w:w="0" w:type="dxa"/>
              <w:bottom w:w="40" w:type="dxa"/>
              <w:right w:w="20" w:type="dxa"/>
            </w:tcMar>
            <w:vAlign w:val="center"/>
          </w:tcPr>
          <w:p w14:paraId="442F8095" w14:textId="77777777" w:rsidR="00CC25B5" w:rsidRDefault="00CC25B5">
            <w:pPr>
              <w:jc w:val="right"/>
              <w:rPr>
                <w:rFonts w:ascii="宋体"/>
              </w:rPr>
            </w:pPr>
          </w:p>
        </w:tc>
      </w:tr>
      <w:tr w:rsidR="00CC25B5" w14:paraId="442F80A4" w14:textId="77777777">
        <w:trPr>
          <w:jc w:val="center"/>
        </w:trPr>
        <w:tc>
          <w:tcPr>
            <w:tcW w:w="0" w:type="auto"/>
            <w:gridSpan w:val="3"/>
            <w:shd w:val="clear" w:color="auto" w:fill="FFFFFF"/>
            <w:tcMar>
              <w:top w:w="40" w:type="dxa"/>
              <w:left w:w="20" w:type="dxa"/>
              <w:bottom w:w="40" w:type="dxa"/>
              <w:right w:w="20" w:type="dxa"/>
            </w:tcMar>
            <w:vAlign w:val="center"/>
          </w:tcPr>
          <w:p w14:paraId="442F8097" w14:textId="77777777" w:rsidR="00CC25B5" w:rsidRDefault="00900968">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442F809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99" w14:textId="77777777" w:rsidR="00CC25B5" w:rsidRDefault="00900968">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442F809A"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09B"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9C" w14:textId="77777777" w:rsidR="00CC25B5" w:rsidRDefault="00900968">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42F809D"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09E"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9F" w14:textId="77777777" w:rsidR="00CC25B5" w:rsidRDefault="00900968">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442F80A0"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0A1"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A2" w14:textId="77777777" w:rsidR="00CC25B5" w:rsidRDefault="00900968">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42F80A3"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0B2" w14:textId="77777777">
        <w:trPr>
          <w:jc w:val="center"/>
        </w:trPr>
        <w:tc>
          <w:tcPr>
            <w:tcW w:w="0" w:type="auto"/>
            <w:gridSpan w:val="3"/>
            <w:shd w:val="clear" w:color="auto" w:fill="CCEEFF"/>
            <w:tcMar>
              <w:top w:w="40" w:type="dxa"/>
              <w:left w:w="20" w:type="dxa"/>
              <w:bottom w:w="40" w:type="dxa"/>
              <w:right w:w="20" w:type="dxa"/>
            </w:tcMar>
            <w:vAlign w:val="center"/>
          </w:tcPr>
          <w:p w14:paraId="442F80A5" w14:textId="77777777" w:rsidR="00CC25B5" w:rsidRDefault="00900968">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442F80A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A7" w14:textId="77777777" w:rsidR="00CC25B5" w:rsidRDefault="00900968">
            <w:pPr>
              <w:jc w:val="right"/>
              <w:textAlignment w:val="center"/>
            </w:pPr>
            <w:r>
              <w:rPr>
                <w:rFonts w:ascii="Times New Roman" w:eastAsia="宋体" w:hAnsi="Times New Roman"/>
                <w:color w:val="000000"/>
                <w:sz w:val="16"/>
                <w:szCs w:val="16"/>
              </w:rPr>
              <w:t>5,185 </w:t>
            </w:r>
          </w:p>
        </w:tc>
        <w:tc>
          <w:tcPr>
            <w:tcW w:w="0" w:type="auto"/>
            <w:shd w:val="clear" w:color="auto" w:fill="CCEEFF"/>
            <w:tcMar>
              <w:top w:w="40" w:type="dxa"/>
              <w:left w:w="0" w:type="dxa"/>
              <w:bottom w:w="40" w:type="dxa"/>
              <w:right w:w="20" w:type="dxa"/>
            </w:tcMar>
            <w:vAlign w:val="center"/>
          </w:tcPr>
          <w:p w14:paraId="442F80A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A9"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AA" w14:textId="77777777" w:rsidR="00CC25B5" w:rsidRDefault="00900968">
            <w:pPr>
              <w:jc w:val="right"/>
              <w:textAlignment w:val="center"/>
            </w:pPr>
            <w:r>
              <w:rPr>
                <w:rFonts w:ascii="Times New Roman" w:eastAsia="宋体" w:hAnsi="Times New Roman"/>
                <w:color w:val="000000"/>
                <w:sz w:val="16"/>
                <w:szCs w:val="16"/>
              </w:rPr>
              <w:t>6,143 </w:t>
            </w:r>
          </w:p>
        </w:tc>
        <w:tc>
          <w:tcPr>
            <w:tcW w:w="0" w:type="auto"/>
            <w:shd w:val="clear" w:color="auto" w:fill="CCEEFF"/>
            <w:tcMar>
              <w:top w:w="40" w:type="dxa"/>
              <w:left w:w="0" w:type="dxa"/>
              <w:bottom w:w="40" w:type="dxa"/>
              <w:right w:w="20" w:type="dxa"/>
            </w:tcMar>
            <w:vAlign w:val="center"/>
          </w:tcPr>
          <w:p w14:paraId="442F80A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AC"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AD" w14:textId="77777777" w:rsidR="00CC25B5" w:rsidRDefault="00900968">
            <w:pPr>
              <w:jc w:val="right"/>
              <w:textAlignment w:val="center"/>
            </w:pPr>
            <w:r>
              <w:rPr>
                <w:rFonts w:ascii="Times New Roman" w:eastAsia="宋体" w:hAnsi="Times New Roman"/>
                <w:color w:val="000000"/>
                <w:sz w:val="16"/>
                <w:szCs w:val="16"/>
              </w:rPr>
              <w:t>5,185 </w:t>
            </w:r>
          </w:p>
        </w:tc>
        <w:tc>
          <w:tcPr>
            <w:tcW w:w="0" w:type="auto"/>
            <w:shd w:val="clear" w:color="auto" w:fill="CCEEFF"/>
            <w:tcMar>
              <w:top w:w="40" w:type="dxa"/>
              <w:left w:w="0" w:type="dxa"/>
              <w:bottom w:w="40" w:type="dxa"/>
              <w:right w:w="20" w:type="dxa"/>
            </w:tcMar>
            <w:vAlign w:val="center"/>
          </w:tcPr>
          <w:p w14:paraId="442F80AE"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0AF"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0B0" w14:textId="77777777" w:rsidR="00CC25B5" w:rsidRDefault="00900968">
            <w:pPr>
              <w:jc w:val="right"/>
              <w:textAlignment w:val="center"/>
            </w:pPr>
            <w:r>
              <w:rPr>
                <w:rFonts w:ascii="Times New Roman" w:eastAsia="宋体" w:hAnsi="Times New Roman"/>
                <w:color w:val="000000"/>
                <w:sz w:val="16"/>
                <w:szCs w:val="16"/>
              </w:rPr>
              <w:t>6,143 </w:t>
            </w:r>
          </w:p>
        </w:tc>
        <w:tc>
          <w:tcPr>
            <w:tcW w:w="0" w:type="auto"/>
            <w:shd w:val="clear" w:color="auto" w:fill="CCEEFF"/>
            <w:tcMar>
              <w:top w:w="40" w:type="dxa"/>
              <w:left w:w="0" w:type="dxa"/>
              <w:bottom w:w="40" w:type="dxa"/>
              <w:right w:w="20" w:type="dxa"/>
            </w:tcMar>
            <w:vAlign w:val="center"/>
          </w:tcPr>
          <w:p w14:paraId="442F80B1" w14:textId="77777777" w:rsidR="00CC25B5" w:rsidRDefault="00CC25B5">
            <w:pPr>
              <w:jc w:val="right"/>
              <w:rPr>
                <w:rFonts w:ascii="宋体"/>
              </w:rPr>
            </w:pPr>
          </w:p>
        </w:tc>
      </w:tr>
      <w:tr w:rsidR="00CC25B5" w14:paraId="442F80C0" w14:textId="77777777">
        <w:trPr>
          <w:jc w:val="center"/>
        </w:trPr>
        <w:tc>
          <w:tcPr>
            <w:tcW w:w="0" w:type="auto"/>
            <w:gridSpan w:val="3"/>
            <w:shd w:val="clear" w:color="auto" w:fill="FFFFFF"/>
            <w:tcMar>
              <w:top w:w="40" w:type="dxa"/>
              <w:left w:w="20" w:type="dxa"/>
              <w:bottom w:w="40" w:type="dxa"/>
              <w:right w:w="20" w:type="dxa"/>
            </w:tcMar>
            <w:vAlign w:val="center"/>
          </w:tcPr>
          <w:p w14:paraId="442F80B3" w14:textId="77777777" w:rsidR="00CC25B5" w:rsidRDefault="00900968">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442F80B4"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B5" w14:textId="77777777" w:rsidR="00CC25B5" w:rsidRDefault="00900968">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442F80B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B7"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B8" w14:textId="77777777" w:rsidR="00CC25B5" w:rsidRDefault="00900968">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442F80B9"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BA"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BB" w14:textId="77777777" w:rsidR="00CC25B5" w:rsidRDefault="00900968">
            <w:pPr>
              <w:jc w:val="right"/>
              <w:textAlignment w:val="center"/>
            </w:pPr>
            <w:r>
              <w:rPr>
                <w:rFonts w:ascii="Times New Roman" w:eastAsia="宋体" w:hAnsi="Times New Roman"/>
                <w:color w:val="000000"/>
                <w:sz w:val="16"/>
                <w:szCs w:val="16"/>
              </w:rPr>
              <w:t>280 </w:t>
            </w:r>
          </w:p>
        </w:tc>
        <w:tc>
          <w:tcPr>
            <w:tcW w:w="0" w:type="auto"/>
            <w:shd w:val="clear" w:color="auto" w:fill="FFFFFF"/>
            <w:tcMar>
              <w:top w:w="40" w:type="dxa"/>
              <w:left w:w="0" w:type="dxa"/>
              <w:bottom w:w="40" w:type="dxa"/>
              <w:right w:w="20" w:type="dxa"/>
            </w:tcMar>
            <w:vAlign w:val="center"/>
          </w:tcPr>
          <w:p w14:paraId="442F80BC"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0BD"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0BE" w14:textId="77777777" w:rsidR="00CC25B5" w:rsidRDefault="00900968">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442F80BF" w14:textId="77777777" w:rsidR="00CC25B5" w:rsidRDefault="00CC25B5">
            <w:pPr>
              <w:jc w:val="right"/>
              <w:rPr>
                <w:rFonts w:ascii="宋体"/>
              </w:rPr>
            </w:pPr>
          </w:p>
        </w:tc>
      </w:tr>
    </w:tbl>
    <w:p w14:paraId="442F80C1" w14:textId="77777777" w:rsidR="00CC25B5" w:rsidRDefault="00900968">
      <w:pPr>
        <w:spacing w:before="60"/>
      </w:pPr>
      <w:r>
        <w:rPr>
          <w:rFonts w:ascii="Times New Roman" w:eastAsia="宋体" w:hAnsi="Times New Roman"/>
          <w:color w:val="000000"/>
          <w:sz w:val="20"/>
          <w:szCs w:val="20"/>
        </w:rPr>
        <w:t>Net sales for the Walmart International segment decreased $4.1 billion or 15.2% and $6.6 billion or 11.6% for the three and six months ended July 31, 2021, respectively, when compared to the s</w:t>
      </w:r>
      <w:r>
        <w:rPr>
          <w:rFonts w:ascii="Times New Roman" w:eastAsia="宋体" w:hAnsi="Times New Roman"/>
          <w:color w:val="000000"/>
          <w:sz w:val="20"/>
          <w:szCs w:val="20"/>
        </w:rPr>
        <w:t xml:space="preserve">ame periods in the previous fiscal year. The reduction in net </w:t>
      </w:r>
    </w:p>
    <w:p w14:paraId="442F80C2" w14:textId="77777777" w:rsidR="00CC25B5" w:rsidRDefault="00900968">
      <w:pPr>
        <w:jc w:val="center"/>
      </w:pPr>
      <w:r>
        <w:rPr>
          <w:rFonts w:ascii="Times New Roman" w:eastAsia="宋体" w:hAnsi="Times New Roman"/>
          <w:color w:val="000000"/>
          <w:sz w:val="20"/>
          <w:szCs w:val="20"/>
        </w:rPr>
        <w:t>21</w:t>
      </w:r>
    </w:p>
    <w:p w14:paraId="442F80C3" w14:textId="77777777" w:rsidR="00CC25B5" w:rsidRDefault="00900968">
      <w:r>
        <w:pict w14:anchorId="442F85DE">
          <v:rect id="_x0000_i1045" style="width:415.3pt;height:1.5pt" o:hralign="center" o:hrstd="t" o:hr="t" fillcolor="#a0a0a0" stroked="f"/>
        </w:pict>
      </w:r>
    </w:p>
    <w:p w14:paraId="442F80C4" w14:textId="77777777" w:rsidR="00CC25B5" w:rsidRDefault="00900968">
      <w:hyperlink r:id="rId68" w:anchor="ie1710166881948a18c44f48eaa2dcf00_7" w:history="1">
        <w:r>
          <w:rPr>
            <w:rStyle w:val="a5"/>
            <w:rFonts w:ascii="Times New Roman" w:eastAsia="宋体" w:hAnsi="Times New Roman"/>
            <w:sz w:val="20"/>
            <w:szCs w:val="20"/>
          </w:rPr>
          <w:t>Table of Contents</w:t>
        </w:r>
      </w:hyperlink>
    </w:p>
    <w:p w14:paraId="442F80C5" w14:textId="77777777" w:rsidR="00CC25B5" w:rsidRDefault="00900968">
      <w:pPr>
        <w:spacing w:before="60"/>
      </w:pPr>
      <w:r>
        <w:rPr>
          <w:rFonts w:ascii="Times New Roman" w:eastAsia="宋体" w:hAnsi="Times New Roman"/>
          <w:color w:val="000000"/>
          <w:sz w:val="20"/>
          <w:szCs w:val="20"/>
        </w:rPr>
        <w:t>sales was due to d</w:t>
      </w:r>
      <w:r>
        <w:rPr>
          <w:rFonts w:ascii="Times New Roman" w:eastAsia="宋体" w:hAnsi="Times New Roman"/>
          <w:color w:val="000000"/>
          <w:sz w:val="20"/>
          <w:szCs w:val="20"/>
        </w:rPr>
        <w:t>ecreases of $8.9 billion and $13.1 billion for the three and six months ended July 31, 2021, respectively, primarily related to the divestiture of Asda and Seiyu during the first quarter of fiscal 2022. The decreases were partially offset by positive net s</w:t>
      </w:r>
      <w:r>
        <w:rPr>
          <w:rFonts w:ascii="Times New Roman" w:eastAsia="宋体" w:hAnsi="Times New Roman"/>
          <w:color w:val="000000"/>
          <w:sz w:val="20"/>
          <w:szCs w:val="20"/>
        </w:rPr>
        <w:t>ales growth in several of our remaining markets, which included a benefit from lapping tighter government-mandated restrictions in the prior comparable periods, primarily in India. Net sales for the three and six months ended July 31, 2021 included positiv</w:t>
      </w:r>
      <w:r>
        <w:rPr>
          <w:rFonts w:ascii="Times New Roman" w:eastAsia="宋体" w:hAnsi="Times New Roman"/>
          <w:color w:val="000000"/>
          <w:sz w:val="20"/>
          <w:szCs w:val="20"/>
        </w:rPr>
        <w:t>e fluctuations in currency exchange rates of $2.4 billion and $3.3 billion, respectively.</w:t>
      </w:r>
    </w:p>
    <w:p w14:paraId="442F80C6" w14:textId="77777777" w:rsidR="00CC25B5" w:rsidRDefault="00900968">
      <w:pPr>
        <w:spacing w:before="100"/>
      </w:pPr>
      <w:r>
        <w:rPr>
          <w:rFonts w:ascii="Times New Roman" w:eastAsia="宋体" w:hAnsi="Times New Roman"/>
          <w:color w:val="000000"/>
          <w:sz w:val="20"/>
          <w:szCs w:val="20"/>
        </w:rPr>
        <w:t>Gross profit rate decreased 76 basis points for the three months ended July 31, 2021 when compared to the same period in the prior fiscal year, primarily driven by sh</w:t>
      </w:r>
      <w:r>
        <w:rPr>
          <w:rFonts w:ascii="Times New Roman" w:eastAsia="宋体" w:hAnsi="Times New Roman"/>
          <w:color w:val="000000"/>
          <w:sz w:val="20"/>
          <w:szCs w:val="20"/>
        </w:rPr>
        <w:t>ifts into lower margin formats, partially offset by lower markdowns. The divested markets also negatively impacted our gross profit rate. Gross profit rate decreased 14 basis points for the six months ended July 31, 2021, when compared to the same period i</w:t>
      </w:r>
      <w:r>
        <w:rPr>
          <w:rFonts w:ascii="Times New Roman" w:eastAsia="宋体" w:hAnsi="Times New Roman"/>
          <w:color w:val="000000"/>
          <w:sz w:val="20"/>
          <w:szCs w:val="20"/>
        </w:rPr>
        <w:t>n the previous fiscal year primarily driven by shifts into lower margin formats and the decrease related to our divested markets, partially offset by benefits in the first quarter of fiscal 2022 related to mix shifts into higher margin categories and lower</w:t>
      </w:r>
      <w:r>
        <w:rPr>
          <w:rFonts w:ascii="Times New Roman" w:eastAsia="宋体" w:hAnsi="Times New Roman"/>
          <w:color w:val="000000"/>
          <w:sz w:val="20"/>
          <w:szCs w:val="20"/>
        </w:rPr>
        <w:t xml:space="preserve"> markdowns. </w:t>
      </w:r>
    </w:p>
    <w:p w14:paraId="442F80C7" w14:textId="77777777" w:rsidR="00CC25B5" w:rsidRDefault="00900968">
      <w:pPr>
        <w:spacing w:before="100"/>
      </w:pPr>
      <w:r>
        <w:rPr>
          <w:rFonts w:ascii="Times New Roman" w:eastAsia="宋体" w:hAnsi="Times New Roman"/>
          <w:color w:val="000000"/>
          <w:sz w:val="20"/>
          <w:szCs w:val="20"/>
        </w:rPr>
        <w:t>Operating expenses as a percentage of net sales decreased 85 basis points and 87 basis points for the three and six months ended July 31, 2021, respectively, when compared to the same periods in the previous fiscal year. For the three months e</w:t>
      </w:r>
      <w:r>
        <w:rPr>
          <w:rFonts w:ascii="Times New Roman" w:eastAsia="宋体" w:hAnsi="Times New Roman"/>
          <w:color w:val="000000"/>
          <w:sz w:val="20"/>
          <w:szCs w:val="20"/>
        </w:rPr>
        <w:t>nded July 31, 2021, the decrease was primarily due to lower incremental COVID-19 related costs as compared to the prior period and lapping a discrete tax charge in the prior comparable period. For the six months ended July 31, 2021, the decrease was primar</w:t>
      </w:r>
      <w:r>
        <w:rPr>
          <w:rFonts w:ascii="Times New Roman" w:eastAsia="宋体" w:hAnsi="Times New Roman"/>
          <w:color w:val="000000"/>
          <w:sz w:val="20"/>
          <w:szCs w:val="20"/>
        </w:rPr>
        <w:t>ily due to lower incremental COVID-19 related costs, depreciation and amortization expense not having been recorded for our operations in the U.K. and Japan subsequent to their held for sale classification at the end of fiscal 2021 and prior to closing dur</w:t>
      </w:r>
      <w:r>
        <w:rPr>
          <w:rFonts w:ascii="Times New Roman" w:eastAsia="宋体" w:hAnsi="Times New Roman"/>
          <w:color w:val="000000"/>
          <w:sz w:val="20"/>
          <w:szCs w:val="20"/>
        </w:rPr>
        <w:t>ing the first quarter of fiscal 2022, as well as lapping the discrete tax charge.</w:t>
      </w:r>
    </w:p>
    <w:p w14:paraId="442F80C8" w14:textId="77777777" w:rsidR="00CC25B5" w:rsidRDefault="00900968">
      <w:pPr>
        <w:spacing w:before="100"/>
      </w:pPr>
      <w:r>
        <w:rPr>
          <w:rFonts w:ascii="Times New Roman" w:eastAsia="宋体" w:hAnsi="Times New Roman"/>
          <w:color w:val="000000"/>
          <w:sz w:val="20"/>
          <w:szCs w:val="20"/>
        </w:rPr>
        <w:t>As a result of the factors discussed above, operating income increased $49 million and $437 million for the three and six months ended July 31, 2021, respectively, when compa</w:t>
      </w:r>
      <w:r>
        <w:rPr>
          <w:rFonts w:ascii="Times New Roman" w:eastAsia="宋体" w:hAnsi="Times New Roman"/>
          <w:color w:val="000000"/>
          <w:sz w:val="20"/>
          <w:szCs w:val="20"/>
        </w:rPr>
        <w:t xml:space="preserve">red to the same periods in the previous fiscal year. </w:t>
      </w:r>
    </w:p>
    <w:p w14:paraId="442F80C9" w14:textId="77777777" w:rsidR="00CC25B5" w:rsidRDefault="00900968">
      <w:pPr>
        <w:spacing w:before="24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15"/>
        <w:gridCol w:w="37"/>
        <w:gridCol w:w="36"/>
        <w:gridCol w:w="36"/>
        <w:gridCol w:w="36"/>
        <w:gridCol w:w="100"/>
        <w:gridCol w:w="674"/>
        <w:gridCol w:w="154"/>
        <w:gridCol w:w="36"/>
        <w:gridCol w:w="36"/>
        <w:gridCol w:w="36"/>
        <w:gridCol w:w="100"/>
        <w:gridCol w:w="674"/>
        <w:gridCol w:w="154"/>
        <w:gridCol w:w="36"/>
        <w:gridCol w:w="36"/>
        <w:gridCol w:w="36"/>
        <w:gridCol w:w="100"/>
        <w:gridCol w:w="674"/>
        <w:gridCol w:w="154"/>
        <w:gridCol w:w="36"/>
        <w:gridCol w:w="36"/>
        <w:gridCol w:w="36"/>
        <w:gridCol w:w="100"/>
        <w:gridCol w:w="676"/>
        <w:gridCol w:w="154"/>
      </w:tblGrid>
      <w:tr w:rsidR="00CC25B5" w14:paraId="442F80E5" w14:textId="77777777">
        <w:trPr>
          <w:jc w:val="center"/>
        </w:trPr>
        <w:tc>
          <w:tcPr>
            <w:tcW w:w="50" w:type="pct"/>
            <w:shd w:val="clear" w:color="auto" w:fill="auto"/>
            <w:vAlign w:val="bottom"/>
          </w:tcPr>
          <w:p w14:paraId="442F80CA" w14:textId="77777777" w:rsidR="00CC25B5" w:rsidRDefault="00CC25B5">
            <w:pPr>
              <w:rPr>
                <w:rFonts w:ascii="宋体"/>
              </w:rPr>
            </w:pPr>
          </w:p>
        </w:tc>
        <w:tc>
          <w:tcPr>
            <w:tcW w:w="2547" w:type="pct"/>
            <w:shd w:val="clear" w:color="auto" w:fill="auto"/>
            <w:vAlign w:val="bottom"/>
          </w:tcPr>
          <w:p w14:paraId="442F80CB" w14:textId="77777777" w:rsidR="00CC25B5" w:rsidRDefault="00CC25B5">
            <w:pPr>
              <w:rPr>
                <w:rFonts w:ascii="宋体"/>
              </w:rPr>
            </w:pPr>
          </w:p>
        </w:tc>
        <w:tc>
          <w:tcPr>
            <w:tcW w:w="5" w:type="pct"/>
            <w:shd w:val="clear" w:color="auto" w:fill="auto"/>
            <w:vAlign w:val="bottom"/>
          </w:tcPr>
          <w:p w14:paraId="442F80CC" w14:textId="77777777" w:rsidR="00CC25B5" w:rsidRDefault="00CC25B5">
            <w:pPr>
              <w:rPr>
                <w:rFonts w:ascii="宋体"/>
              </w:rPr>
            </w:pPr>
          </w:p>
        </w:tc>
        <w:tc>
          <w:tcPr>
            <w:tcW w:w="5" w:type="pct"/>
            <w:shd w:val="clear" w:color="auto" w:fill="auto"/>
            <w:vAlign w:val="bottom"/>
          </w:tcPr>
          <w:p w14:paraId="442F80CD" w14:textId="77777777" w:rsidR="00CC25B5" w:rsidRDefault="00CC25B5">
            <w:pPr>
              <w:rPr>
                <w:rFonts w:ascii="宋体"/>
              </w:rPr>
            </w:pPr>
          </w:p>
        </w:tc>
        <w:tc>
          <w:tcPr>
            <w:tcW w:w="26" w:type="pct"/>
            <w:shd w:val="clear" w:color="auto" w:fill="auto"/>
            <w:vAlign w:val="bottom"/>
          </w:tcPr>
          <w:p w14:paraId="442F80CE" w14:textId="77777777" w:rsidR="00CC25B5" w:rsidRDefault="00CC25B5">
            <w:pPr>
              <w:rPr>
                <w:rFonts w:ascii="宋体"/>
              </w:rPr>
            </w:pPr>
          </w:p>
        </w:tc>
        <w:tc>
          <w:tcPr>
            <w:tcW w:w="5" w:type="pct"/>
            <w:shd w:val="clear" w:color="auto" w:fill="auto"/>
            <w:vAlign w:val="bottom"/>
          </w:tcPr>
          <w:p w14:paraId="442F80CF" w14:textId="77777777" w:rsidR="00CC25B5" w:rsidRDefault="00CC25B5">
            <w:pPr>
              <w:rPr>
                <w:rFonts w:ascii="宋体"/>
              </w:rPr>
            </w:pPr>
          </w:p>
        </w:tc>
        <w:tc>
          <w:tcPr>
            <w:tcW w:w="50" w:type="pct"/>
            <w:shd w:val="clear" w:color="auto" w:fill="auto"/>
            <w:vAlign w:val="bottom"/>
          </w:tcPr>
          <w:p w14:paraId="442F80D0" w14:textId="77777777" w:rsidR="00CC25B5" w:rsidRDefault="00CC25B5">
            <w:pPr>
              <w:rPr>
                <w:rFonts w:ascii="宋体"/>
              </w:rPr>
            </w:pPr>
          </w:p>
        </w:tc>
        <w:tc>
          <w:tcPr>
            <w:tcW w:w="507" w:type="pct"/>
            <w:shd w:val="clear" w:color="auto" w:fill="auto"/>
            <w:vAlign w:val="bottom"/>
          </w:tcPr>
          <w:p w14:paraId="442F80D1" w14:textId="77777777" w:rsidR="00CC25B5" w:rsidRDefault="00CC25B5">
            <w:pPr>
              <w:rPr>
                <w:rFonts w:ascii="宋体"/>
              </w:rPr>
            </w:pPr>
          </w:p>
        </w:tc>
        <w:tc>
          <w:tcPr>
            <w:tcW w:w="5" w:type="pct"/>
            <w:shd w:val="clear" w:color="auto" w:fill="auto"/>
            <w:vAlign w:val="bottom"/>
          </w:tcPr>
          <w:p w14:paraId="442F80D2" w14:textId="77777777" w:rsidR="00CC25B5" w:rsidRDefault="00CC25B5">
            <w:pPr>
              <w:rPr>
                <w:rFonts w:ascii="宋体"/>
              </w:rPr>
            </w:pPr>
          </w:p>
        </w:tc>
        <w:tc>
          <w:tcPr>
            <w:tcW w:w="5" w:type="pct"/>
            <w:shd w:val="clear" w:color="auto" w:fill="auto"/>
            <w:vAlign w:val="bottom"/>
          </w:tcPr>
          <w:p w14:paraId="442F80D3" w14:textId="77777777" w:rsidR="00CC25B5" w:rsidRDefault="00CC25B5">
            <w:pPr>
              <w:rPr>
                <w:rFonts w:ascii="宋体"/>
              </w:rPr>
            </w:pPr>
          </w:p>
        </w:tc>
        <w:tc>
          <w:tcPr>
            <w:tcW w:w="26" w:type="pct"/>
            <w:shd w:val="clear" w:color="auto" w:fill="auto"/>
            <w:vAlign w:val="bottom"/>
          </w:tcPr>
          <w:p w14:paraId="442F80D4" w14:textId="77777777" w:rsidR="00CC25B5" w:rsidRDefault="00CC25B5">
            <w:pPr>
              <w:rPr>
                <w:rFonts w:ascii="宋体"/>
              </w:rPr>
            </w:pPr>
          </w:p>
        </w:tc>
        <w:tc>
          <w:tcPr>
            <w:tcW w:w="5" w:type="pct"/>
            <w:shd w:val="clear" w:color="auto" w:fill="auto"/>
            <w:vAlign w:val="bottom"/>
          </w:tcPr>
          <w:p w14:paraId="442F80D5" w14:textId="77777777" w:rsidR="00CC25B5" w:rsidRDefault="00CC25B5">
            <w:pPr>
              <w:rPr>
                <w:rFonts w:ascii="宋体"/>
              </w:rPr>
            </w:pPr>
          </w:p>
        </w:tc>
        <w:tc>
          <w:tcPr>
            <w:tcW w:w="50" w:type="pct"/>
            <w:shd w:val="clear" w:color="auto" w:fill="auto"/>
            <w:vAlign w:val="bottom"/>
          </w:tcPr>
          <w:p w14:paraId="442F80D6" w14:textId="77777777" w:rsidR="00CC25B5" w:rsidRDefault="00CC25B5">
            <w:pPr>
              <w:rPr>
                <w:rFonts w:ascii="宋体"/>
              </w:rPr>
            </w:pPr>
          </w:p>
        </w:tc>
        <w:tc>
          <w:tcPr>
            <w:tcW w:w="507" w:type="pct"/>
            <w:shd w:val="clear" w:color="auto" w:fill="auto"/>
            <w:vAlign w:val="bottom"/>
          </w:tcPr>
          <w:p w14:paraId="442F80D7" w14:textId="77777777" w:rsidR="00CC25B5" w:rsidRDefault="00CC25B5">
            <w:pPr>
              <w:rPr>
                <w:rFonts w:ascii="宋体"/>
              </w:rPr>
            </w:pPr>
          </w:p>
        </w:tc>
        <w:tc>
          <w:tcPr>
            <w:tcW w:w="5" w:type="pct"/>
            <w:shd w:val="clear" w:color="auto" w:fill="auto"/>
            <w:vAlign w:val="bottom"/>
          </w:tcPr>
          <w:p w14:paraId="442F80D8" w14:textId="77777777" w:rsidR="00CC25B5" w:rsidRDefault="00CC25B5">
            <w:pPr>
              <w:rPr>
                <w:rFonts w:ascii="宋体"/>
              </w:rPr>
            </w:pPr>
          </w:p>
        </w:tc>
        <w:tc>
          <w:tcPr>
            <w:tcW w:w="5" w:type="pct"/>
            <w:shd w:val="clear" w:color="auto" w:fill="auto"/>
            <w:vAlign w:val="bottom"/>
          </w:tcPr>
          <w:p w14:paraId="442F80D9" w14:textId="77777777" w:rsidR="00CC25B5" w:rsidRDefault="00CC25B5">
            <w:pPr>
              <w:rPr>
                <w:rFonts w:ascii="宋体"/>
              </w:rPr>
            </w:pPr>
          </w:p>
        </w:tc>
        <w:tc>
          <w:tcPr>
            <w:tcW w:w="26" w:type="pct"/>
            <w:shd w:val="clear" w:color="auto" w:fill="auto"/>
            <w:vAlign w:val="bottom"/>
          </w:tcPr>
          <w:p w14:paraId="442F80DA" w14:textId="77777777" w:rsidR="00CC25B5" w:rsidRDefault="00CC25B5">
            <w:pPr>
              <w:rPr>
                <w:rFonts w:ascii="宋体"/>
              </w:rPr>
            </w:pPr>
          </w:p>
        </w:tc>
        <w:tc>
          <w:tcPr>
            <w:tcW w:w="5" w:type="pct"/>
            <w:shd w:val="clear" w:color="auto" w:fill="auto"/>
            <w:vAlign w:val="bottom"/>
          </w:tcPr>
          <w:p w14:paraId="442F80DB" w14:textId="77777777" w:rsidR="00CC25B5" w:rsidRDefault="00CC25B5">
            <w:pPr>
              <w:rPr>
                <w:rFonts w:ascii="宋体"/>
              </w:rPr>
            </w:pPr>
          </w:p>
        </w:tc>
        <w:tc>
          <w:tcPr>
            <w:tcW w:w="50" w:type="pct"/>
            <w:shd w:val="clear" w:color="auto" w:fill="auto"/>
            <w:vAlign w:val="bottom"/>
          </w:tcPr>
          <w:p w14:paraId="442F80DC" w14:textId="77777777" w:rsidR="00CC25B5" w:rsidRDefault="00CC25B5">
            <w:pPr>
              <w:rPr>
                <w:rFonts w:ascii="宋体"/>
              </w:rPr>
            </w:pPr>
          </w:p>
        </w:tc>
        <w:tc>
          <w:tcPr>
            <w:tcW w:w="507" w:type="pct"/>
            <w:shd w:val="clear" w:color="auto" w:fill="auto"/>
            <w:vAlign w:val="bottom"/>
          </w:tcPr>
          <w:p w14:paraId="442F80DD" w14:textId="77777777" w:rsidR="00CC25B5" w:rsidRDefault="00CC25B5">
            <w:pPr>
              <w:rPr>
                <w:rFonts w:ascii="宋体"/>
              </w:rPr>
            </w:pPr>
          </w:p>
        </w:tc>
        <w:tc>
          <w:tcPr>
            <w:tcW w:w="5" w:type="pct"/>
            <w:shd w:val="clear" w:color="auto" w:fill="auto"/>
            <w:vAlign w:val="bottom"/>
          </w:tcPr>
          <w:p w14:paraId="442F80DE" w14:textId="77777777" w:rsidR="00CC25B5" w:rsidRDefault="00CC25B5">
            <w:pPr>
              <w:rPr>
                <w:rFonts w:ascii="宋体"/>
              </w:rPr>
            </w:pPr>
          </w:p>
        </w:tc>
        <w:tc>
          <w:tcPr>
            <w:tcW w:w="5" w:type="pct"/>
            <w:shd w:val="clear" w:color="auto" w:fill="auto"/>
            <w:vAlign w:val="bottom"/>
          </w:tcPr>
          <w:p w14:paraId="442F80DF" w14:textId="77777777" w:rsidR="00CC25B5" w:rsidRDefault="00CC25B5">
            <w:pPr>
              <w:rPr>
                <w:rFonts w:ascii="宋体"/>
              </w:rPr>
            </w:pPr>
          </w:p>
        </w:tc>
        <w:tc>
          <w:tcPr>
            <w:tcW w:w="26" w:type="pct"/>
            <w:shd w:val="clear" w:color="auto" w:fill="auto"/>
            <w:vAlign w:val="bottom"/>
          </w:tcPr>
          <w:p w14:paraId="442F80E0" w14:textId="77777777" w:rsidR="00CC25B5" w:rsidRDefault="00CC25B5">
            <w:pPr>
              <w:rPr>
                <w:rFonts w:ascii="宋体"/>
              </w:rPr>
            </w:pPr>
          </w:p>
        </w:tc>
        <w:tc>
          <w:tcPr>
            <w:tcW w:w="5" w:type="pct"/>
            <w:shd w:val="clear" w:color="auto" w:fill="auto"/>
            <w:vAlign w:val="bottom"/>
          </w:tcPr>
          <w:p w14:paraId="442F80E1" w14:textId="77777777" w:rsidR="00CC25B5" w:rsidRDefault="00CC25B5">
            <w:pPr>
              <w:rPr>
                <w:rFonts w:ascii="宋体"/>
              </w:rPr>
            </w:pPr>
          </w:p>
        </w:tc>
        <w:tc>
          <w:tcPr>
            <w:tcW w:w="50" w:type="pct"/>
            <w:shd w:val="clear" w:color="auto" w:fill="auto"/>
            <w:vAlign w:val="bottom"/>
          </w:tcPr>
          <w:p w14:paraId="442F80E2" w14:textId="77777777" w:rsidR="00CC25B5" w:rsidRDefault="00CC25B5">
            <w:pPr>
              <w:rPr>
                <w:rFonts w:ascii="宋体"/>
              </w:rPr>
            </w:pPr>
          </w:p>
        </w:tc>
        <w:tc>
          <w:tcPr>
            <w:tcW w:w="508" w:type="pct"/>
            <w:shd w:val="clear" w:color="auto" w:fill="auto"/>
            <w:vAlign w:val="bottom"/>
          </w:tcPr>
          <w:p w14:paraId="442F80E3" w14:textId="77777777" w:rsidR="00CC25B5" w:rsidRDefault="00CC25B5">
            <w:pPr>
              <w:rPr>
                <w:rFonts w:ascii="宋体"/>
              </w:rPr>
            </w:pPr>
          </w:p>
        </w:tc>
        <w:tc>
          <w:tcPr>
            <w:tcW w:w="5" w:type="pct"/>
            <w:shd w:val="clear" w:color="auto" w:fill="auto"/>
            <w:vAlign w:val="bottom"/>
          </w:tcPr>
          <w:p w14:paraId="442F80E4" w14:textId="77777777" w:rsidR="00CC25B5" w:rsidRDefault="00CC25B5">
            <w:pPr>
              <w:rPr>
                <w:rFonts w:ascii="宋体"/>
              </w:rPr>
            </w:pPr>
          </w:p>
        </w:tc>
      </w:tr>
      <w:tr w:rsidR="00CC25B5" w14:paraId="442F80EB" w14:textId="77777777">
        <w:trPr>
          <w:jc w:val="center"/>
        </w:trPr>
        <w:tc>
          <w:tcPr>
            <w:tcW w:w="0" w:type="auto"/>
            <w:gridSpan w:val="3"/>
            <w:shd w:val="clear" w:color="auto" w:fill="auto"/>
            <w:tcMar>
              <w:top w:w="40" w:type="dxa"/>
              <w:left w:w="20" w:type="dxa"/>
              <w:bottom w:w="40" w:type="dxa"/>
              <w:right w:w="20" w:type="dxa"/>
            </w:tcMar>
            <w:vAlign w:val="bottom"/>
          </w:tcPr>
          <w:p w14:paraId="442F80E6"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80E7"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center"/>
          </w:tcPr>
          <w:p w14:paraId="442F80E8" w14:textId="77777777" w:rsidR="00CC25B5" w:rsidRDefault="00900968">
            <w:pPr>
              <w:jc w:val="center"/>
              <w:textAlignment w:val="center"/>
            </w:pPr>
            <w:r>
              <w:rPr>
                <w:rFonts w:ascii="Times New Roman" w:eastAsia="宋体" w:hAnsi="Times New Roman"/>
                <w:b/>
                <w:bCs/>
                <w:color w:val="000000"/>
                <w:sz w:val="16"/>
                <w:szCs w:val="16"/>
              </w:rPr>
              <w:t>Three Months Ended July 31,</w:t>
            </w:r>
          </w:p>
        </w:tc>
        <w:tc>
          <w:tcPr>
            <w:tcW w:w="0" w:type="auto"/>
            <w:gridSpan w:val="3"/>
            <w:shd w:val="clear" w:color="auto" w:fill="auto"/>
            <w:tcMar>
              <w:top w:w="0" w:type="dxa"/>
              <w:left w:w="20" w:type="dxa"/>
              <w:bottom w:w="0" w:type="dxa"/>
              <w:right w:w="20" w:type="dxa"/>
            </w:tcMar>
            <w:vAlign w:val="bottom"/>
          </w:tcPr>
          <w:p w14:paraId="442F80E9" w14:textId="77777777" w:rsidR="00CC25B5" w:rsidRDefault="00CC25B5">
            <w:pPr>
              <w:rPr>
                <w:rFonts w:ascii="宋体"/>
              </w:rPr>
            </w:pPr>
          </w:p>
        </w:tc>
        <w:tc>
          <w:tcPr>
            <w:tcW w:w="0" w:type="auto"/>
            <w:gridSpan w:val="9"/>
            <w:shd w:val="clear" w:color="auto" w:fill="auto"/>
            <w:tcMar>
              <w:top w:w="40" w:type="dxa"/>
              <w:left w:w="20" w:type="dxa"/>
              <w:bottom w:w="40" w:type="dxa"/>
              <w:right w:w="20" w:type="dxa"/>
            </w:tcMar>
            <w:vAlign w:val="center"/>
          </w:tcPr>
          <w:p w14:paraId="442F80EA" w14:textId="77777777" w:rsidR="00CC25B5" w:rsidRDefault="00900968">
            <w:pPr>
              <w:jc w:val="center"/>
              <w:textAlignment w:val="center"/>
            </w:pPr>
            <w:r>
              <w:rPr>
                <w:rFonts w:ascii="Times New Roman" w:eastAsia="宋体" w:hAnsi="Times New Roman"/>
                <w:b/>
                <w:bCs/>
                <w:color w:val="000000"/>
                <w:sz w:val="16"/>
                <w:szCs w:val="16"/>
              </w:rPr>
              <w:t>Six Months Ended July 31,</w:t>
            </w:r>
          </w:p>
        </w:tc>
      </w:tr>
      <w:tr w:rsidR="00CC25B5" w14:paraId="442F80F5" w14:textId="77777777">
        <w:trPr>
          <w:jc w:val="center"/>
        </w:trPr>
        <w:tc>
          <w:tcPr>
            <w:tcW w:w="0" w:type="auto"/>
            <w:gridSpan w:val="3"/>
            <w:shd w:val="clear" w:color="auto" w:fill="auto"/>
            <w:tcMar>
              <w:top w:w="40" w:type="dxa"/>
              <w:left w:w="20" w:type="dxa"/>
              <w:bottom w:w="40" w:type="dxa"/>
              <w:right w:w="20" w:type="dxa"/>
            </w:tcMar>
            <w:vAlign w:val="bottom"/>
          </w:tcPr>
          <w:p w14:paraId="442F80EC" w14:textId="77777777" w:rsidR="00CC25B5" w:rsidRDefault="00900968">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442F80ED"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0EE"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EF"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0F0"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442F80F1"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0F2"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F3"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0F4"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80FF" w14:textId="77777777">
        <w:trPr>
          <w:jc w:val="center"/>
        </w:trPr>
        <w:tc>
          <w:tcPr>
            <w:tcW w:w="0" w:type="auto"/>
            <w:gridSpan w:val="3"/>
            <w:shd w:val="clear" w:color="auto" w:fill="auto"/>
            <w:tcMar>
              <w:top w:w="40" w:type="dxa"/>
              <w:left w:w="20" w:type="dxa"/>
              <w:bottom w:w="40" w:type="dxa"/>
              <w:right w:w="20" w:type="dxa"/>
            </w:tcMar>
            <w:vAlign w:val="center"/>
          </w:tcPr>
          <w:p w14:paraId="442F80F6" w14:textId="77777777" w:rsidR="00CC25B5" w:rsidRDefault="00900968">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auto"/>
            <w:tcMar>
              <w:top w:w="0" w:type="dxa"/>
              <w:left w:w="20" w:type="dxa"/>
              <w:bottom w:w="0" w:type="dxa"/>
              <w:right w:w="20" w:type="dxa"/>
            </w:tcMar>
            <w:vAlign w:val="bottom"/>
          </w:tcPr>
          <w:p w14:paraId="442F80F7"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F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0F9"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FA"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0FB"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FC"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0FD" w14:textId="77777777" w:rsidR="00CC25B5" w:rsidRDefault="00CC25B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0FE" w14:textId="77777777" w:rsidR="00CC25B5" w:rsidRDefault="00CC25B5">
            <w:pPr>
              <w:rPr>
                <w:rFonts w:ascii="宋体"/>
              </w:rPr>
            </w:pPr>
          </w:p>
        </w:tc>
      </w:tr>
      <w:tr w:rsidR="00CC25B5" w14:paraId="442F8111" w14:textId="77777777">
        <w:trPr>
          <w:jc w:val="center"/>
        </w:trPr>
        <w:tc>
          <w:tcPr>
            <w:tcW w:w="0" w:type="auto"/>
            <w:gridSpan w:val="3"/>
            <w:shd w:val="clear" w:color="auto" w:fill="CCEEFF"/>
            <w:tcMar>
              <w:top w:w="40" w:type="dxa"/>
              <w:left w:w="245" w:type="dxa"/>
              <w:bottom w:w="40" w:type="dxa"/>
              <w:right w:w="20" w:type="dxa"/>
            </w:tcMar>
            <w:vAlign w:val="center"/>
          </w:tcPr>
          <w:p w14:paraId="442F8100"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442F8101"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102"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103" w14:textId="77777777" w:rsidR="00CC25B5" w:rsidRDefault="00900968">
            <w:pPr>
              <w:jc w:val="right"/>
              <w:textAlignment w:val="center"/>
            </w:pPr>
            <w:r>
              <w:rPr>
                <w:rFonts w:ascii="Times New Roman" w:eastAsia="宋体" w:hAnsi="Times New Roman"/>
                <w:color w:val="000000"/>
                <w:sz w:val="16"/>
                <w:szCs w:val="16"/>
              </w:rPr>
              <w:t>18,644 </w:t>
            </w:r>
          </w:p>
        </w:tc>
        <w:tc>
          <w:tcPr>
            <w:tcW w:w="0" w:type="auto"/>
            <w:shd w:val="clear" w:color="auto" w:fill="CCEEFF"/>
            <w:tcMar>
              <w:top w:w="40" w:type="dxa"/>
              <w:left w:w="0" w:type="dxa"/>
              <w:bottom w:w="40" w:type="dxa"/>
              <w:right w:w="20" w:type="dxa"/>
            </w:tcMar>
            <w:vAlign w:val="center"/>
          </w:tcPr>
          <w:p w14:paraId="442F810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105"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106"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107" w14:textId="77777777" w:rsidR="00CC25B5" w:rsidRDefault="00900968">
            <w:pPr>
              <w:jc w:val="right"/>
              <w:textAlignment w:val="center"/>
            </w:pPr>
            <w:r>
              <w:rPr>
                <w:rFonts w:ascii="Times New Roman" w:eastAsia="宋体" w:hAnsi="Times New Roman"/>
                <w:color w:val="000000"/>
                <w:sz w:val="16"/>
                <w:szCs w:val="16"/>
              </w:rPr>
              <w:t>16,375 </w:t>
            </w:r>
          </w:p>
        </w:tc>
        <w:tc>
          <w:tcPr>
            <w:tcW w:w="0" w:type="auto"/>
            <w:shd w:val="clear" w:color="auto" w:fill="CCEEFF"/>
            <w:tcMar>
              <w:top w:w="40" w:type="dxa"/>
              <w:left w:w="0" w:type="dxa"/>
              <w:bottom w:w="40" w:type="dxa"/>
              <w:right w:w="20" w:type="dxa"/>
            </w:tcMar>
            <w:vAlign w:val="center"/>
          </w:tcPr>
          <w:p w14:paraId="442F810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109"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10A"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10B" w14:textId="77777777" w:rsidR="00CC25B5" w:rsidRDefault="00900968">
            <w:pPr>
              <w:jc w:val="right"/>
              <w:textAlignment w:val="center"/>
            </w:pPr>
            <w:r>
              <w:rPr>
                <w:rFonts w:ascii="Times New Roman" w:eastAsia="宋体" w:hAnsi="Times New Roman"/>
                <w:color w:val="000000"/>
                <w:sz w:val="16"/>
                <w:szCs w:val="16"/>
              </w:rPr>
              <w:t>35,336 </w:t>
            </w:r>
          </w:p>
        </w:tc>
        <w:tc>
          <w:tcPr>
            <w:tcW w:w="0" w:type="auto"/>
            <w:shd w:val="clear" w:color="auto" w:fill="CCEEFF"/>
            <w:tcMar>
              <w:top w:w="40" w:type="dxa"/>
              <w:left w:w="0" w:type="dxa"/>
              <w:bottom w:w="40" w:type="dxa"/>
              <w:right w:w="20" w:type="dxa"/>
            </w:tcMar>
            <w:vAlign w:val="center"/>
          </w:tcPr>
          <w:p w14:paraId="442F810C"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10D" w14:textId="77777777" w:rsidR="00CC25B5" w:rsidRDefault="00CC25B5">
            <w:pPr>
              <w:rPr>
                <w:rFonts w:ascii="宋体"/>
              </w:rPr>
            </w:pPr>
          </w:p>
        </w:tc>
        <w:tc>
          <w:tcPr>
            <w:tcW w:w="0" w:type="auto"/>
            <w:shd w:val="clear" w:color="auto" w:fill="CCEEFF"/>
            <w:tcMar>
              <w:top w:w="40" w:type="dxa"/>
              <w:left w:w="20" w:type="dxa"/>
              <w:bottom w:w="40" w:type="dxa"/>
              <w:right w:w="0" w:type="dxa"/>
            </w:tcMar>
            <w:vAlign w:val="center"/>
          </w:tcPr>
          <w:p w14:paraId="442F810E"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10F" w14:textId="77777777" w:rsidR="00CC25B5" w:rsidRDefault="00900968">
            <w:pPr>
              <w:jc w:val="right"/>
              <w:textAlignment w:val="center"/>
            </w:pPr>
            <w:r>
              <w:rPr>
                <w:rFonts w:ascii="Times New Roman" w:eastAsia="宋体" w:hAnsi="Times New Roman"/>
                <w:color w:val="000000"/>
                <w:sz w:val="16"/>
                <w:szCs w:val="16"/>
              </w:rPr>
              <w:t>31,538 </w:t>
            </w:r>
          </w:p>
        </w:tc>
        <w:tc>
          <w:tcPr>
            <w:tcW w:w="0" w:type="auto"/>
            <w:shd w:val="clear" w:color="auto" w:fill="CCEEFF"/>
            <w:tcMar>
              <w:top w:w="40" w:type="dxa"/>
              <w:left w:w="0" w:type="dxa"/>
              <w:bottom w:w="40" w:type="dxa"/>
              <w:right w:w="20" w:type="dxa"/>
            </w:tcMar>
            <w:vAlign w:val="center"/>
          </w:tcPr>
          <w:p w14:paraId="442F8110" w14:textId="77777777" w:rsidR="00CC25B5" w:rsidRDefault="00CC25B5">
            <w:pPr>
              <w:jc w:val="right"/>
              <w:rPr>
                <w:rFonts w:ascii="宋体"/>
              </w:rPr>
            </w:pPr>
          </w:p>
        </w:tc>
      </w:tr>
      <w:tr w:rsidR="00CC25B5" w14:paraId="442F811F" w14:textId="77777777">
        <w:trPr>
          <w:jc w:val="center"/>
        </w:trPr>
        <w:tc>
          <w:tcPr>
            <w:tcW w:w="0" w:type="auto"/>
            <w:gridSpan w:val="3"/>
            <w:shd w:val="clear" w:color="auto" w:fill="FFFFFF"/>
            <w:tcMar>
              <w:top w:w="40" w:type="dxa"/>
              <w:left w:w="245" w:type="dxa"/>
              <w:bottom w:w="40" w:type="dxa"/>
              <w:right w:w="20" w:type="dxa"/>
            </w:tcMar>
            <w:vAlign w:val="center"/>
          </w:tcPr>
          <w:p w14:paraId="442F8112"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442F811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14" w14:textId="77777777" w:rsidR="00CC25B5" w:rsidRDefault="00900968">
            <w:pPr>
              <w:jc w:val="right"/>
              <w:textAlignment w:val="center"/>
            </w:pPr>
            <w:r>
              <w:rPr>
                <w:rFonts w:ascii="Times New Roman" w:eastAsia="宋体" w:hAnsi="Times New Roman"/>
                <w:color w:val="000000"/>
                <w:sz w:val="16"/>
                <w:szCs w:val="16"/>
              </w:rPr>
              <w:t>13.9 </w:t>
            </w:r>
          </w:p>
        </w:tc>
        <w:tc>
          <w:tcPr>
            <w:tcW w:w="0" w:type="auto"/>
            <w:shd w:val="clear" w:color="auto" w:fill="FFFFFF"/>
            <w:tcMar>
              <w:top w:w="40" w:type="dxa"/>
              <w:left w:w="0" w:type="dxa"/>
              <w:bottom w:w="40" w:type="dxa"/>
              <w:right w:w="20" w:type="dxa"/>
            </w:tcMar>
            <w:vAlign w:val="center"/>
          </w:tcPr>
          <w:p w14:paraId="442F8115"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11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17" w14:textId="77777777" w:rsidR="00CC25B5" w:rsidRDefault="00900968">
            <w:pPr>
              <w:jc w:val="right"/>
              <w:textAlignment w:val="center"/>
            </w:pPr>
            <w:r>
              <w:rPr>
                <w:rFonts w:ascii="Times New Roman" w:eastAsia="宋体" w:hAnsi="Times New Roman"/>
                <w:color w:val="000000"/>
                <w:sz w:val="16"/>
                <w:szCs w:val="16"/>
              </w:rPr>
              <w:t>8.8 </w:t>
            </w:r>
          </w:p>
        </w:tc>
        <w:tc>
          <w:tcPr>
            <w:tcW w:w="0" w:type="auto"/>
            <w:shd w:val="clear" w:color="auto" w:fill="FFFFFF"/>
            <w:tcMar>
              <w:top w:w="40" w:type="dxa"/>
              <w:left w:w="0" w:type="dxa"/>
              <w:bottom w:w="40" w:type="dxa"/>
              <w:right w:w="20" w:type="dxa"/>
            </w:tcMar>
            <w:vAlign w:val="center"/>
          </w:tcPr>
          <w:p w14:paraId="442F8118"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11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1A" w14:textId="77777777" w:rsidR="00CC25B5" w:rsidRDefault="00900968">
            <w:pPr>
              <w:jc w:val="right"/>
              <w:textAlignment w:val="center"/>
            </w:pPr>
            <w:r>
              <w:rPr>
                <w:rFonts w:ascii="Times New Roman" w:eastAsia="宋体" w:hAnsi="Times New Roman"/>
                <w:color w:val="000000"/>
                <w:sz w:val="16"/>
                <w:szCs w:val="16"/>
              </w:rPr>
              <w:t>12.0 </w:t>
            </w:r>
          </w:p>
        </w:tc>
        <w:tc>
          <w:tcPr>
            <w:tcW w:w="0" w:type="auto"/>
            <w:shd w:val="clear" w:color="auto" w:fill="FFFFFF"/>
            <w:tcMar>
              <w:top w:w="40" w:type="dxa"/>
              <w:left w:w="0" w:type="dxa"/>
              <w:bottom w:w="40" w:type="dxa"/>
              <w:right w:w="20" w:type="dxa"/>
            </w:tcMar>
            <w:vAlign w:val="center"/>
          </w:tcPr>
          <w:p w14:paraId="442F811B"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442F811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1D" w14:textId="77777777" w:rsidR="00CC25B5" w:rsidRDefault="00900968">
            <w:pPr>
              <w:jc w:val="right"/>
              <w:textAlignment w:val="center"/>
            </w:pPr>
            <w:r>
              <w:rPr>
                <w:rFonts w:ascii="Times New Roman" w:eastAsia="宋体" w:hAnsi="Times New Roman"/>
                <w:color w:val="000000"/>
                <w:sz w:val="16"/>
                <w:szCs w:val="16"/>
              </w:rPr>
              <w:t>9.2 </w:t>
            </w:r>
          </w:p>
        </w:tc>
        <w:tc>
          <w:tcPr>
            <w:tcW w:w="0" w:type="auto"/>
            <w:shd w:val="clear" w:color="auto" w:fill="FFFFFF"/>
            <w:tcMar>
              <w:top w:w="40" w:type="dxa"/>
              <w:left w:w="0" w:type="dxa"/>
              <w:bottom w:w="40" w:type="dxa"/>
              <w:right w:w="20" w:type="dxa"/>
            </w:tcMar>
            <w:vAlign w:val="center"/>
          </w:tcPr>
          <w:p w14:paraId="442F811E"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12D" w14:textId="77777777">
        <w:trPr>
          <w:jc w:val="center"/>
        </w:trPr>
        <w:tc>
          <w:tcPr>
            <w:tcW w:w="0" w:type="auto"/>
            <w:gridSpan w:val="3"/>
            <w:shd w:val="clear" w:color="auto" w:fill="CCEEFF"/>
            <w:tcMar>
              <w:top w:w="40" w:type="dxa"/>
              <w:left w:w="245" w:type="dxa"/>
              <w:bottom w:w="40" w:type="dxa"/>
              <w:right w:w="20" w:type="dxa"/>
            </w:tcMar>
            <w:vAlign w:val="center"/>
          </w:tcPr>
          <w:p w14:paraId="442F8120" w14:textId="77777777" w:rsidR="00CC25B5" w:rsidRDefault="00900968">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442F812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22" w14:textId="77777777" w:rsidR="00CC25B5" w:rsidRDefault="00900968">
            <w:pPr>
              <w:jc w:val="right"/>
              <w:textAlignment w:val="center"/>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center"/>
          </w:tcPr>
          <w:p w14:paraId="442F812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2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25" w14:textId="77777777" w:rsidR="00CC25B5" w:rsidRDefault="00900968">
            <w:pPr>
              <w:jc w:val="right"/>
              <w:textAlignment w:val="center"/>
            </w:pPr>
            <w:r>
              <w:rPr>
                <w:rFonts w:ascii="Times New Roman" w:eastAsia="宋体" w:hAnsi="Times New Roman"/>
                <w:color w:val="000000"/>
                <w:sz w:val="16"/>
                <w:szCs w:val="16"/>
              </w:rPr>
              <w:t>8.8 </w:t>
            </w:r>
          </w:p>
        </w:tc>
        <w:tc>
          <w:tcPr>
            <w:tcW w:w="0" w:type="auto"/>
            <w:shd w:val="clear" w:color="auto" w:fill="CCEEFF"/>
            <w:tcMar>
              <w:top w:w="40" w:type="dxa"/>
              <w:left w:w="0" w:type="dxa"/>
              <w:bottom w:w="40" w:type="dxa"/>
              <w:right w:w="20" w:type="dxa"/>
            </w:tcMar>
            <w:vAlign w:val="center"/>
          </w:tcPr>
          <w:p w14:paraId="442F812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2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28" w14:textId="77777777" w:rsidR="00CC25B5" w:rsidRDefault="00900968">
            <w:pPr>
              <w:jc w:val="right"/>
              <w:textAlignment w:val="center"/>
            </w:pPr>
            <w:r>
              <w:rPr>
                <w:rFonts w:ascii="Times New Roman" w:eastAsia="宋体" w:hAnsi="Times New Roman"/>
                <w:color w:val="000000"/>
                <w:sz w:val="16"/>
                <w:szCs w:val="16"/>
              </w:rPr>
              <w:t>12.0 </w:t>
            </w:r>
          </w:p>
        </w:tc>
        <w:tc>
          <w:tcPr>
            <w:tcW w:w="0" w:type="auto"/>
            <w:shd w:val="clear" w:color="auto" w:fill="CCEEFF"/>
            <w:tcMar>
              <w:top w:w="40" w:type="dxa"/>
              <w:left w:w="0" w:type="dxa"/>
              <w:bottom w:w="40" w:type="dxa"/>
              <w:right w:w="20" w:type="dxa"/>
            </w:tcMar>
            <w:vAlign w:val="center"/>
          </w:tcPr>
          <w:p w14:paraId="442F8129"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2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2B" w14:textId="77777777" w:rsidR="00CC25B5" w:rsidRDefault="00900968">
            <w:pPr>
              <w:jc w:val="right"/>
              <w:textAlignment w:val="center"/>
            </w:pPr>
            <w:r>
              <w:rPr>
                <w:rFonts w:ascii="Times New Roman" w:eastAsia="宋体" w:hAnsi="Times New Roman"/>
                <w:color w:val="000000"/>
                <w:sz w:val="16"/>
                <w:szCs w:val="16"/>
              </w:rPr>
              <w:t>9.2 </w:t>
            </w:r>
          </w:p>
        </w:tc>
        <w:tc>
          <w:tcPr>
            <w:tcW w:w="0" w:type="auto"/>
            <w:shd w:val="clear" w:color="auto" w:fill="CCEEFF"/>
            <w:tcMar>
              <w:top w:w="40" w:type="dxa"/>
              <w:left w:w="0" w:type="dxa"/>
              <w:bottom w:w="40" w:type="dxa"/>
              <w:right w:w="20" w:type="dxa"/>
            </w:tcMar>
            <w:vAlign w:val="center"/>
          </w:tcPr>
          <w:p w14:paraId="442F812C"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13F" w14:textId="77777777">
        <w:trPr>
          <w:jc w:val="center"/>
        </w:trPr>
        <w:tc>
          <w:tcPr>
            <w:tcW w:w="0" w:type="auto"/>
            <w:gridSpan w:val="3"/>
            <w:shd w:val="clear" w:color="auto" w:fill="FFFFFF"/>
            <w:tcMar>
              <w:top w:w="40" w:type="dxa"/>
              <w:left w:w="245" w:type="dxa"/>
              <w:bottom w:w="40" w:type="dxa"/>
              <w:right w:w="20" w:type="dxa"/>
            </w:tcMar>
            <w:vAlign w:val="center"/>
          </w:tcPr>
          <w:p w14:paraId="442F812E" w14:textId="77777777" w:rsidR="00CC25B5" w:rsidRDefault="00900968">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42F812F"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30"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31" w14:textId="77777777" w:rsidR="00CC25B5" w:rsidRDefault="00900968">
            <w:pPr>
              <w:jc w:val="right"/>
              <w:textAlignment w:val="center"/>
            </w:pPr>
            <w:r>
              <w:rPr>
                <w:rFonts w:ascii="Times New Roman" w:eastAsia="宋体" w:hAnsi="Times New Roman"/>
                <w:color w:val="000000"/>
                <w:sz w:val="16"/>
                <w:szCs w:val="16"/>
              </w:rPr>
              <w:t>660 </w:t>
            </w:r>
          </w:p>
        </w:tc>
        <w:tc>
          <w:tcPr>
            <w:tcW w:w="0" w:type="auto"/>
            <w:shd w:val="clear" w:color="auto" w:fill="FFFFFF"/>
            <w:tcMar>
              <w:top w:w="40" w:type="dxa"/>
              <w:left w:w="0" w:type="dxa"/>
              <w:bottom w:w="40" w:type="dxa"/>
              <w:right w:w="20" w:type="dxa"/>
            </w:tcMar>
            <w:vAlign w:val="center"/>
          </w:tcPr>
          <w:p w14:paraId="442F813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33"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34"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35" w14:textId="77777777" w:rsidR="00CC25B5" w:rsidRDefault="00900968">
            <w:pPr>
              <w:jc w:val="right"/>
              <w:textAlignment w:val="center"/>
            </w:pPr>
            <w:r>
              <w:rPr>
                <w:rFonts w:ascii="Times New Roman" w:eastAsia="宋体" w:hAnsi="Times New Roman"/>
                <w:color w:val="000000"/>
                <w:sz w:val="16"/>
                <w:szCs w:val="16"/>
              </w:rPr>
              <w:t>592 </w:t>
            </w:r>
          </w:p>
        </w:tc>
        <w:tc>
          <w:tcPr>
            <w:tcW w:w="0" w:type="auto"/>
            <w:shd w:val="clear" w:color="auto" w:fill="FFFFFF"/>
            <w:tcMar>
              <w:top w:w="40" w:type="dxa"/>
              <w:left w:w="0" w:type="dxa"/>
              <w:bottom w:w="40" w:type="dxa"/>
              <w:right w:w="20" w:type="dxa"/>
            </w:tcMar>
            <w:vAlign w:val="center"/>
          </w:tcPr>
          <w:p w14:paraId="442F813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37"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38"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39" w14:textId="77777777" w:rsidR="00CC25B5" w:rsidRDefault="00900968">
            <w:pPr>
              <w:jc w:val="right"/>
              <w:textAlignment w:val="center"/>
            </w:pPr>
            <w:r>
              <w:rPr>
                <w:rFonts w:ascii="Times New Roman" w:eastAsia="宋体" w:hAnsi="Times New Roman"/>
                <w:color w:val="000000"/>
                <w:sz w:val="16"/>
                <w:szCs w:val="16"/>
              </w:rPr>
              <w:t>1,235 </w:t>
            </w:r>
          </w:p>
        </w:tc>
        <w:tc>
          <w:tcPr>
            <w:tcW w:w="0" w:type="auto"/>
            <w:shd w:val="clear" w:color="auto" w:fill="FFFFFF"/>
            <w:tcMar>
              <w:top w:w="40" w:type="dxa"/>
              <w:left w:w="0" w:type="dxa"/>
              <w:bottom w:w="40" w:type="dxa"/>
              <w:right w:w="20" w:type="dxa"/>
            </w:tcMar>
            <w:vAlign w:val="center"/>
          </w:tcPr>
          <w:p w14:paraId="442F813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3B"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3C"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3D" w14:textId="77777777" w:rsidR="00CC25B5" w:rsidRDefault="00900968">
            <w:pPr>
              <w:jc w:val="right"/>
              <w:textAlignment w:val="center"/>
            </w:pPr>
            <w:r>
              <w:rPr>
                <w:rFonts w:ascii="Times New Roman" w:eastAsia="宋体" w:hAnsi="Times New Roman"/>
                <w:color w:val="000000"/>
                <w:sz w:val="16"/>
                <w:szCs w:val="16"/>
              </w:rPr>
              <w:t>1,086 </w:t>
            </w:r>
          </w:p>
        </w:tc>
        <w:tc>
          <w:tcPr>
            <w:tcW w:w="0" w:type="auto"/>
            <w:shd w:val="clear" w:color="auto" w:fill="FFFFFF"/>
            <w:tcMar>
              <w:top w:w="40" w:type="dxa"/>
              <w:left w:w="0" w:type="dxa"/>
              <w:bottom w:w="40" w:type="dxa"/>
              <w:right w:w="20" w:type="dxa"/>
            </w:tcMar>
            <w:vAlign w:val="center"/>
          </w:tcPr>
          <w:p w14:paraId="442F813E" w14:textId="77777777" w:rsidR="00CC25B5" w:rsidRDefault="00CC25B5">
            <w:pPr>
              <w:jc w:val="right"/>
              <w:rPr>
                <w:rFonts w:ascii="宋体"/>
              </w:rPr>
            </w:pPr>
          </w:p>
        </w:tc>
      </w:tr>
      <w:tr w:rsidR="00CC25B5" w14:paraId="442F814D" w14:textId="77777777">
        <w:trPr>
          <w:jc w:val="center"/>
        </w:trPr>
        <w:tc>
          <w:tcPr>
            <w:tcW w:w="0" w:type="auto"/>
            <w:gridSpan w:val="3"/>
            <w:shd w:val="clear" w:color="auto" w:fill="CCEEFF"/>
            <w:tcMar>
              <w:top w:w="40" w:type="dxa"/>
              <w:left w:w="245" w:type="dxa"/>
              <w:bottom w:w="40" w:type="dxa"/>
              <w:right w:w="20" w:type="dxa"/>
            </w:tcMar>
            <w:vAlign w:val="center"/>
          </w:tcPr>
          <w:p w14:paraId="442F8140" w14:textId="77777777" w:rsidR="00CC25B5" w:rsidRDefault="00900968">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442F814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42" w14:textId="77777777" w:rsidR="00CC25B5" w:rsidRDefault="00900968">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42F814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4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45" w14:textId="77777777" w:rsidR="00CC25B5" w:rsidRDefault="00900968">
            <w:pPr>
              <w:jc w:val="right"/>
              <w:textAlignment w:val="center"/>
            </w:pPr>
            <w:r>
              <w:rPr>
                <w:rFonts w:ascii="Times New Roman" w:eastAsia="宋体" w:hAnsi="Times New Roman"/>
                <w:color w:val="000000"/>
                <w:sz w:val="16"/>
                <w:szCs w:val="16"/>
              </w:rPr>
              <w:t>3.6 </w:t>
            </w:r>
          </w:p>
        </w:tc>
        <w:tc>
          <w:tcPr>
            <w:tcW w:w="0" w:type="auto"/>
            <w:shd w:val="clear" w:color="auto" w:fill="CCEEFF"/>
            <w:tcMar>
              <w:top w:w="40" w:type="dxa"/>
              <w:left w:w="0" w:type="dxa"/>
              <w:bottom w:w="40" w:type="dxa"/>
              <w:right w:w="20" w:type="dxa"/>
            </w:tcMar>
            <w:vAlign w:val="center"/>
          </w:tcPr>
          <w:p w14:paraId="442F814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4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48" w14:textId="77777777" w:rsidR="00CC25B5" w:rsidRDefault="00900968">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42F8149"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4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4B" w14:textId="77777777" w:rsidR="00CC25B5" w:rsidRDefault="00900968">
            <w:pPr>
              <w:jc w:val="right"/>
              <w:textAlignment w:val="center"/>
            </w:pPr>
            <w:r>
              <w:rPr>
                <w:rFonts w:ascii="Times New Roman" w:eastAsia="宋体" w:hAnsi="Times New Roman"/>
                <w:color w:val="000000"/>
                <w:sz w:val="16"/>
                <w:szCs w:val="16"/>
              </w:rPr>
              <w:t>3.4 </w:t>
            </w:r>
          </w:p>
        </w:tc>
        <w:tc>
          <w:tcPr>
            <w:tcW w:w="0" w:type="auto"/>
            <w:shd w:val="clear" w:color="auto" w:fill="CCEEFF"/>
            <w:tcMar>
              <w:top w:w="40" w:type="dxa"/>
              <w:left w:w="0" w:type="dxa"/>
              <w:bottom w:w="40" w:type="dxa"/>
              <w:right w:w="20" w:type="dxa"/>
            </w:tcMar>
            <w:vAlign w:val="center"/>
          </w:tcPr>
          <w:p w14:paraId="442F814C"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15B" w14:textId="77777777">
        <w:trPr>
          <w:jc w:val="center"/>
        </w:trPr>
        <w:tc>
          <w:tcPr>
            <w:tcW w:w="0" w:type="auto"/>
            <w:gridSpan w:val="3"/>
            <w:shd w:val="clear" w:color="auto" w:fill="FFFFFF"/>
            <w:tcMar>
              <w:top w:w="40" w:type="dxa"/>
              <w:left w:w="245" w:type="dxa"/>
              <w:bottom w:w="40" w:type="dxa"/>
              <w:right w:w="20" w:type="dxa"/>
            </w:tcMar>
            <w:vAlign w:val="center"/>
          </w:tcPr>
          <w:p w14:paraId="442F814E" w14:textId="77777777" w:rsidR="00CC25B5" w:rsidRDefault="00900968">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442F814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50" w14:textId="77777777" w:rsidR="00CC25B5" w:rsidRDefault="00900968">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442F815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5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53" w14:textId="77777777" w:rsidR="00CC25B5" w:rsidRDefault="00900968">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442F815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5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56" w14:textId="77777777" w:rsidR="00CC25B5" w:rsidRDefault="00900968">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442F815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5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159" w14:textId="77777777" w:rsidR="00CC25B5" w:rsidRDefault="00900968">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442F815A" w14:textId="77777777" w:rsidR="00CC25B5" w:rsidRDefault="00CC25B5">
            <w:pPr>
              <w:jc w:val="right"/>
              <w:rPr>
                <w:rFonts w:ascii="宋体"/>
              </w:rPr>
            </w:pPr>
          </w:p>
        </w:tc>
      </w:tr>
      <w:tr w:rsidR="00CC25B5" w14:paraId="442F8169" w14:textId="77777777">
        <w:trPr>
          <w:jc w:val="center"/>
        </w:trPr>
        <w:tc>
          <w:tcPr>
            <w:tcW w:w="0" w:type="auto"/>
            <w:gridSpan w:val="3"/>
            <w:shd w:val="clear" w:color="auto" w:fill="CCEEFF"/>
            <w:tcMar>
              <w:top w:w="40" w:type="dxa"/>
              <w:left w:w="245" w:type="dxa"/>
              <w:bottom w:w="40" w:type="dxa"/>
              <w:right w:w="20" w:type="dxa"/>
            </w:tcMar>
            <w:vAlign w:val="center"/>
          </w:tcPr>
          <w:p w14:paraId="442F815C" w14:textId="77777777" w:rsidR="00CC25B5" w:rsidRDefault="00900968">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vAlign w:val="bottom"/>
          </w:tcPr>
          <w:p w14:paraId="442F815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5E" w14:textId="77777777" w:rsidR="00CC25B5" w:rsidRDefault="00900968">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42F815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16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61" w14:textId="77777777" w:rsidR="00CC25B5" w:rsidRDefault="00900968">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42F816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16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64" w14:textId="77777777" w:rsidR="00CC25B5" w:rsidRDefault="00900968">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42F816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16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67" w14:textId="77777777" w:rsidR="00CC25B5" w:rsidRDefault="00900968">
            <w:pPr>
              <w:jc w:val="right"/>
              <w:textAlignment w:val="center"/>
            </w:pPr>
            <w:r>
              <w:rPr>
                <w:rFonts w:ascii="Times New Roman" w:eastAsia="宋体" w:hAnsi="Times New Roman"/>
                <w:color w:val="000000"/>
                <w:sz w:val="16"/>
                <w:szCs w:val="16"/>
              </w:rPr>
              <w:t>80 </w:t>
            </w:r>
          </w:p>
        </w:tc>
        <w:tc>
          <w:tcPr>
            <w:tcW w:w="0" w:type="auto"/>
            <w:shd w:val="clear" w:color="auto" w:fill="CCEEFF"/>
            <w:tcMar>
              <w:top w:w="40" w:type="dxa"/>
              <w:left w:w="0" w:type="dxa"/>
              <w:bottom w:w="40" w:type="dxa"/>
              <w:right w:w="20" w:type="dxa"/>
            </w:tcMar>
            <w:vAlign w:val="center"/>
          </w:tcPr>
          <w:p w14:paraId="442F8168" w14:textId="77777777" w:rsidR="00CC25B5" w:rsidRDefault="00CC25B5">
            <w:pPr>
              <w:jc w:val="right"/>
              <w:rPr>
                <w:rFonts w:ascii="宋体"/>
              </w:rPr>
            </w:pPr>
          </w:p>
        </w:tc>
      </w:tr>
      <w:tr w:rsidR="00CC25B5" w14:paraId="442F8173" w14:textId="77777777">
        <w:trPr>
          <w:trHeight w:val="220"/>
          <w:jc w:val="center"/>
        </w:trPr>
        <w:tc>
          <w:tcPr>
            <w:tcW w:w="0" w:type="auto"/>
            <w:gridSpan w:val="3"/>
            <w:shd w:val="clear" w:color="auto" w:fill="FFFFFF"/>
            <w:tcMar>
              <w:top w:w="0" w:type="dxa"/>
              <w:left w:w="20" w:type="dxa"/>
              <w:bottom w:w="0" w:type="dxa"/>
              <w:right w:w="20" w:type="dxa"/>
            </w:tcMar>
            <w:vAlign w:val="bottom"/>
          </w:tcPr>
          <w:p w14:paraId="442F816A"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6B"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6C"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6D"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6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6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70"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71"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172" w14:textId="77777777" w:rsidR="00CC25B5" w:rsidRDefault="00CC25B5">
            <w:pPr>
              <w:rPr>
                <w:rFonts w:ascii="宋体"/>
              </w:rPr>
            </w:pPr>
          </w:p>
        </w:tc>
      </w:tr>
      <w:tr w:rsidR="00CC25B5" w14:paraId="442F817D" w14:textId="77777777">
        <w:trPr>
          <w:jc w:val="center"/>
        </w:trPr>
        <w:tc>
          <w:tcPr>
            <w:tcW w:w="0" w:type="auto"/>
            <w:gridSpan w:val="3"/>
            <w:shd w:val="clear" w:color="auto" w:fill="CCEEFF"/>
            <w:tcMar>
              <w:top w:w="40" w:type="dxa"/>
              <w:left w:w="20" w:type="dxa"/>
              <w:bottom w:w="40" w:type="dxa"/>
              <w:right w:w="20" w:type="dxa"/>
            </w:tcMar>
            <w:vAlign w:val="center"/>
          </w:tcPr>
          <w:p w14:paraId="442F8174" w14:textId="77777777" w:rsidR="00CC25B5" w:rsidRDefault="00900968">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CCEEFF"/>
            <w:tcMar>
              <w:top w:w="0" w:type="dxa"/>
              <w:left w:w="20" w:type="dxa"/>
              <w:bottom w:w="0" w:type="dxa"/>
              <w:right w:w="20" w:type="dxa"/>
            </w:tcMar>
            <w:vAlign w:val="bottom"/>
          </w:tcPr>
          <w:p w14:paraId="442F8175"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6"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7"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8"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9"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A"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B" w14:textId="77777777" w:rsidR="00CC25B5" w:rsidRDefault="00CC25B5">
            <w:pPr>
              <w:rPr>
                <w:rFonts w:ascii="宋体"/>
              </w:rPr>
            </w:pPr>
          </w:p>
        </w:tc>
        <w:tc>
          <w:tcPr>
            <w:tcW w:w="0" w:type="auto"/>
            <w:gridSpan w:val="3"/>
            <w:shd w:val="clear" w:color="auto" w:fill="CCEEFF"/>
            <w:tcMar>
              <w:top w:w="0" w:type="dxa"/>
              <w:left w:w="20" w:type="dxa"/>
              <w:bottom w:w="0" w:type="dxa"/>
              <w:right w:w="20" w:type="dxa"/>
            </w:tcMar>
            <w:vAlign w:val="bottom"/>
          </w:tcPr>
          <w:p w14:paraId="442F817C" w14:textId="77777777" w:rsidR="00CC25B5" w:rsidRDefault="00CC25B5">
            <w:pPr>
              <w:rPr>
                <w:rFonts w:ascii="宋体"/>
              </w:rPr>
            </w:pPr>
          </w:p>
        </w:tc>
      </w:tr>
      <w:tr w:rsidR="00CC25B5" w14:paraId="442F818F" w14:textId="77777777">
        <w:trPr>
          <w:jc w:val="center"/>
        </w:trPr>
        <w:tc>
          <w:tcPr>
            <w:tcW w:w="0" w:type="auto"/>
            <w:gridSpan w:val="3"/>
            <w:shd w:val="clear" w:color="auto" w:fill="FFFFFF"/>
            <w:tcMar>
              <w:top w:w="40" w:type="dxa"/>
              <w:left w:w="245" w:type="dxa"/>
              <w:bottom w:w="40" w:type="dxa"/>
              <w:right w:w="20" w:type="dxa"/>
            </w:tcMar>
            <w:vAlign w:val="center"/>
          </w:tcPr>
          <w:p w14:paraId="442F817E" w14:textId="77777777" w:rsidR="00CC25B5" w:rsidRDefault="00900968">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442F817F"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80"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81" w14:textId="77777777" w:rsidR="00CC25B5" w:rsidRDefault="00900968">
            <w:pPr>
              <w:jc w:val="right"/>
              <w:textAlignment w:val="center"/>
            </w:pPr>
            <w:r>
              <w:rPr>
                <w:rFonts w:ascii="Times New Roman" w:eastAsia="宋体" w:hAnsi="Times New Roman"/>
                <w:color w:val="000000"/>
                <w:sz w:val="16"/>
                <w:szCs w:val="16"/>
              </w:rPr>
              <w:t>16,437 </w:t>
            </w:r>
          </w:p>
        </w:tc>
        <w:tc>
          <w:tcPr>
            <w:tcW w:w="0" w:type="auto"/>
            <w:shd w:val="clear" w:color="auto" w:fill="FFFFFF"/>
            <w:tcMar>
              <w:top w:w="40" w:type="dxa"/>
              <w:left w:w="0" w:type="dxa"/>
              <w:bottom w:w="40" w:type="dxa"/>
              <w:right w:w="20" w:type="dxa"/>
            </w:tcMar>
            <w:vAlign w:val="center"/>
          </w:tcPr>
          <w:p w14:paraId="442F818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83"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84"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85" w14:textId="77777777" w:rsidR="00CC25B5" w:rsidRDefault="00900968">
            <w:pPr>
              <w:jc w:val="right"/>
              <w:textAlignment w:val="center"/>
            </w:pPr>
            <w:r>
              <w:rPr>
                <w:rFonts w:ascii="Times New Roman" w:eastAsia="宋体" w:hAnsi="Times New Roman"/>
                <w:color w:val="000000"/>
                <w:sz w:val="16"/>
                <w:szCs w:val="16"/>
              </w:rPr>
              <w:t>15,264 </w:t>
            </w:r>
          </w:p>
        </w:tc>
        <w:tc>
          <w:tcPr>
            <w:tcW w:w="0" w:type="auto"/>
            <w:shd w:val="clear" w:color="auto" w:fill="FFFFFF"/>
            <w:tcMar>
              <w:top w:w="40" w:type="dxa"/>
              <w:left w:w="0" w:type="dxa"/>
              <w:bottom w:w="40" w:type="dxa"/>
              <w:right w:w="20" w:type="dxa"/>
            </w:tcMar>
            <w:vAlign w:val="center"/>
          </w:tcPr>
          <w:p w14:paraId="442F818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87"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88"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89" w14:textId="77777777" w:rsidR="00CC25B5" w:rsidRDefault="00900968">
            <w:pPr>
              <w:jc w:val="right"/>
              <w:textAlignment w:val="center"/>
            </w:pPr>
            <w:r>
              <w:rPr>
                <w:rFonts w:ascii="Times New Roman" w:eastAsia="宋体" w:hAnsi="Times New Roman"/>
                <w:color w:val="000000"/>
                <w:sz w:val="16"/>
                <w:szCs w:val="16"/>
              </w:rPr>
              <w:t>31,374 </w:t>
            </w:r>
          </w:p>
        </w:tc>
        <w:tc>
          <w:tcPr>
            <w:tcW w:w="0" w:type="auto"/>
            <w:shd w:val="clear" w:color="auto" w:fill="FFFFFF"/>
            <w:tcMar>
              <w:top w:w="40" w:type="dxa"/>
              <w:left w:w="0" w:type="dxa"/>
              <w:bottom w:w="40" w:type="dxa"/>
              <w:right w:w="20" w:type="dxa"/>
            </w:tcMar>
            <w:vAlign w:val="center"/>
          </w:tcPr>
          <w:p w14:paraId="442F818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8B"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8C"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8D" w14:textId="77777777" w:rsidR="00CC25B5" w:rsidRDefault="00900968">
            <w:pPr>
              <w:jc w:val="right"/>
              <w:textAlignment w:val="center"/>
            </w:pPr>
            <w:r>
              <w:rPr>
                <w:rFonts w:ascii="Times New Roman" w:eastAsia="宋体" w:hAnsi="Times New Roman"/>
                <w:color w:val="000000"/>
                <w:sz w:val="16"/>
                <w:szCs w:val="16"/>
              </w:rPr>
              <w:t>29,333 </w:t>
            </w:r>
          </w:p>
        </w:tc>
        <w:tc>
          <w:tcPr>
            <w:tcW w:w="0" w:type="auto"/>
            <w:shd w:val="clear" w:color="auto" w:fill="FFFFFF"/>
            <w:tcMar>
              <w:top w:w="40" w:type="dxa"/>
              <w:left w:w="0" w:type="dxa"/>
              <w:bottom w:w="40" w:type="dxa"/>
              <w:right w:w="20" w:type="dxa"/>
            </w:tcMar>
            <w:vAlign w:val="center"/>
          </w:tcPr>
          <w:p w14:paraId="442F818E" w14:textId="77777777" w:rsidR="00CC25B5" w:rsidRDefault="00CC25B5">
            <w:pPr>
              <w:jc w:val="right"/>
              <w:rPr>
                <w:rFonts w:ascii="宋体"/>
              </w:rPr>
            </w:pPr>
          </w:p>
        </w:tc>
      </w:tr>
      <w:tr w:rsidR="00CC25B5" w14:paraId="442F819D" w14:textId="77777777">
        <w:trPr>
          <w:jc w:val="center"/>
        </w:trPr>
        <w:tc>
          <w:tcPr>
            <w:tcW w:w="0" w:type="auto"/>
            <w:gridSpan w:val="3"/>
            <w:shd w:val="clear" w:color="auto" w:fill="CCEEFF"/>
            <w:tcMar>
              <w:top w:w="40" w:type="dxa"/>
              <w:left w:w="245" w:type="dxa"/>
              <w:bottom w:w="40" w:type="dxa"/>
              <w:right w:w="20" w:type="dxa"/>
            </w:tcMar>
            <w:vAlign w:val="center"/>
          </w:tcPr>
          <w:p w14:paraId="442F8190" w14:textId="77777777" w:rsidR="00CC25B5" w:rsidRDefault="00900968">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vAlign w:val="bottom"/>
          </w:tcPr>
          <w:p w14:paraId="442F819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92" w14:textId="77777777" w:rsidR="00CC25B5" w:rsidRDefault="00900968">
            <w:pPr>
              <w:jc w:val="right"/>
              <w:textAlignment w:val="center"/>
            </w:pPr>
            <w:r>
              <w:rPr>
                <w:rFonts w:ascii="Times New Roman" w:eastAsia="宋体" w:hAnsi="Times New Roman"/>
                <w:color w:val="000000"/>
                <w:sz w:val="16"/>
                <w:szCs w:val="16"/>
              </w:rPr>
              <w:t>7.7 </w:t>
            </w:r>
          </w:p>
        </w:tc>
        <w:tc>
          <w:tcPr>
            <w:tcW w:w="0" w:type="auto"/>
            <w:shd w:val="clear" w:color="auto" w:fill="CCEEFF"/>
            <w:tcMar>
              <w:top w:w="40" w:type="dxa"/>
              <w:left w:w="0" w:type="dxa"/>
              <w:bottom w:w="40" w:type="dxa"/>
              <w:right w:w="20" w:type="dxa"/>
            </w:tcMar>
            <w:vAlign w:val="center"/>
          </w:tcPr>
          <w:p w14:paraId="442F819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9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95" w14:textId="77777777" w:rsidR="00CC25B5" w:rsidRDefault="00900968">
            <w:pPr>
              <w:jc w:val="right"/>
              <w:textAlignment w:val="center"/>
            </w:pPr>
            <w:r>
              <w:rPr>
                <w:rFonts w:ascii="Times New Roman" w:eastAsia="宋体" w:hAnsi="Times New Roman"/>
                <w:color w:val="000000"/>
                <w:sz w:val="16"/>
                <w:szCs w:val="16"/>
              </w:rPr>
              <w:t>13.5 </w:t>
            </w:r>
          </w:p>
        </w:tc>
        <w:tc>
          <w:tcPr>
            <w:tcW w:w="0" w:type="auto"/>
            <w:shd w:val="clear" w:color="auto" w:fill="CCEEFF"/>
            <w:tcMar>
              <w:top w:w="40" w:type="dxa"/>
              <w:left w:w="0" w:type="dxa"/>
              <w:bottom w:w="40" w:type="dxa"/>
              <w:right w:w="20" w:type="dxa"/>
            </w:tcMar>
            <w:vAlign w:val="center"/>
          </w:tcPr>
          <w:p w14:paraId="442F819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9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98" w14:textId="77777777" w:rsidR="00CC25B5" w:rsidRDefault="00900968">
            <w:pPr>
              <w:jc w:val="right"/>
              <w:textAlignment w:val="center"/>
            </w:pPr>
            <w:r>
              <w:rPr>
                <w:rFonts w:ascii="Times New Roman" w:eastAsia="宋体" w:hAnsi="Times New Roman"/>
                <w:color w:val="000000"/>
                <w:sz w:val="16"/>
                <w:szCs w:val="16"/>
              </w:rPr>
              <w:t>7.0 </w:t>
            </w:r>
          </w:p>
        </w:tc>
        <w:tc>
          <w:tcPr>
            <w:tcW w:w="0" w:type="auto"/>
            <w:shd w:val="clear" w:color="auto" w:fill="CCEEFF"/>
            <w:tcMar>
              <w:top w:w="40" w:type="dxa"/>
              <w:left w:w="0" w:type="dxa"/>
              <w:bottom w:w="40" w:type="dxa"/>
              <w:right w:w="20" w:type="dxa"/>
            </w:tcMar>
            <w:vAlign w:val="center"/>
          </w:tcPr>
          <w:p w14:paraId="442F8199"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9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9B" w14:textId="77777777" w:rsidR="00CC25B5" w:rsidRDefault="00900968">
            <w:pPr>
              <w:jc w:val="right"/>
              <w:textAlignment w:val="center"/>
            </w:pPr>
            <w:r>
              <w:rPr>
                <w:rFonts w:ascii="Times New Roman" w:eastAsia="宋体" w:hAnsi="Times New Roman"/>
                <w:color w:val="000000"/>
                <w:sz w:val="16"/>
                <w:szCs w:val="16"/>
              </w:rPr>
              <w:t>13.2 </w:t>
            </w:r>
          </w:p>
        </w:tc>
        <w:tc>
          <w:tcPr>
            <w:tcW w:w="0" w:type="auto"/>
            <w:shd w:val="clear" w:color="auto" w:fill="CCEEFF"/>
            <w:tcMar>
              <w:top w:w="40" w:type="dxa"/>
              <w:left w:w="0" w:type="dxa"/>
              <w:bottom w:w="40" w:type="dxa"/>
              <w:right w:w="20" w:type="dxa"/>
            </w:tcMar>
            <w:vAlign w:val="center"/>
          </w:tcPr>
          <w:p w14:paraId="442F819C" w14:textId="77777777" w:rsidR="00CC25B5" w:rsidRDefault="00900968">
            <w:pPr>
              <w:jc w:val="right"/>
              <w:textAlignment w:val="center"/>
            </w:pPr>
            <w:r>
              <w:rPr>
                <w:rFonts w:ascii="Times New Roman" w:eastAsia="宋体" w:hAnsi="Times New Roman"/>
                <w:color w:val="000000"/>
                <w:sz w:val="16"/>
                <w:szCs w:val="16"/>
              </w:rPr>
              <w:t>%</w:t>
            </w:r>
          </w:p>
        </w:tc>
      </w:tr>
      <w:tr w:rsidR="00CC25B5" w14:paraId="442F81AF" w14:textId="77777777">
        <w:trPr>
          <w:jc w:val="center"/>
        </w:trPr>
        <w:tc>
          <w:tcPr>
            <w:tcW w:w="0" w:type="auto"/>
            <w:gridSpan w:val="3"/>
            <w:shd w:val="clear" w:color="auto" w:fill="FFFFFF"/>
            <w:tcMar>
              <w:top w:w="40" w:type="dxa"/>
              <w:left w:w="245" w:type="dxa"/>
              <w:bottom w:w="40" w:type="dxa"/>
              <w:right w:w="20" w:type="dxa"/>
            </w:tcMar>
            <w:vAlign w:val="center"/>
          </w:tcPr>
          <w:p w14:paraId="442F819E" w14:textId="77777777" w:rsidR="00CC25B5" w:rsidRDefault="00900968">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442F819F"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A0"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A1" w14:textId="77777777" w:rsidR="00CC25B5" w:rsidRDefault="00900968">
            <w:pPr>
              <w:jc w:val="right"/>
              <w:textAlignment w:val="center"/>
            </w:pPr>
            <w:r>
              <w:rPr>
                <w:rFonts w:ascii="Times New Roman" w:eastAsia="宋体" w:hAnsi="Times New Roman"/>
                <w:color w:val="000000"/>
                <w:sz w:val="16"/>
                <w:szCs w:val="16"/>
              </w:rPr>
              <w:t>575 </w:t>
            </w:r>
          </w:p>
        </w:tc>
        <w:tc>
          <w:tcPr>
            <w:tcW w:w="0" w:type="auto"/>
            <w:shd w:val="clear" w:color="auto" w:fill="FFFFFF"/>
            <w:tcMar>
              <w:top w:w="40" w:type="dxa"/>
              <w:left w:w="0" w:type="dxa"/>
              <w:bottom w:w="40" w:type="dxa"/>
              <w:right w:w="20" w:type="dxa"/>
            </w:tcMar>
            <w:vAlign w:val="center"/>
          </w:tcPr>
          <w:p w14:paraId="442F81A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A3"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A4"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A5" w14:textId="77777777" w:rsidR="00CC25B5" w:rsidRDefault="00900968">
            <w:pPr>
              <w:jc w:val="right"/>
              <w:textAlignment w:val="center"/>
            </w:pPr>
            <w:r>
              <w:rPr>
                <w:rFonts w:ascii="Times New Roman" w:eastAsia="宋体" w:hAnsi="Times New Roman"/>
                <w:color w:val="000000"/>
                <w:sz w:val="16"/>
                <w:szCs w:val="16"/>
              </w:rPr>
              <w:t>527 </w:t>
            </w:r>
          </w:p>
        </w:tc>
        <w:tc>
          <w:tcPr>
            <w:tcW w:w="0" w:type="auto"/>
            <w:shd w:val="clear" w:color="auto" w:fill="FFFFFF"/>
            <w:tcMar>
              <w:top w:w="40" w:type="dxa"/>
              <w:left w:w="0" w:type="dxa"/>
              <w:bottom w:w="40" w:type="dxa"/>
              <w:right w:w="20" w:type="dxa"/>
            </w:tcMar>
            <w:vAlign w:val="center"/>
          </w:tcPr>
          <w:p w14:paraId="442F81A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A7"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A8"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A9" w14:textId="77777777" w:rsidR="00CC25B5" w:rsidRDefault="00900968">
            <w:pPr>
              <w:jc w:val="right"/>
              <w:textAlignment w:val="center"/>
            </w:pPr>
            <w:r>
              <w:rPr>
                <w:rFonts w:ascii="Times New Roman" w:eastAsia="宋体" w:hAnsi="Times New Roman"/>
                <w:color w:val="000000"/>
                <w:sz w:val="16"/>
                <w:szCs w:val="16"/>
              </w:rPr>
              <w:t>1,105 </w:t>
            </w:r>
          </w:p>
        </w:tc>
        <w:tc>
          <w:tcPr>
            <w:tcW w:w="0" w:type="auto"/>
            <w:shd w:val="clear" w:color="auto" w:fill="FFFFFF"/>
            <w:tcMar>
              <w:top w:w="40" w:type="dxa"/>
              <w:left w:w="0" w:type="dxa"/>
              <w:bottom w:w="40" w:type="dxa"/>
              <w:right w:w="20" w:type="dxa"/>
            </w:tcMar>
            <w:vAlign w:val="center"/>
          </w:tcPr>
          <w:p w14:paraId="442F81AA"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1AB" w14:textId="77777777" w:rsidR="00CC25B5" w:rsidRDefault="00CC25B5">
            <w:pPr>
              <w:rPr>
                <w:rFonts w:ascii="宋体"/>
              </w:rPr>
            </w:pPr>
          </w:p>
        </w:tc>
        <w:tc>
          <w:tcPr>
            <w:tcW w:w="0" w:type="auto"/>
            <w:shd w:val="clear" w:color="auto" w:fill="FFFFFF"/>
            <w:tcMar>
              <w:top w:w="40" w:type="dxa"/>
              <w:left w:w="20" w:type="dxa"/>
              <w:bottom w:w="40" w:type="dxa"/>
              <w:right w:w="0" w:type="dxa"/>
            </w:tcMar>
            <w:vAlign w:val="center"/>
          </w:tcPr>
          <w:p w14:paraId="442F81AC"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1AD" w14:textId="77777777" w:rsidR="00CC25B5" w:rsidRDefault="00900968">
            <w:pPr>
              <w:jc w:val="right"/>
              <w:textAlignment w:val="center"/>
            </w:pPr>
            <w:r>
              <w:rPr>
                <w:rFonts w:ascii="Times New Roman" w:eastAsia="宋体" w:hAnsi="Times New Roman"/>
                <w:color w:val="000000"/>
                <w:sz w:val="16"/>
                <w:szCs w:val="16"/>
              </w:rPr>
              <w:t>925 </w:t>
            </w:r>
          </w:p>
        </w:tc>
        <w:tc>
          <w:tcPr>
            <w:tcW w:w="0" w:type="auto"/>
            <w:shd w:val="clear" w:color="auto" w:fill="FFFFFF"/>
            <w:tcMar>
              <w:top w:w="40" w:type="dxa"/>
              <w:left w:w="0" w:type="dxa"/>
              <w:bottom w:w="40" w:type="dxa"/>
              <w:right w:w="20" w:type="dxa"/>
            </w:tcMar>
            <w:vAlign w:val="center"/>
          </w:tcPr>
          <w:p w14:paraId="442F81AE" w14:textId="77777777" w:rsidR="00CC25B5" w:rsidRDefault="00CC25B5">
            <w:pPr>
              <w:jc w:val="right"/>
              <w:rPr>
                <w:rFonts w:ascii="宋体"/>
              </w:rPr>
            </w:pPr>
          </w:p>
        </w:tc>
      </w:tr>
      <w:tr w:rsidR="00CC25B5" w14:paraId="442F81BD" w14:textId="77777777">
        <w:trPr>
          <w:jc w:val="center"/>
        </w:trPr>
        <w:tc>
          <w:tcPr>
            <w:tcW w:w="0" w:type="auto"/>
            <w:gridSpan w:val="3"/>
            <w:shd w:val="clear" w:color="auto" w:fill="CCEEFF"/>
            <w:tcMar>
              <w:top w:w="40" w:type="dxa"/>
              <w:left w:w="245" w:type="dxa"/>
              <w:bottom w:w="40" w:type="dxa"/>
              <w:right w:w="20" w:type="dxa"/>
            </w:tcMar>
            <w:vAlign w:val="center"/>
          </w:tcPr>
          <w:p w14:paraId="442F81B0" w14:textId="77777777" w:rsidR="00CC25B5" w:rsidRDefault="00900968">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442F81B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B2" w14:textId="77777777" w:rsidR="00CC25B5" w:rsidRDefault="00900968">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42F81B3"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B4"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B5" w14:textId="77777777" w:rsidR="00CC25B5" w:rsidRDefault="00900968">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42F81B6"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B7"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B8" w14:textId="77777777" w:rsidR="00CC25B5" w:rsidRDefault="00900968">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42F81B9" w14:textId="77777777" w:rsidR="00CC25B5" w:rsidRDefault="00900968">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442F81BA"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1BB" w14:textId="77777777" w:rsidR="00CC25B5" w:rsidRDefault="00900968">
            <w:pPr>
              <w:jc w:val="right"/>
              <w:textAlignment w:val="center"/>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center"/>
          </w:tcPr>
          <w:p w14:paraId="442F81BC" w14:textId="77777777" w:rsidR="00CC25B5" w:rsidRDefault="00900968">
            <w:pPr>
              <w:jc w:val="right"/>
              <w:textAlignment w:val="center"/>
            </w:pPr>
            <w:r>
              <w:rPr>
                <w:rFonts w:ascii="Times New Roman" w:eastAsia="宋体" w:hAnsi="Times New Roman"/>
                <w:color w:val="000000"/>
                <w:sz w:val="16"/>
                <w:szCs w:val="16"/>
              </w:rPr>
              <w:t>%</w:t>
            </w:r>
          </w:p>
        </w:tc>
      </w:tr>
    </w:tbl>
    <w:p w14:paraId="442F81BE" w14:textId="77777777" w:rsidR="00CC25B5" w:rsidRDefault="00900968">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operations, which are impacted by the volatili</w:t>
      </w:r>
      <w:r>
        <w:rPr>
          <w:rFonts w:ascii="Times New Roman" w:eastAsia="宋体" w:hAnsi="Times New Roman"/>
          <w:color w:val="000000"/>
          <w:sz w:val="16"/>
          <w:szCs w:val="16"/>
        </w:rPr>
        <w:t>ty of fuel prices. Volatility in fuel prices may continue to impact the operating results of the Sam's Club segment in the future.</w:t>
      </w:r>
    </w:p>
    <w:p w14:paraId="442F81BF" w14:textId="77777777" w:rsidR="00CC25B5" w:rsidRDefault="00900968">
      <w:pPr>
        <w:spacing w:before="100"/>
      </w:pPr>
      <w:r>
        <w:rPr>
          <w:rFonts w:ascii="Times New Roman" w:eastAsia="宋体" w:hAnsi="Times New Roman"/>
          <w:color w:val="000000"/>
          <w:sz w:val="20"/>
          <w:szCs w:val="20"/>
        </w:rPr>
        <w:t>Net sales for the Sam's Club segment increased $2.3 billion or 13.9% and $3.8 billion or 12.0% for the three and six months e</w:t>
      </w:r>
      <w:r>
        <w:rPr>
          <w:rFonts w:ascii="Times New Roman" w:eastAsia="宋体" w:hAnsi="Times New Roman"/>
          <w:color w:val="000000"/>
          <w:sz w:val="20"/>
          <w:szCs w:val="20"/>
        </w:rPr>
        <w:t>nded July 31, 2021, respectively, when compared to the same periods in the previous fiscal year. The increases were primarily due to comparable sales, including fuel, of 13.9% and 12.0% for the three and six months ended, respectively. Growth in comparable</w:t>
      </w:r>
      <w:r>
        <w:rPr>
          <w:rFonts w:ascii="Times New Roman" w:eastAsia="宋体" w:hAnsi="Times New Roman"/>
          <w:color w:val="000000"/>
          <w:sz w:val="20"/>
          <w:szCs w:val="20"/>
        </w:rPr>
        <w:t xml:space="preserve"> sales benefited from growth in transactions and average ticket and was aided by stimulus spending. The growth in comparable sales was partially offset by our decision to remove tobacco from certain club locations. Sam's Club eCommerce net sales positively</w:t>
      </w:r>
      <w:r>
        <w:rPr>
          <w:rFonts w:ascii="Times New Roman" w:eastAsia="宋体" w:hAnsi="Times New Roman"/>
          <w:color w:val="000000"/>
          <w:sz w:val="20"/>
          <w:szCs w:val="20"/>
        </w:rPr>
        <w:t xml:space="preserve"> contributed approximately 1.1% and 1.9% to comparable sales for the three and six months ended July 31, 2021, respectively. </w:t>
      </w:r>
    </w:p>
    <w:p w14:paraId="442F81C0" w14:textId="77777777" w:rsidR="00CC25B5" w:rsidRDefault="00900968">
      <w:pPr>
        <w:spacing w:before="100"/>
      </w:pPr>
      <w:r>
        <w:rPr>
          <w:rFonts w:ascii="Times New Roman" w:eastAsia="宋体" w:hAnsi="Times New Roman"/>
          <w:color w:val="000000"/>
          <w:sz w:val="20"/>
          <w:szCs w:val="20"/>
        </w:rPr>
        <w:t>Gross profit rate decreased 88 and 47 basis points for the three and six months ended July 31, 2021, respectively, when compared t</w:t>
      </w:r>
      <w:r>
        <w:rPr>
          <w:rFonts w:ascii="Times New Roman" w:eastAsia="宋体" w:hAnsi="Times New Roman"/>
          <w:color w:val="000000"/>
          <w:sz w:val="20"/>
          <w:szCs w:val="20"/>
        </w:rPr>
        <w:t xml:space="preserve">o the same periods in the previous fiscal year. The gross profit rates were negatively impacted by increased fuel sales which have lower margins and cost inflation, partially offset by favorable changes in mix. </w:t>
      </w:r>
    </w:p>
    <w:p w14:paraId="442F81C1" w14:textId="77777777" w:rsidR="00CC25B5" w:rsidRDefault="00900968">
      <w:pPr>
        <w:spacing w:before="100"/>
      </w:pPr>
      <w:r>
        <w:rPr>
          <w:rFonts w:ascii="Times New Roman" w:eastAsia="宋体" w:hAnsi="Times New Roman"/>
          <w:color w:val="000000"/>
          <w:sz w:val="20"/>
          <w:szCs w:val="20"/>
        </w:rPr>
        <w:t xml:space="preserve">Membership and other income increased 13.1% </w:t>
      </w:r>
      <w:r>
        <w:rPr>
          <w:rFonts w:ascii="Times New Roman" w:eastAsia="宋体" w:hAnsi="Times New Roman"/>
          <w:color w:val="000000"/>
          <w:sz w:val="20"/>
          <w:szCs w:val="20"/>
        </w:rPr>
        <w:t xml:space="preserve">and 12.3% for the three and six months ended July 31, 2021, respectively, when compared to the same periods in the previous fiscal year. The increases were due to increases in overall renewal rates, new member sign-ups and Plus penetration. </w:t>
      </w:r>
    </w:p>
    <w:p w14:paraId="442F81C2" w14:textId="77777777" w:rsidR="00CC25B5" w:rsidRDefault="00900968">
      <w:pPr>
        <w:spacing w:before="100"/>
      </w:pPr>
      <w:r>
        <w:rPr>
          <w:rFonts w:ascii="Times New Roman" w:eastAsia="宋体" w:hAnsi="Times New Roman"/>
          <w:color w:val="000000"/>
          <w:sz w:val="20"/>
          <w:szCs w:val="20"/>
        </w:rPr>
        <w:t xml:space="preserve">Operating expenses as a percentage of segment net sales decreased 82 and 52 basis points and for the three and six months ended July 31, 2021, respectively, when compared to the same periods in the previous fiscal year. The decreases were </w:t>
      </w:r>
    </w:p>
    <w:p w14:paraId="442F81C3" w14:textId="77777777" w:rsidR="00CC25B5" w:rsidRDefault="00900968">
      <w:pPr>
        <w:jc w:val="center"/>
      </w:pPr>
      <w:r>
        <w:rPr>
          <w:rFonts w:ascii="Times New Roman" w:eastAsia="宋体" w:hAnsi="Times New Roman"/>
          <w:color w:val="000000"/>
          <w:sz w:val="20"/>
          <w:szCs w:val="20"/>
        </w:rPr>
        <w:t>22</w:t>
      </w:r>
    </w:p>
    <w:p w14:paraId="442F81C4" w14:textId="77777777" w:rsidR="00CC25B5" w:rsidRDefault="00900968">
      <w:r>
        <w:pict w14:anchorId="442F85DF">
          <v:rect id="_x0000_i1046" style="width:415.3pt;height:1.5pt" o:hralign="center" o:hrstd="t" o:hr="t" fillcolor="#a0a0a0" stroked="f"/>
        </w:pict>
      </w:r>
    </w:p>
    <w:p w14:paraId="442F81C5" w14:textId="77777777" w:rsidR="00CC25B5" w:rsidRDefault="00900968">
      <w:hyperlink r:id="rId69" w:anchor="ie1710166881948a18c44f48eaa2dcf00_7" w:history="1">
        <w:r>
          <w:rPr>
            <w:rStyle w:val="a5"/>
            <w:rFonts w:ascii="Times New Roman" w:eastAsia="宋体" w:hAnsi="Times New Roman"/>
            <w:sz w:val="20"/>
            <w:szCs w:val="20"/>
          </w:rPr>
          <w:t>Table of Contents</w:t>
        </w:r>
      </w:hyperlink>
    </w:p>
    <w:p w14:paraId="442F81C6" w14:textId="77777777" w:rsidR="00CC25B5" w:rsidRDefault="00900968">
      <w:pPr>
        <w:spacing w:before="100"/>
      </w:pPr>
      <w:r>
        <w:rPr>
          <w:rFonts w:ascii="Times New Roman" w:eastAsia="宋体" w:hAnsi="Times New Roman"/>
          <w:color w:val="000000"/>
          <w:sz w:val="20"/>
          <w:szCs w:val="20"/>
        </w:rPr>
        <w:t xml:space="preserve">primarily the result of higher fuel sales as well as a benefit from lower incremental COVID-19 related costs, partially offset by increased wage investments and reduced tobacco sales when compared to the same period in the previous fiscal year. </w:t>
      </w:r>
    </w:p>
    <w:p w14:paraId="442F81C7" w14:textId="77777777" w:rsidR="00CC25B5" w:rsidRDefault="00900968">
      <w:pPr>
        <w:spacing w:before="100"/>
      </w:pPr>
      <w:r>
        <w:rPr>
          <w:rFonts w:ascii="Times New Roman" w:eastAsia="宋体" w:hAnsi="Times New Roman"/>
          <w:color w:val="000000"/>
          <w:sz w:val="20"/>
          <w:szCs w:val="20"/>
        </w:rPr>
        <w:t>As a resul</w:t>
      </w:r>
      <w:r>
        <w:rPr>
          <w:rFonts w:ascii="Times New Roman" w:eastAsia="宋体" w:hAnsi="Times New Roman"/>
          <w:color w:val="000000"/>
          <w:sz w:val="20"/>
          <w:szCs w:val="20"/>
        </w:rPr>
        <w:t xml:space="preserve">t of the factors discussed above, operating income increased $0.1 billion for both the three and six months ended July 31, 2021 when compared to the same periods in the previous fiscal year. </w:t>
      </w:r>
    </w:p>
    <w:p w14:paraId="442F81C8" w14:textId="77777777" w:rsidR="00CC25B5" w:rsidRDefault="00CC25B5">
      <w:pPr>
        <w:spacing w:before="100"/>
      </w:pPr>
    </w:p>
    <w:p w14:paraId="442F81C9" w14:textId="77777777" w:rsidR="00CC25B5" w:rsidRDefault="00900968">
      <w:r>
        <w:rPr>
          <w:rFonts w:ascii="Times New Roman" w:eastAsia="宋体" w:hAnsi="Times New Roman"/>
          <w:b/>
          <w:bCs/>
          <w:color w:val="000000"/>
          <w:sz w:val="20"/>
          <w:szCs w:val="20"/>
        </w:rPr>
        <w:t>Liquidity and Capital Resources</w:t>
      </w:r>
    </w:p>
    <w:p w14:paraId="442F81CA" w14:textId="77777777" w:rsidR="00CC25B5" w:rsidRDefault="00900968">
      <w:pPr>
        <w:spacing w:before="100"/>
      </w:pPr>
      <w:r>
        <w:rPr>
          <w:rFonts w:ascii="Times New Roman" w:eastAsia="宋体" w:hAnsi="Times New Roman"/>
          <w:b/>
          <w:bCs/>
          <w:color w:val="000000"/>
          <w:sz w:val="20"/>
          <w:szCs w:val="20"/>
          <w:u w:val="single"/>
        </w:rPr>
        <w:t>Liquidity</w:t>
      </w:r>
    </w:p>
    <w:p w14:paraId="442F81CB" w14:textId="77777777" w:rsidR="00CC25B5" w:rsidRDefault="00900968">
      <w:pPr>
        <w:spacing w:before="100"/>
      </w:pPr>
      <w:r>
        <w:rPr>
          <w:rFonts w:ascii="Times New Roman" w:eastAsia="宋体" w:hAnsi="Times New Roman"/>
          <w:color w:val="000000"/>
          <w:sz w:val="20"/>
          <w:szCs w:val="20"/>
        </w:rPr>
        <w:t>The strength and stab</w:t>
      </w:r>
      <w:r>
        <w:rPr>
          <w:rFonts w:ascii="Times New Roman" w:eastAsia="宋体" w:hAnsi="Times New Roman"/>
          <w:color w:val="000000"/>
          <w:sz w:val="20"/>
          <w:szCs w:val="20"/>
        </w:rPr>
        <w:t>ility of our operations have historically supplied us with a significant source of liquidity. Our cash flows provided by operating activities, supplemented with our long-term debt and short-term borrowings, have been sufficient to fund our operations while</w:t>
      </w:r>
      <w:r>
        <w:rPr>
          <w:rFonts w:ascii="Times New Roman" w:eastAsia="宋体" w:hAnsi="Times New Roman"/>
          <w:color w:val="000000"/>
          <w:sz w:val="20"/>
          <w:szCs w:val="20"/>
        </w:rPr>
        <w:t xml:space="preserve"> allowing us to invest in activities that support the long-term growth of our operations. Generally, some or all of the remaining available cash flow has been used to fund the dividends on our common stock and share repurchases. In the current environment,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we believe our sources of liquidity will continue to be adequate to fund operations, finance our global investment and expansion activities, pay dividends and fund our share repurchases for the foreseeable future. </w:t>
      </w:r>
    </w:p>
    <w:p w14:paraId="442F81CC" w14:textId="77777777" w:rsidR="00CC25B5" w:rsidRDefault="00900968">
      <w:pPr>
        <w:spacing w:before="180"/>
      </w:pPr>
      <w:r>
        <w:rPr>
          <w:rFonts w:ascii="Times New Roman" w:eastAsia="宋体" w:hAnsi="Times New Roman"/>
          <w:b/>
          <w:bCs/>
          <w:i/>
          <w:iCs/>
          <w:color w:val="000000"/>
          <w:sz w:val="20"/>
          <w:szCs w:val="20"/>
        </w:rPr>
        <w:t>Net Cash Provided by Operating Activitie</w:t>
      </w:r>
      <w:r>
        <w:rPr>
          <w:rFonts w:ascii="Times New Roman" w:eastAsia="宋体" w:hAnsi="Times New Roman"/>
          <w:b/>
          <w:bCs/>
          <w:i/>
          <w:iCs/>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83"/>
        <w:gridCol w:w="36"/>
        <w:gridCol w:w="36"/>
        <w:gridCol w:w="36"/>
        <w:gridCol w:w="46"/>
        <w:gridCol w:w="189"/>
        <w:gridCol w:w="188"/>
        <w:gridCol w:w="188"/>
        <w:gridCol w:w="36"/>
        <w:gridCol w:w="36"/>
        <w:gridCol w:w="36"/>
        <w:gridCol w:w="100"/>
        <w:gridCol w:w="699"/>
        <w:gridCol w:w="36"/>
        <w:gridCol w:w="36"/>
        <w:gridCol w:w="36"/>
        <w:gridCol w:w="36"/>
        <w:gridCol w:w="100"/>
        <w:gridCol w:w="702"/>
        <w:gridCol w:w="36"/>
        <w:gridCol w:w="36"/>
        <w:gridCol w:w="36"/>
        <w:gridCol w:w="36"/>
      </w:tblGrid>
      <w:tr w:rsidR="00CC25B5" w14:paraId="442F81E3" w14:textId="77777777">
        <w:trPr>
          <w:jc w:val="center"/>
        </w:trPr>
        <w:tc>
          <w:tcPr>
            <w:tcW w:w="50" w:type="pct"/>
            <w:shd w:val="clear" w:color="auto" w:fill="auto"/>
            <w:vAlign w:val="bottom"/>
          </w:tcPr>
          <w:p w14:paraId="442F81CD" w14:textId="77777777" w:rsidR="00CC25B5" w:rsidRDefault="00CC25B5">
            <w:pPr>
              <w:rPr>
                <w:rFonts w:ascii="宋体"/>
              </w:rPr>
            </w:pPr>
          </w:p>
        </w:tc>
        <w:tc>
          <w:tcPr>
            <w:tcW w:w="3760" w:type="pct"/>
            <w:shd w:val="clear" w:color="auto" w:fill="auto"/>
            <w:vAlign w:val="bottom"/>
          </w:tcPr>
          <w:p w14:paraId="442F81CE" w14:textId="77777777" w:rsidR="00CC25B5" w:rsidRDefault="00CC25B5">
            <w:pPr>
              <w:rPr>
                <w:rFonts w:ascii="宋体"/>
              </w:rPr>
            </w:pPr>
          </w:p>
        </w:tc>
        <w:tc>
          <w:tcPr>
            <w:tcW w:w="5" w:type="pct"/>
            <w:shd w:val="clear" w:color="auto" w:fill="auto"/>
            <w:vAlign w:val="bottom"/>
          </w:tcPr>
          <w:p w14:paraId="442F81CF" w14:textId="77777777" w:rsidR="00CC25B5" w:rsidRDefault="00CC25B5">
            <w:pPr>
              <w:rPr>
                <w:rFonts w:ascii="宋体"/>
              </w:rPr>
            </w:pPr>
          </w:p>
        </w:tc>
        <w:tc>
          <w:tcPr>
            <w:tcW w:w="0" w:type="auto"/>
            <w:shd w:val="clear" w:color="auto" w:fill="auto"/>
            <w:vAlign w:val="bottom"/>
          </w:tcPr>
          <w:p w14:paraId="442F81D0" w14:textId="77777777" w:rsidR="00CC25B5" w:rsidRDefault="00CC25B5">
            <w:pPr>
              <w:rPr>
                <w:rFonts w:ascii="宋体"/>
                <w:vanish/>
              </w:rPr>
            </w:pPr>
          </w:p>
        </w:tc>
        <w:tc>
          <w:tcPr>
            <w:tcW w:w="0" w:type="auto"/>
            <w:shd w:val="clear" w:color="auto" w:fill="auto"/>
            <w:vAlign w:val="bottom"/>
          </w:tcPr>
          <w:p w14:paraId="442F81D1" w14:textId="77777777" w:rsidR="00CC25B5" w:rsidRDefault="00CC25B5">
            <w:pPr>
              <w:rPr>
                <w:rFonts w:ascii="宋体"/>
                <w:vanish/>
              </w:rPr>
            </w:pPr>
          </w:p>
        </w:tc>
        <w:tc>
          <w:tcPr>
            <w:tcW w:w="0" w:type="auto"/>
            <w:shd w:val="clear" w:color="auto" w:fill="auto"/>
            <w:vAlign w:val="bottom"/>
          </w:tcPr>
          <w:p w14:paraId="442F81D2" w14:textId="77777777" w:rsidR="00CC25B5" w:rsidRDefault="00CC25B5">
            <w:pPr>
              <w:rPr>
                <w:rFonts w:ascii="宋体"/>
                <w:vanish/>
              </w:rPr>
            </w:pPr>
          </w:p>
        </w:tc>
        <w:tc>
          <w:tcPr>
            <w:tcW w:w="0" w:type="auto"/>
            <w:shd w:val="clear" w:color="auto" w:fill="auto"/>
            <w:vAlign w:val="bottom"/>
          </w:tcPr>
          <w:p w14:paraId="442F81D3" w14:textId="77777777" w:rsidR="00CC25B5" w:rsidRDefault="00CC25B5">
            <w:pPr>
              <w:rPr>
                <w:rFonts w:ascii="宋体"/>
                <w:vanish/>
              </w:rPr>
            </w:pPr>
          </w:p>
        </w:tc>
        <w:tc>
          <w:tcPr>
            <w:tcW w:w="0" w:type="auto"/>
            <w:shd w:val="clear" w:color="auto" w:fill="auto"/>
            <w:vAlign w:val="bottom"/>
          </w:tcPr>
          <w:p w14:paraId="442F81D4" w14:textId="77777777" w:rsidR="00CC25B5" w:rsidRDefault="00CC25B5">
            <w:pPr>
              <w:rPr>
                <w:rFonts w:ascii="宋体"/>
                <w:vanish/>
              </w:rPr>
            </w:pPr>
          </w:p>
        </w:tc>
        <w:tc>
          <w:tcPr>
            <w:tcW w:w="0" w:type="auto"/>
            <w:shd w:val="clear" w:color="auto" w:fill="auto"/>
            <w:vAlign w:val="bottom"/>
          </w:tcPr>
          <w:p w14:paraId="442F81D5" w14:textId="77777777" w:rsidR="00CC25B5" w:rsidRDefault="00CC25B5">
            <w:pPr>
              <w:rPr>
                <w:rFonts w:ascii="宋体"/>
                <w:vanish/>
              </w:rPr>
            </w:pPr>
          </w:p>
        </w:tc>
        <w:tc>
          <w:tcPr>
            <w:tcW w:w="5" w:type="pct"/>
            <w:shd w:val="clear" w:color="auto" w:fill="auto"/>
            <w:vAlign w:val="bottom"/>
          </w:tcPr>
          <w:p w14:paraId="442F81D6" w14:textId="77777777" w:rsidR="00CC25B5" w:rsidRDefault="00CC25B5">
            <w:pPr>
              <w:rPr>
                <w:rFonts w:ascii="宋体"/>
              </w:rPr>
            </w:pPr>
          </w:p>
        </w:tc>
        <w:tc>
          <w:tcPr>
            <w:tcW w:w="19" w:type="pct"/>
            <w:shd w:val="clear" w:color="auto" w:fill="auto"/>
            <w:vAlign w:val="bottom"/>
          </w:tcPr>
          <w:p w14:paraId="442F81D7" w14:textId="77777777" w:rsidR="00CC25B5" w:rsidRDefault="00CC25B5">
            <w:pPr>
              <w:rPr>
                <w:rFonts w:ascii="宋体"/>
              </w:rPr>
            </w:pPr>
          </w:p>
        </w:tc>
        <w:tc>
          <w:tcPr>
            <w:tcW w:w="5" w:type="pct"/>
            <w:shd w:val="clear" w:color="auto" w:fill="auto"/>
            <w:vAlign w:val="bottom"/>
          </w:tcPr>
          <w:p w14:paraId="442F81D8" w14:textId="77777777" w:rsidR="00CC25B5" w:rsidRDefault="00CC25B5">
            <w:pPr>
              <w:rPr>
                <w:rFonts w:ascii="宋体"/>
              </w:rPr>
            </w:pPr>
          </w:p>
        </w:tc>
        <w:tc>
          <w:tcPr>
            <w:tcW w:w="50" w:type="pct"/>
            <w:shd w:val="clear" w:color="auto" w:fill="auto"/>
            <w:vAlign w:val="bottom"/>
          </w:tcPr>
          <w:p w14:paraId="442F81D9" w14:textId="77777777" w:rsidR="00CC25B5" w:rsidRDefault="00CC25B5">
            <w:pPr>
              <w:rPr>
                <w:rFonts w:ascii="宋体"/>
              </w:rPr>
            </w:pPr>
          </w:p>
        </w:tc>
        <w:tc>
          <w:tcPr>
            <w:tcW w:w="507" w:type="pct"/>
            <w:shd w:val="clear" w:color="auto" w:fill="auto"/>
            <w:vAlign w:val="bottom"/>
          </w:tcPr>
          <w:p w14:paraId="442F81DA" w14:textId="77777777" w:rsidR="00CC25B5" w:rsidRDefault="00CC25B5">
            <w:pPr>
              <w:rPr>
                <w:rFonts w:ascii="宋体"/>
              </w:rPr>
            </w:pPr>
          </w:p>
        </w:tc>
        <w:tc>
          <w:tcPr>
            <w:tcW w:w="5" w:type="pct"/>
            <w:shd w:val="clear" w:color="auto" w:fill="auto"/>
            <w:vAlign w:val="bottom"/>
          </w:tcPr>
          <w:p w14:paraId="442F81DB" w14:textId="77777777" w:rsidR="00CC25B5" w:rsidRDefault="00CC25B5">
            <w:pPr>
              <w:rPr>
                <w:rFonts w:ascii="宋体"/>
              </w:rPr>
            </w:pPr>
          </w:p>
        </w:tc>
        <w:tc>
          <w:tcPr>
            <w:tcW w:w="5" w:type="pct"/>
            <w:shd w:val="clear" w:color="auto" w:fill="auto"/>
            <w:vAlign w:val="bottom"/>
          </w:tcPr>
          <w:p w14:paraId="442F81DC" w14:textId="77777777" w:rsidR="00CC25B5" w:rsidRDefault="00CC25B5">
            <w:pPr>
              <w:rPr>
                <w:rFonts w:ascii="宋体"/>
              </w:rPr>
            </w:pPr>
          </w:p>
        </w:tc>
        <w:tc>
          <w:tcPr>
            <w:tcW w:w="19" w:type="pct"/>
            <w:shd w:val="clear" w:color="auto" w:fill="auto"/>
            <w:vAlign w:val="bottom"/>
          </w:tcPr>
          <w:p w14:paraId="442F81DD" w14:textId="77777777" w:rsidR="00CC25B5" w:rsidRDefault="00CC25B5">
            <w:pPr>
              <w:rPr>
                <w:rFonts w:ascii="宋体"/>
              </w:rPr>
            </w:pPr>
          </w:p>
        </w:tc>
        <w:tc>
          <w:tcPr>
            <w:tcW w:w="5" w:type="pct"/>
            <w:shd w:val="clear" w:color="auto" w:fill="auto"/>
            <w:vAlign w:val="bottom"/>
          </w:tcPr>
          <w:p w14:paraId="442F81DE" w14:textId="77777777" w:rsidR="00CC25B5" w:rsidRDefault="00CC25B5">
            <w:pPr>
              <w:rPr>
                <w:rFonts w:ascii="宋体"/>
              </w:rPr>
            </w:pPr>
          </w:p>
        </w:tc>
        <w:tc>
          <w:tcPr>
            <w:tcW w:w="50" w:type="pct"/>
            <w:shd w:val="clear" w:color="auto" w:fill="auto"/>
            <w:vAlign w:val="bottom"/>
          </w:tcPr>
          <w:p w14:paraId="442F81DF" w14:textId="77777777" w:rsidR="00CC25B5" w:rsidRDefault="00CC25B5">
            <w:pPr>
              <w:rPr>
                <w:rFonts w:ascii="宋体"/>
              </w:rPr>
            </w:pPr>
          </w:p>
        </w:tc>
        <w:tc>
          <w:tcPr>
            <w:tcW w:w="508" w:type="pct"/>
            <w:shd w:val="clear" w:color="auto" w:fill="auto"/>
            <w:vAlign w:val="bottom"/>
          </w:tcPr>
          <w:p w14:paraId="442F81E0" w14:textId="77777777" w:rsidR="00CC25B5" w:rsidRDefault="00CC25B5">
            <w:pPr>
              <w:rPr>
                <w:rFonts w:ascii="宋体"/>
              </w:rPr>
            </w:pPr>
          </w:p>
        </w:tc>
        <w:tc>
          <w:tcPr>
            <w:tcW w:w="5" w:type="pct"/>
            <w:shd w:val="clear" w:color="auto" w:fill="auto"/>
            <w:vAlign w:val="bottom"/>
          </w:tcPr>
          <w:p w14:paraId="442F81E1" w14:textId="77777777" w:rsidR="00CC25B5" w:rsidRDefault="00CC25B5">
            <w:pPr>
              <w:rPr>
                <w:rFonts w:ascii="宋体"/>
              </w:rPr>
            </w:pPr>
          </w:p>
        </w:tc>
        <w:tc>
          <w:tcPr>
            <w:tcW w:w="0" w:type="auto"/>
            <w:gridSpan w:val="3"/>
            <w:shd w:val="clear" w:color="auto" w:fill="auto"/>
            <w:vAlign w:val="bottom"/>
          </w:tcPr>
          <w:p w14:paraId="442F81E2" w14:textId="77777777" w:rsidR="00CC25B5" w:rsidRDefault="00CC25B5">
            <w:pPr>
              <w:rPr>
                <w:rFonts w:ascii="宋体"/>
                <w:vanish/>
              </w:rPr>
            </w:pPr>
          </w:p>
        </w:tc>
      </w:tr>
      <w:tr w:rsidR="00CC25B5" w14:paraId="442F81F8" w14:textId="77777777">
        <w:trPr>
          <w:jc w:val="center"/>
        </w:trPr>
        <w:tc>
          <w:tcPr>
            <w:tcW w:w="0" w:type="auto"/>
            <w:gridSpan w:val="3"/>
            <w:shd w:val="clear" w:color="auto" w:fill="auto"/>
            <w:tcMar>
              <w:top w:w="0" w:type="dxa"/>
              <w:left w:w="20" w:type="dxa"/>
              <w:bottom w:w="0" w:type="dxa"/>
              <w:right w:w="20" w:type="dxa"/>
            </w:tcMar>
            <w:vAlign w:val="bottom"/>
          </w:tcPr>
          <w:p w14:paraId="442F81E4" w14:textId="77777777" w:rsidR="00CC25B5" w:rsidRDefault="00CC25B5">
            <w:pPr>
              <w:rPr>
                <w:rFonts w:ascii="宋体"/>
              </w:rPr>
            </w:pPr>
          </w:p>
        </w:tc>
        <w:tc>
          <w:tcPr>
            <w:tcW w:w="0" w:type="auto"/>
            <w:shd w:val="clear" w:color="auto" w:fill="auto"/>
            <w:vAlign w:val="bottom"/>
          </w:tcPr>
          <w:p w14:paraId="442F81E5" w14:textId="77777777" w:rsidR="00CC25B5" w:rsidRDefault="00CC25B5">
            <w:pPr>
              <w:rPr>
                <w:rFonts w:ascii="宋体"/>
                <w:vanish/>
              </w:rPr>
            </w:pPr>
          </w:p>
        </w:tc>
        <w:tc>
          <w:tcPr>
            <w:tcW w:w="0" w:type="auto"/>
            <w:shd w:val="clear" w:color="auto" w:fill="auto"/>
            <w:vAlign w:val="bottom"/>
          </w:tcPr>
          <w:p w14:paraId="442F81E6" w14:textId="77777777" w:rsidR="00CC25B5" w:rsidRDefault="00CC25B5">
            <w:pPr>
              <w:rPr>
                <w:rFonts w:ascii="宋体"/>
                <w:vanish/>
              </w:rPr>
            </w:pPr>
          </w:p>
        </w:tc>
        <w:tc>
          <w:tcPr>
            <w:tcW w:w="0" w:type="auto"/>
            <w:shd w:val="clear" w:color="auto" w:fill="auto"/>
            <w:tcMar>
              <w:top w:w="0" w:type="dxa"/>
              <w:left w:w="20" w:type="dxa"/>
              <w:bottom w:w="0" w:type="dxa"/>
              <w:right w:w="20" w:type="dxa"/>
            </w:tcMar>
            <w:vAlign w:val="bottom"/>
          </w:tcPr>
          <w:p w14:paraId="442F81E7"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center"/>
          </w:tcPr>
          <w:p w14:paraId="442F81E8" w14:textId="77777777" w:rsidR="00CC25B5" w:rsidRDefault="00900968">
            <w:pPr>
              <w:jc w:val="center"/>
              <w:textAlignment w:val="center"/>
            </w:pPr>
            <w:r>
              <w:rPr>
                <w:rFonts w:ascii="Times New Roman" w:eastAsia="宋体" w:hAnsi="Times New Roman"/>
                <w:b/>
                <w:bCs/>
                <w:color w:val="000000"/>
                <w:sz w:val="16"/>
                <w:szCs w:val="16"/>
              </w:rPr>
              <w:t>S</w:t>
            </w:r>
            <w:r>
              <w:rPr>
                <w:rFonts w:ascii="Times New Roman" w:eastAsia="宋体" w:hAnsi="Times New Roman"/>
                <w:b/>
                <w:bCs/>
                <w:color w:val="000000"/>
                <w:sz w:val="16"/>
                <w:szCs w:val="16"/>
              </w:rPr>
              <w:t>ix Months Ended July 31,</w:t>
            </w:r>
          </w:p>
        </w:tc>
        <w:tc>
          <w:tcPr>
            <w:tcW w:w="0" w:type="auto"/>
            <w:shd w:val="clear" w:color="auto" w:fill="auto"/>
            <w:vAlign w:val="bottom"/>
          </w:tcPr>
          <w:p w14:paraId="442F81E9" w14:textId="77777777" w:rsidR="00CC25B5" w:rsidRDefault="00CC25B5">
            <w:pPr>
              <w:rPr>
                <w:rFonts w:ascii="宋体"/>
              </w:rPr>
            </w:pPr>
          </w:p>
        </w:tc>
        <w:tc>
          <w:tcPr>
            <w:tcW w:w="0" w:type="auto"/>
            <w:shd w:val="clear" w:color="auto" w:fill="auto"/>
            <w:vAlign w:val="bottom"/>
          </w:tcPr>
          <w:p w14:paraId="442F81EA" w14:textId="77777777" w:rsidR="00CC25B5" w:rsidRDefault="00CC25B5">
            <w:pPr>
              <w:rPr>
                <w:rFonts w:ascii="宋体"/>
              </w:rPr>
            </w:pPr>
          </w:p>
        </w:tc>
        <w:tc>
          <w:tcPr>
            <w:tcW w:w="0" w:type="auto"/>
            <w:shd w:val="clear" w:color="auto" w:fill="auto"/>
            <w:vAlign w:val="bottom"/>
          </w:tcPr>
          <w:p w14:paraId="442F81EB" w14:textId="77777777" w:rsidR="00CC25B5" w:rsidRDefault="00CC25B5">
            <w:pPr>
              <w:rPr>
                <w:rFonts w:ascii="宋体"/>
              </w:rPr>
            </w:pPr>
          </w:p>
        </w:tc>
        <w:tc>
          <w:tcPr>
            <w:tcW w:w="0" w:type="auto"/>
            <w:shd w:val="clear" w:color="auto" w:fill="auto"/>
            <w:vAlign w:val="bottom"/>
          </w:tcPr>
          <w:p w14:paraId="442F81EC" w14:textId="77777777" w:rsidR="00CC25B5" w:rsidRDefault="00CC25B5">
            <w:pPr>
              <w:rPr>
                <w:rFonts w:ascii="宋体"/>
              </w:rPr>
            </w:pPr>
          </w:p>
        </w:tc>
        <w:tc>
          <w:tcPr>
            <w:tcW w:w="0" w:type="auto"/>
            <w:shd w:val="clear" w:color="auto" w:fill="auto"/>
            <w:vAlign w:val="bottom"/>
          </w:tcPr>
          <w:p w14:paraId="442F81ED" w14:textId="77777777" w:rsidR="00CC25B5" w:rsidRDefault="00CC25B5">
            <w:pPr>
              <w:rPr>
                <w:rFonts w:ascii="宋体"/>
              </w:rPr>
            </w:pPr>
          </w:p>
        </w:tc>
        <w:tc>
          <w:tcPr>
            <w:tcW w:w="0" w:type="auto"/>
            <w:shd w:val="clear" w:color="auto" w:fill="auto"/>
            <w:vAlign w:val="bottom"/>
          </w:tcPr>
          <w:p w14:paraId="442F81EE" w14:textId="77777777" w:rsidR="00CC25B5" w:rsidRDefault="00CC25B5">
            <w:pPr>
              <w:rPr>
                <w:rFonts w:ascii="宋体"/>
              </w:rPr>
            </w:pPr>
          </w:p>
        </w:tc>
        <w:tc>
          <w:tcPr>
            <w:tcW w:w="0" w:type="auto"/>
            <w:shd w:val="clear" w:color="auto" w:fill="auto"/>
            <w:vAlign w:val="bottom"/>
          </w:tcPr>
          <w:p w14:paraId="442F81EF" w14:textId="77777777" w:rsidR="00CC25B5" w:rsidRDefault="00CC25B5">
            <w:pPr>
              <w:rPr>
                <w:rFonts w:ascii="宋体"/>
              </w:rPr>
            </w:pPr>
          </w:p>
        </w:tc>
        <w:tc>
          <w:tcPr>
            <w:tcW w:w="0" w:type="auto"/>
            <w:shd w:val="clear" w:color="auto" w:fill="auto"/>
            <w:vAlign w:val="bottom"/>
          </w:tcPr>
          <w:p w14:paraId="442F81F0" w14:textId="77777777" w:rsidR="00CC25B5" w:rsidRDefault="00CC25B5">
            <w:pPr>
              <w:rPr>
                <w:rFonts w:ascii="宋体"/>
              </w:rPr>
            </w:pPr>
          </w:p>
        </w:tc>
        <w:tc>
          <w:tcPr>
            <w:tcW w:w="0" w:type="auto"/>
            <w:shd w:val="clear" w:color="auto" w:fill="auto"/>
            <w:vAlign w:val="bottom"/>
          </w:tcPr>
          <w:p w14:paraId="442F81F1" w14:textId="77777777" w:rsidR="00CC25B5" w:rsidRDefault="00CC25B5">
            <w:pPr>
              <w:rPr>
                <w:rFonts w:ascii="宋体"/>
              </w:rPr>
            </w:pPr>
          </w:p>
        </w:tc>
        <w:tc>
          <w:tcPr>
            <w:tcW w:w="0" w:type="auto"/>
            <w:shd w:val="clear" w:color="auto" w:fill="auto"/>
            <w:vAlign w:val="bottom"/>
          </w:tcPr>
          <w:p w14:paraId="442F81F2" w14:textId="77777777" w:rsidR="00CC25B5" w:rsidRDefault="00CC25B5">
            <w:pPr>
              <w:rPr>
                <w:rFonts w:ascii="宋体"/>
              </w:rPr>
            </w:pPr>
          </w:p>
        </w:tc>
        <w:tc>
          <w:tcPr>
            <w:tcW w:w="0" w:type="auto"/>
            <w:shd w:val="clear" w:color="auto" w:fill="auto"/>
            <w:vAlign w:val="bottom"/>
          </w:tcPr>
          <w:p w14:paraId="442F81F3" w14:textId="77777777" w:rsidR="00CC25B5" w:rsidRDefault="00CC25B5">
            <w:pPr>
              <w:rPr>
                <w:rFonts w:ascii="宋体"/>
              </w:rPr>
            </w:pPr>
          </w:p>
        </w:tc>
        <w:tc>
          <w:tcPr>
            <w:tcW w:w="0" w:type="auto"/>
            <w:shd w:val="clear" w:color="auto" w:fill="auto"/>
            <w:vAlign w:val="bottom"/>
          </w:tcPr>
          <w:p w14:paraId="442F81F4" w14:textId="77777777" w:rsidR="00CC25B5" w:rsidRDefault="00CC25B5">
            <w:pPr>
              <w:rPr>
                <w:rFonts w:ascii="宋体"/>
              </w:rPr>
            </w:pPr>
          </w:p>
        </w:tc>
        <w:tc>
          <w:tcPr>
            <w:tcW w:w="0" w:type="auto"/>
            <w:shd w:val="clear" w:color="auto" w:fill="auto"/>
            <w:vAlign w:val="bottom"/>
          </w:tcPr>
          <w:p w14:paraId="442F81F5" w14:textId="77777777" w:rsidR="00CC25B5" w:rsidRDefault="00CC25B5">
            <w:pPr>
              <w:rPr>
                <w:rFonts w:ascii="宋体"/>
              </w:rPr>
            </w:pPr>
          </w:p>
        </w:tc>
        <w:tc>
          <w:tcPr>
            <w:tcW w:w="0" w:type="auto"/>
            <w:shd w:val="clear" w:color="auto" w:fill="auto"/>
            <w:vAlign w:val="bottom"/>
          </w:tcPr>
          <w:p w14:paraId="442F81F6" w14:textId="77777777" w:rsidR="00CC25B5" w:rsidRDefault="00CC25B5">
            <w:pPr>
              <w:rPr>
                <w:rFonts w:ascii="宋体"/>
              </w:rPr>
            </w:pPr>
          </w:p>
        </w:tc>
        <w:tc>
          <w:tcPr>
            <w:tcW w:w="0" w:type="auto"/>
            <w:shd w:val="clear" w:color="auto" w:fill="auto"/>
            <w:vAlign w:val="bottom"/>
          </w:tcPr>
          <w:p w14:paraId="442F81F7" w14:textId="77777777" w:rsidR="00CC25B5" w:rsidRDefault="00CC25B5">
            <w:pPr>
              <w:rPr>
                <w:rFonts w:ascii="宋体"/>
              </w:rPr>
            </w:pPr>
          </w:p>
        </w:tc>
      </w:tr>
      <w:tr w:rsidR="00CC25B5" w14:paraId="442F8205" w14:textId="77777777">
        <w:trPr>
          <w:jc w:val="center"/>
        </w:trPr>
        <w:tc>
          <w:tcPr>
            <w:tcW w:w="0" w:type="auto"/>
            <w:gridSpan w:val="3"/>
            <w:shd w:val="clear" w:color="auto" w:fill="auto"/>
            <w:tcMar>
              <w:top w:w="40" w:type="dxa"/>
              <w:left w:w="20" w:type="dxa"/>
              <w:bottom w:w="40" w:type="dxa"/>
              <w:right w:w="20" w:type="dxa"/>
            </w:tcMar>
            <w:vAlign w:val="center"/>
          </w:tcPr>
          <w:p w14:paraId="442F81F9" w14:textId="77777777" w:rsidR="00CC25B5" w:rsidRDefault="00900968">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442F81FA" w14:textId="77777777" w:rsidR="00CC25B5" w:rsidRDefault="00CC25B5">
            <w:pPr>
              <w:rPr>
                <w:rFonts w:ascii="宋体"/>
                <w:vanish/>
              </w:rPr>
            </w:pPr>
          </w:p>
        </w:tc>
        <w:tc>
          <w:tcPr>
            <w:tcW w:w="0" w:type="auto"/>
            <w:shd w:val="clear" w:color="auto" w:fill="auto"/>
            <w:vAlign w:val="bottom"/>
          </w:tcPr>
          <w:p w14:paraId="442F81FB" w14:textId="77777777" w:rsidR="00CC25B5" w:rsidRDefault="00CC25B5">
            <w:pPr>
              <w:rPr>
                <w:rFonts w:ascii="宋体"/>
                <w:vanish/>
              </w:rPr>
            </w:pPr>
          </w:p>
        </w:tc>
        <w:tc>
          <w:tcPr>
            <w:tcW w:w="0" w:type="auto"/>
            <w:shd w:val="clear" w:color="auto" w:fill="auto"/>
            <w:vAlign w:val="bottom"/>
          </w:tcPr>
          <w:p w14:paraId="442F81FC" w14:textId="77777777" w:rsidR="00CC25B5" w:rsidRDefault="00CC25B5">
            <w:pPr>
              <w:rPr>
                <w:rFonts w:ascii="宋体"/>
                <w:vanish/>
              </w:rPr>
            </w:pPr>
          </w:p>
        </w:tc>
        <w:tc>
          <w:tcPr>
            <w:tcW w:w="0" w:type="auto"/>
            <w:shd w:val="clear" w:color="auto" w:fill="auto"/>
            <w:vAlign w:val="bottom"/>
          </w:tcPr>
          <w:p w14:paraId="442F81FD" w14:textId="77777777" w:rsidR="00CC25B5" w:rsidRDefault="00CC25B5">
            <w:pPr>
              <w:rPr>
                <w:rFonts w:ascii="宋体"/>
                <w:vanish/>
              </w:rPr>
            </w:pPr>
          </w:p>
        </w:tc>
        <w:tc>
          <w:tcPr>
            <w:tcW w:w="0" w:type="auto"/>
            <w:shd w:val="clear" w:color="auto" w:fill="auto"/>
            <w:vAlign w:val="bottom"/>
          </w:tcPr>
          <w:p w14:paraId="442F81FE" w14:textId="77777777" w:rsidR="00CC25B5" w:rsidRDefault="00CC25B5">
            <w:pPr>
              <w:rPr>
                <w:rFonts w:ascii="宋体"/>
                <w:vanish/>
              </w:rPr>
            </w:pPr>
          </w:p>
        </w:tc>
        <w:tc>
          <w:tcPr>
            <w:tcW w:w="0" w:type="auto"/>
            <w:shd w:val="clear" w:color="auto" w:fill="auto"/>
            <w:vAlign w:val="bottom"/>
          </w:tcPr>
          <w:p w14:paraId="442F81FF" w14:textId="77777777" w:rsidR="00CC25B5" w:rsidRDefault="00CC25B5">
            <w:pPr>
              <w:rPr>
                <w:rFonts w:ascii="宋体"/>
                <w:vanish/>
              </w:rPr>
            </w:pPr>
          </w:p>
        </w:tc>
        <w:tc>
          <w:tcPr>
            <w:tcW w:w="0" w:type="auto"/>
            <w:gridSpan w:val="3"/>
            <w:shd w:val="clear" w:color="auto" w:fill="auto"/>
            <w:tcMar>
              <w:top w:w="0" w:type="dxa"/>
              <w:left w:w="20" w:type="dxa"/>
              <w:bottom w:w="0" w:type="dxa"/>
              <w:right w:w="20" w:type="dxa"/>
            </w:tcMar>
            <w:vAlign w:val="bottom"/>
          </w:tcPr>
          <w:p w14:paraId="442F8200"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201"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202"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203" w14:textId="77777777" w:rsidR="00CC25B5" w:rsidRDefault="00900968">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vAlign w:val="bottom"/>
          </w:tcPr>
          <w:p w14:paraId="442F8204" w14:textId="77777777" w:rsidR="00CC25B5" w:rsidRDefault="00CC25B5">
            <w:pPr>
              <w:rPr>
                <w:rFonts w:ascii="宋体"/>
                <w:vanish/>
              </w:rPr>
            </w:pPr>
          </w:p>
        </w:tc>
      </w:tr>
      <w:tr w:rsidR="00CC25B5" w14:paraId="442F8216" w14:textId="77777777">
        <w:trPr>
          <w:jc w:val="center"/>
        </w:trPr>
        <w:tc>
          <w:tcPr>
            <w:tcW w:w="0" w:type="auto"/>
            <w:gridSpan w:val="3"/>
            <w:shd w:val="clear" w:color="auto" w:fill="CCEEFF"/>
            <w:tcMar>
              <w:top w:w="40" w:type="dxa"/>
              <w:left w:w="20" w:type="dxa"/>
              <w:bottom w:w="40" w:type="dxa"/>
              <w:right w:w="20" w:type="dxa"/>
            </w:tcMar>
            <w:vAlign w:val="center"/>
          </w:tcPr>
          <w:p w14:paraId="442F8206" w14:textId="77777777" w:rsidR="00CC25B5" w:rsidRDefault="00900968">
            <w:pPr>
              <w:textAlignment w:val="center"/>
            </w:pPr>
            <w:r>
              <w:rPr>
                <w:rFonts w:ascii="Times New Roman" w:eastAsia="宋体" w:hAnsi="Times New Roman"/>
                <w:color w:val="000000"/>
                <w:sz w:val="16"/>
                <w:szCs w:val="16"/>
              </w:rPr>
              <w:t>Net cash provided by operating activities</w:t>
            </w:r>
          </w:p>
        </w:tc>
        <w:tc>
          <w:tcPr>
            <w:tcW w:w="0" w:type="auto"/>
            <w:shd w:val="clear" w:color="auto" w:fill="auto"/>
            <w:vAlign w:val="bottom"/>
          </w:tcPr>
          <w:p w14:paraId="442F8207" w14:textId="77777777" w:rsidR="00CC25B5" w:rsidRDefault="00CC25B5">
            <w:pPr>
              <w:rPr>
                <w:rFonts w:ascii="宋体"/>
                <w:vanish/>
              </w:rPr>
            </w:pPr>
          </w:p>
        </w:tc>
        <w:tc>
          <w:tcPr>
            <w:tcW w:w="0" w:type="auto"/>
            <w:shd w:val="clear" w:color="auto" w:fill="auto"/>
            <w:vAlign w:val="bottom"/>
          </w:tcPr>
          <w:p w14:paraId="442F8208" w14:textId="77777777" w:rsidR="00CC25B5" w:rsidRDefault="00CC25B5">
            <w:pPr>
              <w:rPr>
                <w:rFonts w:ascii="宋体"/>
                <w:vanish/>
              </w:rPr>
            </w:pPr>
          </w:p>
        </w:tc>
        <w:tc>
          <w:tcPr>
            <w:tcW w:w="0" w:type="auto"/>
            <w:shd w:val="clear" w:color="auto" w:fill="auto"/>
            <w:vAlign w:val="bottom"/>
          </w:tcPr>
          <w:p w14:paraId="442F8209" w14:textId="77777777" w:rsidR="00CC25B5" w:rsidRDefault="00CC25B5">
            <w:pPr>
              <w:rPr>
                <w:rFonts w:ascii="宋体"/>
                <w:vanish/>
              </w:rPr>
            </w:pPr>
          </w:p>
        </w:tc>
        <w:tc>
          <w:tcPr>
            <w:tcW w:w="0" w:type="auto"/>
            <w:shd w:val="clear" w:color="auto" w:fill="auto"/>
            <w:vAlign w:val="bottom"/>
          </w:tcPr>
          <w:p w14:paraId="442F820A" w14:textId="77777777" w:rsidR="00CC25B5" w:rsidRDefault="00CC25B5">
            <w:pPr>
              <w:rPr>
                <w:rFonts w:ascii="宋体"/>
                <w:vanish/>
              </w:rPr>
            </w:pPr>
          </w:p>
        </w:tc>
        <w:tc>
          <w:tcPr>
            <w:tcW w:w="0" w:type="auto"/>
            <w:shd w:val="clear" w:color="auto" w:fill="auto"/>
            <w:vAlign w:val="bottom"/>
          </w:tcPr>
          <w:p w14:paraId="442F820B" w14:textId="77777777" w:rsidR="00CC25B5" w:rsidRDefault="00CC25B5">
            <w:pPr>
              <w:rPr>
                <w:rFonts w:ascii="宋体"/>
                <w:vanish/>
              </w:rPr>
            </w:pPr>
          </w:p>
        </w:tc>
        <w:tc>
          <w:tcPr>
            <w:tcW w:w="0" w:type="auto"/>
            <w:shd w:val="clear" w:color="auto" w:fill="auto"/>
            <w:vAlign w:val="bottom"/>
          </w:tcPr>
          <w:p w14:paraId="442F820C" w14:textId="77777777" w:rsidR="00CC25B5" w:rsidRDefault="00CC25B5">
            <w:pPr>
              <w:rPr>
                <w:rFonts w:ascii="宋体"/>
                <w:vanish/>
              </w:rPr>
            </w:pPr>
          </w:p>
        </w:tc>
        <w:tc>
          <w:tcPr>
            <w:tcW w:w="0" w:type="auto"/>
            <w:gridSpan w:val="3"/>
            <w:shd w:val="clear" w:color="auto" w:fill="CCEEFF"/>
            <w:tcMar>
              <w:top w:w="0" w:type="dxa"/>
              <w:left w:w="20" w:type="dxa"/>
              <w:bottom w:w="0" w:type="dxa"/>
              <w:right w:w="20" w:type="dxa"/>
            </w:tcMar>
            <w:vAlign w:val="bottom"/>
          </w:tcPr>
          <w:p w14:paraId="442F820D"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0E"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0F" w14:textId="77777777" w:rsidR="00CC25B5" w:rsidRDefault="00900968">
            <w:pPr>
              <w:jc w:val="right"/>
              <w:textAlignment w:val="center"/>
            </w:pPr>
            <w:r>
              <w:rPr>
                <w:rFonts w:ascii="Times New Roman" w:eastAsia="宋体" w:hAnsi="Times New Roman"/>
                <w:color w:val="000000"/>
                <w:sz w:val="16"/>
                <w:szCs w:val="16"/>
              </w:rPr>
              <w:t>12,423 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1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11"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1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13" w14:textId="77777777" w:rsidR="00CC25B5" w:rsidRDefault="00900968">
            <w:pPr>
              <w:jc w:val="right"/>
              <w:textAlignment w:val="center"/>
            </w:pPr>
            <w:r>
              <w:rPr>
                <w:rFonts w:ascii="Times New Roman" w:eastAsia="宋体" w:hAnsi="Times New Roman"/>
                <w:color w:val="000000"/>
                <w:sz w:val="16"/>
                <w:szCs w:val="16"/>
              </w:rPr>
              <w:t>18,956 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14" w14:textId="77777777" w:rsidR="00CC25B5" w:rsidRDefault="00CC25B5">
            <w:pPr>
              <w:jc w:val="right"/>
              <w:rPr>
                <w:rFonts w:ascii="宋体"/>
              </w:rPr>
            </w:pPr>
          </w:p>
        </w:tc>
        <w:tc>
          <w:tcPr>
            <w:tcW w:w="0" w:type="auto"/>
            <w:gridSpan w:val="3"/>
            <w:shd w:val="clear" w:color="auto" w:fill="auto"/>
            <w:vAlign w:val="bottom"/>
          </w:tcPr>
          <w:p w14:paraId="442F8215" w14:textId="77777777" w:rsidR="00CC25B5" w:rsidRDefault="00CC25B5">
            <w:pPr>
              <w:rPr>
                <w:rFonts w:ascii="宋体"/>
                <w:vanish/>
              </w:rPr>
            </w:pPr>
          </w:p>
        </w:tc>
      </w:tr>
    </w:tbl>
    <w:p w14:paraId="442F8217" w14:textId="77777777" w:rsidR="00CC25B5" w:rsidRDefault="00900968">
      <w:pPr>
        <w:spacing w:before="60"/>
      </w:pPr>
      <w:r>
        <w:rPr>
          <w:rFonts w:ascii="Times New Roman" w:eastAsia="宋体" w:hAnsi="Times New Roman"/>
          <w:color w:val="000000"/>
          <w:sz w:val="20"/>
          <w:szCs w:val="20"/>
        </w:rPr>
        <w:t>Net cash provided by operating activities was $12.4 billion and $19.0 billion for the six months ended July 31, 2021 and 2020, respectively. The decrease in cash provided by operating activities for the six months ended Jul</w:t>
      </w:r>
      <w:r>
        <w:rPr>
          <w:rFonts w:ascii="Times New Roman" w:eastAsia="宋体" w:hAnsi="Times New Roman"/>
          <w:color w:val="000000"/>
          <w:sz w:val="20"/>
          <w:szCs w:val="20"/>
        </w:rPr>
        <w:t>y 31, 2021 was primarily due to an increase in inventory purchases due in part to lapping the impact of accelerated inventory sell-through in the first half of fiscal 2021.</w:t>
      </w:r>
    </w:p>
    <w:p w14:paraId="442F8218" w14:textId="77777777" w:rsidR="00CC25B5" w:rsidRDefault="00900968">
      <w:pPr>
        <w:spacing w:before="180"/>
      </w:pPr>
      <w:r>
        <w:rPr>
          <w:rFonts w:ascii="Times New Roman" w:eastAsia="宋体" w:hAnsi="Times New Roman"/>
          <w:i/>
          <w:iCs/>
          <w:color w:val="000000"/>
          <w:sz w:val="20"/>
          <w:szCs w:val="20"/>
        </w:rPr>
        <w:t xml:space="preserve">Cash Equivalents and Working Capital Deficit </w:t>
      </w:r>
    </w:p>
    <w:p w14:paraId="442F8219" w14:textId="77777777" w:rsidR="00CC25B5" w:rsidRDefault="00900968">
      <w:pPr>
        <w:spacing w:before="100"/>
      </w:pPr>
      <w:r>
        <w:rPr>
          <w:rFonts w:ascii="Times New Roman" w:eastAsia="宋体" w:hAnsi="Times New Roman"/>
          <w:color w:val="000000"/>
          <w:sz w:val="20"/>
          <w:szCs w:val="20"/>
        </w:rPr>
        <w:t xml:space="preserve">Cash and cash equivalents were $22.8 </w:t>
      </w:r>
      <w:r>
        <w:rPr>
          <w:rFonts w:ascii="Times New Roman" w:eastAsia="宋体" w:hAnsi="Times New Roman"/>
          <w:color w:val="000000"/>
          <w:sz w:val="20"/>
          <w:szCs w:val="20"/>
        </w:rPr>
        <w:t>billion and $16.9 billion at July 31, 2021 and 2020, respectively. Our working capital deficit was $2.9 billion as of July 31, 2021, which decreased when compared to $17.0 billion as of July 31, 2020, primarily driven by the increase in inventory described</w:t>
      </w:r>
      <w:r>
        <w:rPr>
          <w:rFonts w:ascii="Times New Roman" w:eastAsia="宋体" w:hAnsi="Times New Roman"/>
          <w:color w:val="000000"/>
          <w:sz w:val="20"/>
          <w:szCs w:val="20"/>
        </w:rPr>
        <w:t xml:space="preserve"> above as well as an increase in cash and cash equivalents. We generally operate with a working capital deficit due to our efficient use of cash in funding operations, consistent access to the capital markets and returns provided to our shareholders in the</w:t>
      </w:r>
      <w:r>
        <w:rPr>
          <w:rFonts w:ascii="Times New Roman" w:eastAsia="宋体" w:hAnsi="Times New Roman"/>
          <w:color w:val="000000"/>
          <w:sz w:val="20"/>
          <w:szCs w:val="20"/>
        </w:rPr>
        <w:t xml:space="preserve"> form of payments of cash dividends and share repurchases. </w:t>
      </w:r>
    </w:p>
    <w:p w14:paraId="442F821A" w14:textId="77777777" w:rsidR="00CC25B5" w:rsidRDefault="00900968">
      <w:pPr>
        <w:spacing w:before="100"/>
      </w:pPr>
      <w:r>
        <w:rPr>
          <w:rFonts w:ascii="Times New Roman" w:eastAsia="宋体" w:hAnsi="Times New Roman"/>
          <w:color w:val="000000"/>
          <w:sz w:val="20"/>
          <w:szCs w:val="20"/>
        </w:rPr>
        <w:t>As of July 31, 2021 and January 31, 2021, cash and cash equivalents of $3.0 billion and $2.8 billion, respectively, may not be freely transferable to the U.S. due to local laws or other restrictio</w:t>
      </w:r>
      <w:r>
        <w:rPr>
          <w:rFonts w:ascii="Times New Roman" w:eastAsia="宋体" w:hAnsi="Times New Roman"/>
          <w:color w:val="000000"/>
          <w:sz w:val="20"/>
          <w:szCs w:val="20"/>
        </w:rPr>
        <w:t>ns. Of the $3.0 billion at July 31, 2021, approximately $1.0 billion can only be accessed through dividends or intercompany financing arrangements subject to approval of the Flipkart minority shareholders; however, this cash is expected to be utilized to f</w:t>
      </w:r>
      <w:r>
        <w:rPr>
          <w:rFonts w:ascii="Times New Roman" w:eastAsia="宋体" w:hAnsi="Times New Roman"/>
          <w:color w:val="000000"/>
          <w:sz w:val="20"/>
          <w:szCs w:val="20"/>
        </w:rPr>
        <w:t xml:space="preserve">und the operations of Flipkart. </w:t>
      </w:r>
    </w:p>
    <w:p w14:paraId="442F821B" w14:textId="77777777" w:rsidR="00CC25B5" w:rsidRDefault="00CC25B5"/>
    <w:p w14:paraId="442F821C" w14:textId="77777777" w:rsidR="00CC25B5" w:rsidRDefault="00900968">
      <w:r>
        <w:rPr>
          <w:rFonts w:ascii="Times New Roman" w:eastAsia="宋体" w:hAnsi="Times New Roman"/>
          <w:b/>
          <w:bCs/>
          <w:i/>
          <w:iCs/>
          <w:color w:val="000000"/>
          <w:sz w:val="20"/>
          <w:szCs w:val="20"/>
        </w:rPr>
        <w:t>Net Cash Provided by or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04"/>
        <w:gridCol w:w="36"/>
        <w:gridCol w:w="36"/>
        <w:gridCol w:w="36"/>
        <w:gridCol w:w="46"/>
        <w:gridCol w:w="36"/>
        <w:gridCol w:w="36"/>
        <w:gridCol w:w="36"/>
        <w:gridCol w:w="36"/>
        <w:gridCol w:w="100"/>
        <w:gridCol w:w="740"/>
        <w:gridCol w:w="36"/>
        <w:gridCol w:w="36"/>
        <w:gridCol w:w="36"/>
        <w:gridCol w:w="36"/>
        <w:gridCol w:w="100"/>
        <w:gridCol w:w="761"/>
        <w:gridCol w:w="36"/>
        <w:gridCol w:w="36"/>
        <w:gridCol w:w="36"/>
        <w:gridCol w:w="36"/>
        <w:gridCol w:w="36"/>
        <w:gridCol w:w="36"/>
        <w:gridCol w:w="36"/>
      </w:tblGrid>
      <w:tr w:rsidR="00CC25B5" w14:paraId="442F8232" w14:textId="77777777">
        <w:trPr>
          <w:jc w:val="center"/>
        </w:trPr>
        <w:tc>
          <w:tcPr>
            <w:tcW w:w="50" w:type="pct"/>
            <w:shd w:val="clear" w:color="auto" w:fill="auto"/>
            <w:vAlign w:val="bottom"/>
          </w:tcPr>
          <w:p w14:paraId="442F821D" w14:textId="77777777" w:rsidR="00CC25B5" w:rsidRDefault="00CC25B5">
            <w:pPr>
              <w:rPr>
                <w:rFonts w:ascii="宋体"/>
              </w:rPr>
            </w:pPr>
          </w:p>
        </w:tc>
        <w:tc>
          <w:tcPr>
            <w:tcW w:w="3738" w:type="pct"/>
            <w:shd w:val="clear" w:color="auto" w:fill="auto"/>
            <w:vAlign w:val="bottom"/>
          </w:tcPr>
          <w:p w14:paraId="442F821E" w14:textId="77777777" w:rsidR="00CC25B5" w:rsidRDefault="00CC25B5">
            <w:pPr>
              <w:rPr>
                <w:rFonts w:ascii="宋体"/>
              </w:rPr>
            </w:pPr>
          </w:p>
        </w:tc>
        <w:tc>
          <w:tcPr>
            <w:tcW w:w="5" w:type="pct"/>
            <w:shd w:val="clear" w:color="auto" w:fill="auto"/>
            <w:vAlign w:val="bottom"/>
          </w:tcPr>
          <w:p w14:paraId="442F821F" w14:textId="77777777" w:rsidR="00CC25B5" w:rsidRDefault="00CC25B5">
            <w:pPr>
              <w:rPr>
                <w:rFonts w:ascii="宋体"/>
              </w:rPr>
            </w:pPr>
          </w:p>
        </w:tc>
        <w:tc>
          <w:tcPr>
            <w:tcW w:w="0" w:type="auto"/>
            <w:shd w:val="clear" w:color="auto" w:fill="auto"/>
            <w:vAlign w:val="bottom"/>
          </w:tcPr>
          <w:p w14:paraId="442F8220" w14:textId="77777777" w:rsidR="00CC25B5" w:rsidRDefault="00CC25B5">
            <w:pPr>
              <w:rPr>
                <w:rFonts w:ascii="宋体"/>
                <w:vanish/>
              </w:rPr>
            </w:pPr>
          </w:p>
        </w:tc>
        <w:tc>
          <w:tcPr>
            <w:tcW w:w="0" w:type="auto"/>
            <w:shd w:val="clear" w:color="auto" w:fill="auto"/>
            <w:vAlign w:val="bottom"/>
          </w:tcPr>
          <w:p w14:paraId="442F8221" w14:textId="77777777" w:rsidR="00CC25B5" w:rsidRDefault="00CC25B5">
            <w:pPr>
              <w:rPr>
                <w:rFonts w:ascii="宋体"/>
                <w:vanish/>
              </w:rPr>
            </w:pPr>
          </w:p>
        </w:tc>
        <w:tc>
          <w:tcPr>
            <w:tcW w:w="0" w:type="auto"/>
            <w:shd w:val="clear" w:color="auto" w:fill="auto"/>
            <w:vAlign w:val="bottom"/>
          </w:tcPr>
          <w:p w14:paraId="442F8222" w14:textId="77777777" w:rsidR="00CC25B5" w:rsidRDefault="00CC25B5">
            <w:pPr>
              <w:rPr>
                <w:rFonts w:ascii="宋体"/>
                <w:vanish/>
              </w:rPr>
            </w:pPr>
          </w:p>
        </w:tc>
        <w:tc>
          <w:tcPr>
            <w:tcW w:w="0" w:type="auto"/>
            <w:shd w:val="clear" w:color="auto" w:fill="auto"/>
            <w:vAlign w:val="bottom"/>
          </w:tcPr>
          <w:p w14:paraId="442F8223" w14:textId="77777777" w:rsidR="00CC25B5" w:rsidRDefault="00CC25B5">
            <w:pPr>
              <w:rPr>
                <w:rFonts w:ascii="宋体"/>
                <w:vanish/>
              </w:rPr>
            </w:pPr>
          </w:p>
        </w:tc>
        <w:tc>
          <w:tcPr>
            <w:tcW w:w="5" w:type="pct"/>
            <w:shd w:val="clear" w:color="auto" w:fill="auto"/>
            <w:vAlign w:val="bottom"/>
          </w:tcPr>
          <w:p w14:paraId="442F8224" w14:textId="77777777" w:rsidR="00CC25B5" w:rsidRDefault="00CC25B5">
            <w:pPr>
              <w:rPr>
                <w:rFonts w:ascii="宋体"/>
              </w:rPr>
            </w:pPr>
          </w:p>
        </w:tc>
        <w:tc>
          <w:tcPr>
            <w:tcW w:w="41" w:type="pct"/>
            <w:shd w:val="clear" w:color="auto" w:fill="auto"/>
            <w:vAlign w:val="bottom"/>
          </w:tcPr>
          <w:p w14:paraId="442F8225" w14:textId="77777777" w:rsidR="00CC25B5" w:rsidRDefault="00CC25B5">
            <w:pPr>
              <w:rPr>
                <w:rFonts w:ascii="宋体"/>
              </w:rPr>
            </w:pPr>
          </w:p>
        </w:tc>
        <w:tc>
          <w:tcPr>
            <w:tcW w:w="5" w:type="pct"/>
            <w:shd w:val="clear" w:color="auto" w:fill="auto"/>
            <w:vAlign w:val="bottom"/>
          </w:tcPr>
          <w:p w14:paraId="442F8226" w14:textId="77777777" w:rsidR="00CC25B5" w:rsidRDefault="00CC25B5">
            <w:pPr>
              <w:rPr>
                <w:rFonts w:ascii="宋体"/>
              </w:rPr>
            </w:pPr>
          </w:p>
        </w:tc>
        <w:tc>
          <w:tcPr>
            <w:tcW w:w="50" w:type="pct"/>
            <w:shd w:val="clear" w:color="auto" w:fill="auto"/>
            <w:vAlign w:val="bottom"/>
          </w:tcPr>
          <w:p w14:paraId="442F8227" w14:textId="77777777" w:rsidR="00CC25B5" w:rsidRDefault="00CC25B5">
            <w:pPr>
              <w:rPr>
                <w:rFonts w:ascii="宋体"/>
              </w:rPr>
            </w:pPr>
          </w:p>
        </w:tc>
        <w:tc>
          <w:tcPr>
            <w:tcW w:w="507" w:type="pct"/>
            <w:shd w:val="clear" w:color="auto" w:fill="auto"/>
            <w:vAlign w:val="bottom"/>
          </w:tcPr>
          <w:p w14:paraId="442F8228" w14:textId="77777777" w:rsidR="00CC25B5" w:rsidRDefault="00CC25B5">
            <w:pPr>
              <w:rPr>
                <w:rFonts w:ascii="宋体"/>
              </w:rPr>
            </w:pPr>
          </w:p>
        </w:tc>
        <w:tc>
          <w:tcPr>
            <w:tcW w:w="5" w:type="pct"/>
            <w:shd w:val="clear" w:color="auto" w:fill="auto"/>
            <w:vAlign w:val="bottom"/>
          </w:tcPr>
          <w:p w14:paraId="442F8229" w14:textId="77777777" w:rsidR="00CC25B5" w:rsidRDefault="00CC25B5">
            <w:pPr>
              <w:rPr>
                <w:rFonts w:ascii="宋体"/>
              </w:rPr>
            </w:pPr>
          </w:p>
        </w:tc>
        <w:tc>
          <w:tcPr>
            <w:tcW w:w="5" w:type="pct"/>
            <w:shd w:val="clear" w:color="auto" w:fill="auto"/>
            <w:vAlign w:val="bottom"/>
          </w:tcPr>
          <w:p w14:paraId="442F822A" w14:textId="77777777" w:rsidR="00CC25B5" w:rsidRDefault="00CC25B5">
            <w:pPr>
              <w:rPr>
                <w:rFonts w:ascii="宋体"/>
              </w:rPr>
            </w:pPr>
          </w:p>
        </w:tc>
        <w:tc>
          <w:tcPr>
            <w:tcW w:w="19" w:type="pct"/>
            <w:shd w:val="clear" w:color="auto" w:fill="auto"/>
            <w:vAlign w:val="bottom"/>
          </w:tcPr>
          <w:p w14:paraId="442F822B" w14:textId="77777777" w:rsidR="00CC25B5" w:rsidRDefault="00CC25B5">
            <w:pPr>
              <w:rPr>
                <w:rFonts w:ascii="宋体"/>
              </w:rPr>
            </w:pPr>
          </w:p>
        </w:tc>
        <w:tc>
          <w:tcPr>
            <w:tcW w:w="5" w:type="pct"/>
            <w:shd w:val="clear" w:color="auto" w:fill="auto"/>
            <w:vAlign w:val="bottom"/>
          </w:tcPr>
          <w:p w14:paraId="442F822C" w14:textId="77777777" w:rsidR="00CC25B5" w:rsidRDefault="00CC25B5">
            <w:pPr>
              <w:rPr>
                <w:rFonts w:ascii="宋体"/>
              </w:rPr>
            </w:pPr>
          </w:p>
        </w:tc>
        <w:tc>
          <w:tcPr>
            <w:tcW w:w="50" w:type="pct"/>
            <w:shd w:val="clear" w:color="auto" w:fill="auto"/>
            <w:vAlign w:val="bottom"/>
          </w:tcPr>
          <w:p w14:paraId="442F822D" w14:textId="77777777" w:rsidR="00CC25B5" w:rsidRDefault="00CC25B5">
            <w:pPr>
              <w:rPr>
                <w:rFonts w:ascii="宋体"/>
              </w:rPr>
            </w:pPr>
          </w:p>
        </w:tc>
        <w:tc>
          <w:tcPr>
            <w:tcW w:w="507" w:type="pct"/>
            <w:shd w:val="clear" w:color="auto" w:fill="auto"/>
            <w:vAlign w:val="bottom"/>
          </w:tcPr>
          <w:p w14:paraId="442F822E" w14:textId="77777777" w:rsidR="00CC25B5" w:rsidRDefault="00CC25B5">
            <w:pPr>
              <w:rPr>
                <w:rFonts w:ascii="宋体"/>
              </w:rPr>
            </w:pPr>
          </w:p>
        </w:tc>
        <w:tc>
          <w:tcPr>
            <w:tcW w:w="5" w:type="pct"/>
            <w:shd w:val="clear" w:color="auto" w:fill="auto"/>
            <w:vAlign w:val="bottom"/>
          </w:tcPr>
          <w:p w14:paraId="442F822F" w14:textId="77777777" w:rsidR="00CC25B5" w:rsidRDefault="00CC25B5">
            <w:pPr>
              <w:rPr>
                <w:rFonts w:ascii="宋体"/>
              </w:rPr>
            </w:pPr>
          </w:p>
        </w:tc>
        <w:tc>
          <w:tcPr>
            <w:tcW w:w="0" w:type="auto"/>
            <w:gridSpan w:val="3"/>
            <w:shd w:val="clear" w:color="auto" w:fill="auto"/>
            <w:vAlign w:val="bottom"/>
          </w:tcPr>
          <w:p w14:paraId="442F8230" w14:textId="77777777" w:rsidR="00CC25B5" w:rsidRDefault="00CC25B5">
            <w:pPr>
              <w:rPr>
                <w:rFonts w:ascii="宋体"/>
                <w:vanish/>
              </w:rPr>
            </w:pPr>
          </w:p>
        </w:tc>
        <w:tc>
          <w:tcPr>
            <w:tcW w:w="0" w:type="auto"/>
            <w:gridSpan w:val="3"/>
            <w:shd w:val="clear" w:color="auto" w:fill="auto"/>
            <w:vAlign w:val="bottom"/>
          </w:tcPr>
          <w:p w14:paraId="442F8231" w14:textId="77777777" w:rsidR="00CC25B5" w:rsidRDefault="00CC25B5">
            <w:pPr>
              <w:rPr>
                <w:rFonts w:ascii="宋体"/>
                <w:vanish/>
              </w:rPr>
            </w:pPr>
          </w:p>
        </w:tc>
      </w:tr>
      <w:tr w:rsidR="00CC25B5" w14:paraId="442F8242" w14:textId="77777777">
        <w:trPr>
          <w:jc w:val="center"/>
        </w:trPr>
        <w:tc>
          <w:tcPr>
            <w:tcW w:w="0" w:type="auto"/>
            <w:gridSpan w:val="3"/>
            <w:shd w:val="clear" w:color="auto" w:fill="auto"/>
            <w:tcMar>
              <w:top w:w="40" w:type="dxa"/>
              <w:left w:w="20" w:type="dxa"/>
              <w:bottom w:w="40" w:type="dxa"/>
              <w:right w:w="20" w:type="dxa"/>
            </w:tcMar>
            <w:vAlign w:val="center"/>
          </w:tcPr>
          <w:p w14:paraId="442F8233" w14:textId="77777777" w:rsidR="00CC25B5" w:rsidRDefault="00900968">
            <w:pPr>
              <w:textAlignment w:val="center"/>
            </w:pPr>
            <w:r>
              <w:rPr>
                <w:rFonts w:ascii="Times New Roman" w:eastAsia="宋体" w:hAnsi="Times New Roman"/>
                <w:color w:val="000000"/>
                <w:sz w:val="16"/>
                <w:szCs w:val="16"/>
              </w:rPr>
              <w:t> </w:t>
            </w:r>
          </w:p>
        </w:tc>
        <w:tc>
          <w:tcPr>
            <w:tcW w:w="0" w:type="auto"/>
            <w:shd w:val="clear" w:color="auto" w:fill="auto"/>
            <w:vAlign w:val="bottom"/>
          </w:tcPr>
          <w:p w14:paraId="442F8234" w14:textId="77777777" w:rsidR="00CC25B5" w:rsidRDefault="00CC25B5">
            <w:pPr>
              <w:rPr>
                <w:rFonts w:ascii="宋体"/>
                <w:vanish/>
              </w:rPr>
            </w:pPr>
          </w:p>
        </w:tc>
        <w:tc>
          <w:tcPr>
            <w:tcW w:w="0" w:type="auto"/>
            <w:shd w:val="clear" w:color="auto" w:fill="auto"/>
            <w:vAlign w:val="bottom"/>
          </w:tcPr>
          <w:p w14:paraId="442F8235" w14:textId="77777777" w:rsidR="00CC25B5" w:rsidRDefault="00CC25B5">
            <w:pPr>
              <w:rPr>
                <w:rFonts w:ascii="宋体"/>
                <w:vanish/>
              </w:rPr>
            </w:pPr>
          </w:p>
        </w:tc>
        <w:tc>
          <w:tcPr>
            <w:tcW w:w="0" w:type="auto"/>
            <w:shd w:val="clear" w:color="auto" w:fill="auto"/>
            <w:tcMar>
              <w:top w:w="0" w:type="dxa"/>
              <w:left w:w="20" w:type="dxa"/>
              <w:bottom w:w="0" w:type="dxa"/>
              <w:right w:w="20" w:type="dxa"/>
            </w:tcMar>
            <w:vAlign w:val="bottom"/>
          </w:tcPr>
          <w:p w14:paraId="442F8236" w14:textId="77777777" w:rsidR="00CC25B5" w:rsidRDefault="00CC25B5">
            <w:pPr>
              <w:rPr>
                <w:rFonts w:ascii="宋体"/>
              </w:rPr>
            </w:pPr>
          </w:p>
        </w:tc>
        <w:tc>
          <w:tcPr>
            <w:tcW w:w="0" w:type="auto"/>
            <w:gridSpan w:val="7"/>
            <w:shd w:val="clear" w:color="auto" w:fill="auto"/>
            <w:tcMar>
              <w:top w:w="40" w:type="dxa"/>
              <w:left w:w="20" w:type="dxa"/>
              <w:bottom w:w="40" w:type="dxa"/>
              <w:right w:w="20" w:type="dxa"/>
            </w:tcMar>
            <w:vAlign w:val="center"/>
          </w:tcPr>
          <w:p w14:paraId="442F8237" w14:textId="77777777" w:rsidR="00CC25B5" w:rsidRDefault="00900968">
            <w:pPr>
              <w:jc w:val="center"/>
              <w:textAlignment w:val="center"/>
            </w:pPr>
            <w:r>
              <w:rPr>
                <w:rFonts w:ascii="Times New Roman" w:eastAsia="宋体" w:hAnsi="Times New Roman"/>
                <w:b/>
                <w:bCs/>
                <w:color w:val="000000"/>
                <w:sz w:val="16"/>
                <w:szCs w:val="16"/>
              </w:rPr>
              <w:t>Six Months Ended July 31,</w:t>
            </w:r>
          </w:p>
        </w:tc>
        <w:tc>
          <w:tcPr>
            <w:tcW w:w="0" w:type="auto"/>
            <w:gridSpan w:val="3"/>
            <w:shd w:val="clear" w:color="auto" w:fill="auto"/>
            <w:vAlign w:val="bottom"/>
          </w:tcPr>
          <w:p w14:paraId="442F8238" w14:textId="77777777" w:rsidR="00CC25B5" w:rsidRDefault="00CC25B5">
            <w:pPr>
              <w:rPr>
                <w:rFonts w:ascii="宋体"/>
                <w:vanish/>
              </w:rPr>
            </w:pPr>
          </w:p>
        </w:tc>
        <w:tc>
          <w:tcPr>
            <w:tcW w:w="0" w:type="auto"/>
            <w:shd w:val="clear" w:color="auto" w:fill="auto"/>
            <w:vAlign w:val="bottom"/>
          </w:tcPr>
          <w:p w14:paraId="442F8239" w14:textId="77777777" w:rsidR="00CC25B5" w:rsidRDefault="00CC25B5">
            <w:pPr>
              <w:rPr>
                <w:rFonts w:ascii="宋体"/>
              </w:rPr>
            </w:pPr>
          </w:p>
        </w:tc>
        <w:tc>
          <w:tcPr>
            <w:tcW w:w="0" w:type="auto"/>
            <w:shd w:val="clear" w:color="auto" w:fill="auto"/>
            <w:vAlign w:val="bottom"/>
          </w:tcPr>
          <w:p w14:paraId="442F823A" w14:textId="77777777" w:rsidR="00CC25B5" w:rsidRDefault="00CC25B5">
            <w:pPr>
              <w:rPr>
                <w:rFonts w:ascii="宋体"/>
              </w:rPr>
            </w:pPr>
          </w:p>
        </w:tc>
        <w:tc>
          <w:tcPr>
            <w:tcW w:w="0" w:type="auto"/>
            <w:shd w:val="clear" w:color="auto" w:fill="auto"/>
            <w:vAlign w:val="bottom"/>
          </w:tcPr>
          <w:p w14:paraId="442F823B" w14:textId="77777777" w:rsidR="00CC25B5" w:rsidRDefault="00CC25B5">
            <w:pPr>
              <w:rPr>
                <w:rFonts w:ascii="宋体"/>
              </w:rPr>
            </w:pPr>
          </w:p>
        </w:tc>
        <w:tc>
          <w:tcPr>
            <w:tcW w:w="0" w:type="auto"/>
            <w:shd w:val="clear" w:color="auto" w:fill="auto"/>
            <w:vAlign w:val="bottom"/>
          </w:tcPr>
          <w:p w14:paraId="442F823C" w14:textId="77777777" w:rsidR="00CC25B5" w:rsidRDefault="00CC25B5">
            <w:pPr>
              <w:rPr>
                <w:rFonts w:ascii="宋体"/>
              </w:rPr>
            </w:pPr>
          </w:p>
        </w:tc>
        <w:tc>
          <w:tcPr>
            <w:tcW w:w="0" w:type="auto"/>
            <w:shd w:val="clear" w:color="auto" w:fill="auto"/>
            <w:vAlign w:val="bottom"/>
          </w:tcPr>
          <w:p w14:paraId="442F823D" w14:textId="77777777" w:rsidR="00CC25B5" w:rsidRDefault="00CC25B5">
            <w:pPr>
              <w:rPr>
                <w:rFonts w:ascii="宋体"/>
              </w:rPr>
            </w:pPr>
          </w:p>
        </w:tc>
        <w:tc>
          <w:tcPr>
            <w:tcW w:w="0" w:type="auto"/>
            <w:shd w:val="clear" w:color="auto" w:fill="auto"/>
            <w:vAlign w:val="bottom"/>
          </w:tcPr>
          <w:p w14:paraId="442F823E" w14:textId="77777777" w:rsidR="00CC25B5" w:rsidRDefault="00CC25B5">
            <w:pPr>
              <w:rPr>
                <w:rFonts w:ascii="宋体"/>
              </w:rPr>
            </w:pPr>
          </w:p>
        </w:tc>
        <w:tc>
          <w:tcPr>
            <w:tcW w:w="0" w:type="auto"/>
            <w:shd w:val="clear" w:color="auto" w:fill="auto"/>
            <w:vAlign w:val="bottom"/>
          </w:tcPr>
          <w:p w14:paraId="442F823F" w14:textId="77777777" w:rsidR="00CC25B5" w:rsidRDefault="00CC25B5">
            <w:pPr>
              <w:rPr>
                <w:rFonts w:ascii="宋体"/>
              </w:rPr>
            </w:pPr>
          </w:p>
        </w:tc>
        <w:tc>
          <w:tcPr>
            <w:tcW w:w="0" w:type="auto"/>
            <w:shd w:val="clear" w:color="auto" w:fill="auto"/>
            <w:vAlign w:val="bottom"/>
          </w:tcPr>
          <w:p w14:paraId="442F8240" w14:textId="77777777" w:rsidR="00CC25B5" w:rsidRDefault="00CC25B5">
            <w:pPr>
              <w:rPr>
                <w:rFonts w:ascii="宋体"/>
              </w:rPr>
            </w:pPr>
          </w:p>
        </w:tc>
        <w:tc>
          <w:tcPr>
            <w:tcW w:w="0" w:type="auto"/>
            <w:shd w:val="clear" w:color="auto" w:fill="auto"/>
            <w:vAlign w:val="bottom"/>
          </w:tcPr>
          <w:p w14:paraId="442F8241" w14:textId="77777777" w:rsidR="00CC25B5" w:rsidRDefault="00CC25B5">
            <w:pPr>
              <w:rPr>
                <w:rFonts w:ascii="宋体"/>
              </w:rPr>
            </w:pPr>
          </w:p>
        </w:tc>
      </w:tr>
      <w:tr w:rsidR="00CC25B5" w14:paraId="442F824E" w14:textId="77777777">
        <w:trPr>
          <w:jc w:val="center"/>
        </w:trPr>
        <w:tc>
          <w:tcPr>
            <w:tcW w:w="0" w:type="auto"/>
            <w:gridSpan w:val="3"/>
            <w:shd w:val="clear" w:color="auto" w:fill="auto"/>
            <w:tcMar>
              <w:top w:w="40" w:type="dxa"/>
              <w:left w:w="20" w:type="dxa"/>
              <w:bottom w:w="40" w:type="dxa"/>
              <w:right w:w="20" w:type="dxa"/>
            </w:tcMar>
            <w:vAlign w:val="center"/>
          </w:tcPr>
          <w:p w14:paraId="442F8243" w14:textId="77777777" w:rsidR="00CC25B5" w:rsidRDefault="00900968">
            <w:pPr>
              <w:textAlignment w:val="center"/>
            </w:pPr>
            <w:r>
              <w:rPr>
                <w:rFonts w:ascii="Times New Roman" w:eastAsia="宋体" w:hAnsi="Times New Roman"/>
                <w:i/>
                <w:iCs/>
                <w:color w:val="000000"/>
                <w:sz w:val="16"/>
                <w:szCs w:val="16"/>
              </w:rPr>
              <w:t>(Amounts in millions)</w:t>
            </w:r>
          </w:p>
        </w:tc>
        <w:tc>
          <w:tcPr>
            <w:tcW w:w="0" w:type="auto"/>
            <w:shd w:val="clear" w:color="auto" w:fill="auto"/>
            <w:vAlign w:val="bottom"/>
          </w:tcPr>
          <w:p w14:paraId="442F8244" w14:textId="77777777" w:rsidR="00CC25B5" w:rsidRDefault="00CC25B5">
            <w:pPr>
              <w:rPr>
                <w:rFonts w:ascii="宋体"/>
                <w:vanish/>
              </w:rPr>
            </w:pPr>
          </w:p>
        </w:tc>
        <w:tc>
          <w:tcPr>
            <w:tcW w:w="0" w:type="auto"/>
            <w:shd w:val="clear" w:color="auto" w:fill="auto"/>
            <w:vAlign w:val="bottom"/>
          </w:tcPr>
          <w:p w14:paraId="442F8245" w14:textId="77777777" w:rsidR="00CC25B5" w:rsidRDefault="00CC25B5">
            <w:pPr>
              <w:rPr>
                <w:rFonts w:ascii="宋体"/>
                <w:vanish/>
              </w:rPr>
            </w:pPr>
          </w:p>
        </w:tc>
        <w:tc>
          <w:tcPr>
            <w:tcW w:w="0" w:type="auto"/>
            <w:shd w:val="clear" w:color="auto" w:fill="auto"/>
            <w:vAlign w:val="bottom"/>
          </w:tcPr>
          <w:p w14:paraId="442F8246" w14:textId="77777777" w:rsidR="00CC25B5" w:rsidRDefault="00CC25B5">
            <w:pPr>
              <w:rPr>
                <w:rFonts w:ascii="宋体"/>
                <w:vanish/>
              </w:rPr>
            </w:pPr>
          </w:p>
        </w:tc>
        <w:tc>
          <w:tcPr>
            <w:tcW w:w="0" w:type="auto"/>
            <w:shd w:val="clear" w:color="auto" w:fill="auto"/>
            <w:vAlign w:val="bottom"/>
          </w:tcPr>
          <w:p w14:paraId="442F8247" w14:textId="77777777" w:rsidR="00CC25B5" w:rsidRDefault="00CC25B5">
            <w:pPr>
              <w:rPr>
                <w:rFonts w:ascii="宋体"/>
                <w:vanish/>
              </w:rPr>
            </w:pPr>
          </w:p>
        </w:tc>
        <w:tc>
          <w:tcPr>
            <w:tcW w:w="0" w:type="auto"/>
            <w:gridSpan w:val="3"/>
            <w:shd w:val="clear" w:color="auto" w:fill="auto"/>
            <w:tcMar>
              <w:top w:w="0" w:type="dxa"/>
              <w:left w:w="20" w:type="dxa"/>
              <w:bottom w:w="0" w:type="dxa"/>
              <w:right w:w="20" w:type="dxa"/>
            </w:tcMar>
            <w:vAlign w:val="bottom"/>
          </w:tcPr>
          <w:p w14:paraId="442F8248"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249"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24A"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24B"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vAlign w:val="bottom"/>
          </w:tcPr>
          <w:p w14:paraId="442F824C" w14:textId="77777777" w:rsidR="00CC25B5" w:rsidRDefault="00CC25B5">
            <w:pPr>
              <w:rPr>
                <w:rFonts w:ascii="宋体"/>
                <w:vanish/>
              </w:rPr>
            </w:pPr>
          </w:p>
        </w:tc>
        <w:tc>
          <w:tcPr>
            <w:tcW w:w="0" w:type="auto"/>
            <w:gridSpan w:val="3"/>
            <w:shd w:val="clear" w:color="auto" w:fill="auto"/>
            <w:vAlign w:val="bottom"/>
          </w:tcPr>
          <w:p w14:paraId="442F824D" w14:textId="77777777" w:rsidR="00CC25B5" w:rsidRDefault="00CC25B5">
            <w:pPr>
              <w:rPr>
                <w:rFonts w:ascii="宋体"/>
                <w:vanish/>
              </w:rPr>
            </w:pPr>
          </w:p>
        </w:tc>
      </w:tr>
      <w:tr w:rsidR="00CC25B5" w14:paraId="442F825E" w14:textId="77777777">
        <w:trPr>
          <w:jc w:val="center"/>
        </w:trPr>
        <w:tc>
          <w:tcPr>
            <w:tcW w:w="0" w:type="auto"/>
            <w:gridSpan w:val="3"/>
            <w:shd w:val="clear" w:color="auto" w:fill="CCEEFF"/>
            <w:tcMar>
              <w:top w:w="40" w:type="dxa"/>
              <w:left w:w="20" w:type="dxa"/>
              <w:bottom w:w="40" w:type="dxa"/>
              <w:right w:w="20" w:type="dxa"/>
            </w:tcMar>
            <w:vAlign w:val="center"/>
          </w:tcPr>
          <w:p w14:paraId="442F824F" w14:textId="77777777" w:rsidR="00CC25B5" w:rsidRDefault="00900968">
            <w:pPr>
              <w:textAlignment w:val="center"/>
            </w:pPr>
            <w:r>
              <w:rPr>
                <w:rFonts w:ascii="Times New Roman" w:eastAsia="宋体" w:hAnsi="Times New Roman"/>
                <w:color w:val="000000"/>
                <w:sz w:val="16"/>
                <w:szCs w:val="16"/>
              </w:rPr>
              <w:t>Net cash provided by (used in) investing activities</w:t>
            </w:r>
          </w:p>
        </w:tc>
        <w:tc>
          <w:tcPr>
            <w:tcW w:w="0" w:type="auto"/>
            <w:shd w:val="clear" w:color="auto" w:fill="auto"/>
            <w:vAlign w:val="bottom"/>
          </w:tcPr>
          <w:p w14:paraId="442F8250" w14:textId="77777777" w:rsidR="00CC25B5" w:rsidRDefault="00CC25B5">
            <w:pPr>
              <w:rPr>
                <w:rFonts w:ascii="宋体"/>
                <w:vanish/>
              </w:rPr>
            </w:pPr>
          </w:p>
        </w:tc>
        <w:tc>
          <w:tcPr>
            <w:tcW w:w="0" w:type="auto"/>
            <w:shd w:val="clear" w:color="auto" w:fill="auto"/>
            <w:vAlign w:val="bottom"/>
          </w:tcPr>
          <w:p w14:paraId="442F8251" w14:textId="77777777" w:rsidR="00CC25B5" w:rsidRDefault="00CC25B5">
            <w:pPr>
              <w:rPr>
                <w:rFonts w:ascii="宋体"/>
                <w:vanish/>
              </w:rPr>
            </w:pPr>
          </w:p>
        </w:tc>
        <w:tc>
          <w:tcPr>
            <w:tcW w:w="0" w:type="auto"/>
            <w:shd w:val="clear" w:color="auto" w:fill="auto"/>
            <w:vAlign w:val="bottom"/>
          </w:tcPr>
          <w:p w14:paraId="442F8252" w14:textId="77777777" w:rsidR="00CC25B5" w:rsidRDefault="00CC25B5">
            <w:pPr>
              <w:rPr>
                <w:rFonts w:ascii="宋体"/>
                <w:vanish/>
              </w:rPr>
            </w:pPr>
          </w:p>
        </w:tc>
        <w:tc>
          <w:tcPr>
            <w:tcW w:w="0" w:type="auto"/>
            <w:shd w:val="clear" w:color="auto" w:fill="auto"/>
            <w:vAlign w:val="bottom"/>
          </w:tcPr>
          <w:p w14:paraId="442F8253" w14:textId="77777777" w:rsidR="00CC25B5" w:rsidRDefault="00CC25B5">
            <w:pPr>
              <w:rPr>
                <w:rFonts w:ascii="宋体"/>
                <w:vanish/>
              </w:rPr>
            </w:pPr>
          </w:p>
        </w:tc>
        <w:tc>
          <w:tcPr>
            <w:tcW w:w="0" w:type="auto"/>
            <w:gridSpan w:val="3"/>
            <w:shd w:val="clear" w:color="auto" w:fill="CCEEFF"/>
            <w:tcMar>
              <w:top w:w="0" w:type="dxa"/>
              <w:left w:w="20" w:type="dxa"/>
              <w:bottom w:w="0" w:type="dxa"/>
              <w:right w:w="20" w:type="dxa"/>
            </w:tcMar>
            <w:vAlign w:val="bottom"/>
          </w:tcPr>
          <w:p w14:paraId="442F8254"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55"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56" w14:textId="77777777" w:rsidR="00CC25B5" w:rsidRDefault="00900968">
            <w:pPr>
              <w:jc w:val="right"/>
              <w:textAlignment w:val="center"/>
            </w:pPr>
            <w:r>
              <w:rPr>
                <w:rFonts w:ascii="Times New Roman" w:eastAsia="宋体" w:hAnsi="Times New Roman"/>
                <w:color w:val="000000"/>
                <w:sz w:val="16"/>
                <w:szCs w:val="16"/>
              </w:rPr>
              <w:t>2,402 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57"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58"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5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5A" w14:textId="77777777" w:rsidR="00CC25B5" w:rsidRDefault="00900968">
            <w:pPr>
              <w:jc w:val="right"/>
              <w:textAlignment w:val="center"/>
            </w:pPr>
            <w:r>
              <w:rPr>
                <w:rFonts w:ascii="Times New Roman" w:eastAsia="宋体" w:hAnsi="Times New Roman"/>
                <w:color w:val="000000"/>
                <w:sz w:val="16"/>
                <w:szCs w:val="16"/>
              </w:rPr>
              <w:t>(3,634)</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5B" w14:textId="77777777" w:rsidR="00CC25B5" w:rsidRDefault="00CC25B5">
            <w:pPr>
              <w:jc w:val="right"/>
              <w:rPr>
                <w:rFonts w:ascii="宋体"/>
              </w:rPr>
            </w:pPr>
          </w:p>
        </w:tc>
        <w:tc>
          <w:tcPr>
            <w:tcW w:w="0" w:type="auto"/>
            <w:gridSpan w:val="3"/>
            <w:shd w:val="clear" w:color="auto" w:fill="auto"/>
            <w:vAlign w:val="bottom"/>
          </w:tcPr>
          <w:p w14:paraId="442F825C" w14:textId="77777777" w:rsidR="00CC25B5" w:rsidRDefault="00CC25B5">
            <w:pPr>
              <w:rPr>
                <w:rFonts w:ascii="宋体"/>
                <w:vanish/>
              </w:rPr>
            </w:pPr>
          </w:p>
        </w:tc>
        <w:tc>
          <w:tcPr>
            <w:tcW w:w="0" w:type="auto"/>
            <w:gridSpan w:val="3"/>
            <w:shd w:val="clear" w:color="auto" w:fill="auto"/>
            <w:vAlign w:val="bottom"/>
          </w:tcPr>
          <w:p w14:paraId="442F825D" w14:textId="77777777" w:rsidR="00CC25B5" w:rsidRDefault="00CC25B5">
            <w:pPr>
              <w:rPr>
                <w:rFonts w:ascii="宋体"/>
                <w:vanish/>
              </w:rPr>
            </w:pPr>
          </w:p>
        </w:tc>
      </w:tr>
    </w:tbl>
    <w:p w14:paraId="442F825F" w14:textId="77777777" w:rsidR="00CC25B5" w:rsidRDefault="00900968">
      <w:pPr>
        <w:spacing w:before="60"/>
      </w:pPr>
      <w:r>
        <w:rPr>
          <w:rFonts w:ascii="Times New Roman" w:eastAsia="宋体" w:hAnsi="Times New Roman"/>
          <w:color w:val="000000"/>
          <w:sz w:val="20"/>
          <w:szCs w:val="20"/>
        </w:rPr>
        <w:t xml:space="preserve">Net cash provided by investing activities was $2.4 billion as compared to net cash used in investing activities of $3.6 billion for the six months ended July 31, 2021 and 2020, respectively. Net cash provided </w:t>
      </w:r>
      <w:r>
        <w:rPr>
          <w:rFonts w:ascii="Times New Roman" w:eastAsia="宋体" w:hAnsi="Times New Roman"/>
          <w:color w:val="000000"/>
          <w:sz w:val="20"/>
          <w:szCs w:val="20"/>
        </w:rPr>
        <w:t xml:space="preserve">by investing activities increased $6.0 billion for the six months ended July 31, 2021 primarily due to the net proceeds received from the divestitures of Asda and Seiyu, partially offset by increased capital expenditures. </w:t>
      </w:r>
    </w:p>
    <w:p w14:paraId="442F8260" w14:textId="77777777" w:rsidR="00CC25B5" w:rsidRDefault="00900968">
      <w:pPr>
        <w:spacing w:before="180"/>
      </w:pPr>
      <w:r>
        <w:rPr>
          <w:rFonts w:ascii="Times New Roman" w:eastAsia="宋体" w:hAnsi="Times New Roman"/>
          <w:b/>
          <w:bCs/>
          <w:i/>
          <w:iCs/>
          <w:color w:val="000000"/>
          <w:sz w:val="20"/>
          <w:szCs w:val="20"/>
        </w:rPr>
        <w:t>Net Cash Used in Financing Activi</w:t>
      </w:r>
      <w:r>
        <w:rPr>
          <w:rFonts w:ascii="Times New Roman" w:eastAsia="宋体" w:hAnsi="Times New Roman"/>
          <w:b/>
          <w:bCs/>
          <w:i/>
          <w:iCs/>
          <w:color w:val="000000"/>
          <w:sz w:val="20"/>
          <w:szCs w:val="20"/>
        </w:rPr>
        <w:t>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919"/>
        <w:gridCol w:w="36"/>
        <w:gridCol w:w="36"/>
        <w:gridCol w:w="36"/>
        <w:gridCol w:w="36"/>
        <w:gridCol w:w="36"/>
        <w:gridCol w:w="36"/>
        <w:gridCol w:w="36"/>
        <w:gridCol w:w="36"/>
        <w:gridCol w:w="100"/>
        <w:gridCol w:w="747"/>
        <w:gridCol w:w="36"/>
        <w:gridCol w:w="36"/>
        <w:gridCol w:w="36"/>
        <w:gridCol w:w="36"/>
        <w:gridCol w:w="100"/>
        <w:gridCol w:w="749"/>
        <w:gridCol w:w="36"/>
        <w:gridCol w:w="36"/>
        <w:gridCol w:w="36"/>
        <w:gridCol w:w="36"/>
        <w:gridCol w:w="36"/>
        <w:gridCol w:w="36"/>
        <w:gridCol w:w="36"/>
      </w:tblGrid>
      <w:tr w:rsidR="00CC25B5" w14:paraId="442F8276" w14:textId="77777777">
        <w:trPr>
          <w:jc w:val="center"/>
        </w:trPr>
        <w:tc>
          <w:tcPr>
            <w:tcW w:w="50" w:type="pct"/>
            <w:shd w:val="clear" w:color="auto" w:fill="auto"/>
            <w:vAlign w:val="bottom"/>
          </w:tcPr>
          <w:p w14:paraId="442F8261" w14:textId="77777777" w:rsidR="00CC25B5" w:rsidRDefault="00CC25B5">
            <w:pPr>
              <w:rPr>
                <w:rFonts w:ascii="宋体"/>
              </w:rPr>
            </w:pPr>
          </w:p>
        </w:tc>
        <w:tc>
          <w:tcPr>
            <w:tcW w:w="3760" w:type="pct"/>
            <w:shd w:val="clear" w:color="auto" w:fill="auto"/>
            <w:vAlign w:val="bottom"/>
          </w:tcPr>
          <w:p w14:paraId="442F8262" w14:textId="77777777" w:rsidR="00CC25B5" w:rsidRDefault="00CC25B5">
            <w:pPr>
              <w:rPr>
                <w:rFonts w:ascii="宋体"/>
              </w:rPr>
            </w:pPr>
          </w:p>
        </w:tc>
        <w:tc>
          <w:tcPr>
            <w:tcW w:w="5" w:type="pct"/>
            <w:shd w:val="clear" w:color="auto" w:fill="auto"/>
            <w:vAlign w:val="bottom"/>
          </w:tcPr>
          <w:p w14:paraId="442F8263" w14:textId="77777777" w:rsidR="00CC25B5" w:rsidRDefault="00CC25B5">
            <w:pPr>
              <w:rPr>
                <w:rFonts w:ascii="宋体"/>
              </w:rPr>
            </w:pPr>
          </w:p>
        </w:tc>
        <w:tc>
          <w:tcPr>
            <w:tcW w:w="5" w:type="pct"/>
            <w:shd w:val="clear" w:color="auto" w:fill="auto"/>
            <w:vAlign w:val="bottom"/>
          </w:tcPr>
          <w:p w14:paraId="442F8264" w14:textId="77777777" w:rsidR="00CC25B5" w:rsidRDefault="00CC25B5">
            <w:pPr>
              <w:rPr>
                <w:rFonts w:ascii="宋体"/>
              </w:rPr>
            </w:pPr>
          </w:p>
        </w:tc>
        <w:tc>
          <w:tcPr>
            <w:tcW w:w="19" w:type="pct"/>
            <w:shd w:val="clear" w:color="auto" w:fill="auto"/>
            <w:vAlign w:val="bottom"/>
          </w:tcPr>
          <w:p w14:paraId="442F8265" w14:textId="77777777" w:rsidR="00CC25B5" w:rsidRDefault="00CC25B5">
            <w:pPr>
              <w:rPr>
                <w:rFonts w:ascii="宋体"/>
              </w:rPr>
            </w:pPr>
          </w:p>
        </w:tc>
        <w:tc>
          <w:tcPr>
            <w:tcW w:w="5" w:type="pct"/>
            <w:shd w:val="clear" w:color="auto" w:fill="auto"/>
            <w:vAlign w:val="bottom"/>
          </w:tcPr>
          <w:p w14:paraId="442F8266" w14:textId="77777777" w:rsidR="00CC25B5" w:rsidRDefault="00CC25B5">
            <w:pPr>
              <w:rPr>
                <w:rFonts w:ascii="宋体"/>
              </w:rPr>
            </w:pPr>
          </w:p>
        </w:tc>
        <w:tc>
          <w:tcPr>
            <w:tcW w:w="0" w:type="auto"/>
            <w:shd w:val="clear" w:color="auto" w:fill="auto"/>
            <w:vAlign w:val="bottom"/>
          </w:tcPr>
          <w:p w14:paraId="442F8267" w14:textId="77777777" w:rsidR="00CC25B5" w:rsidRDefault="00CC25B5">
            <w:pPr>
              <w:rPr>
                <w:rFonts w:ascii="宋体"/>
                <w:vanish/>
              </w:rPr>
            </w:pPr>
          </w:p>
        </w:tc>
        <w:tc>
          <w:tcPr>
            <w:tcW w:w="0" w:type="auto"/>
            <w:shd w:val="clear" w:color="auto" w:fill="auto"/>
            <w:vAlign w:val="bottom"/>
          </w:tcPr>
          <w:p w14:paraId="442F8268" w14:textId="77777777" w:rsidR="00CC25B5" w:rsidRDefault="00CC25B5">
            <w:pPr>
              <w:rPr>
                <w:rFonts w:ascii="宋体"/>
                <w:vanish/>
              </w:rPr>
            </w:pPr>
          </w:p>
        </w:tc>
        <w:tc>
          <w:tcPr>
            <w:tcW w:w="0" w:type="auto"/>
            <w:shd w:val="clear" w:color="auto" w:fill="auto"/>
            <w:vAlign w:val="bottom"/>
          </w:tcPr>
          <w:p w14:paraId="442F8269" w14:textId="77777777" w:rsidR="00CC25B5" w:rsidRDefault="00CC25B5">
            <w:pPr>
              <w:rPr>
                <w:rFonts w:ascii="宋体"/>
                <w:vanish/>
              </w:rPr>
            </w:pPr>
          </w:p>
        </w:tc>
        <w:tc>
          <w:tcPr>
            <w:tcW w:w="0" w:type="auto"/>
            <w:shd w:val="clear" w:color="auto" w:fill="auto"/>
            <w:vAlign w:val="bottom"/>
          </w:tcPr>
          <w:p w14:paraId="442F826A" w14:textId="77777777" w:rsidR="00CC25B5" w:rsidRDefault="00CC25B5">
            <w:pPr>
              <w:rPr>
                <w:rFonts w:ascii="宋体"/>
                <w:vanish/>
              </w:rPr>
            </w:pPr>
          </w:p>
        </w:tc>
        <w:tc>
          <w:tcPr>
            <w:tcW w:w="50" w:type="pct"/>
            <w:shd w:val="clear" w:color="auto" w:fill="auto"/>
            <w:vAlign w:val="bottom"/>
          </w:tcPr>
          <w:p w14:paraId="442F826B" w14:textId="77777777" w:rsidR="00CC25B5" w:rsidRDefault="00CC25B5">
            <w:pPr>
              <w:rPr>
                <w:rFonts w:ascii="宋体"/>
              </w:rPr>
            </w:pPr>
          </w:p>
        </w:tc>
        <w:tc>
          <w:tcPr>
            <w:tcW w:w="507" w:type="pct"/>
            <w:shd w:val="clear" w:color="auto" w:fill="auto"/>
            <w:vAlign w:val="bottom"/>
          </w:tcPr>
          <w:p w14:paraId="442F826C" w14:textId="77777777" w:rsidR="00CC25B5" w:rsidRDefault="00CC25B5">
            <w:pPr>
              <w:rPr>
                <w:rFonts w:ascii="宋体"/>
              </w:rPr>
            </w:pPr>
          </w:p>
        </w:tc>
        <w:tc>
          <w:tcPr>
            <w:tcW w:w="5" w:type="pct"/>
            <w:shd w:val="clear" w:color="auto" w:fill="auto"/>
            <w:vAlign w:val="bottom"/>
          </w:tcPr>
          <w:p w14:paraId="442F826D" w14:textId="77777777" w:rsidR="00CC25B5" w:rsidRDefault="00CC25B5">
            <w:pPr>
              <w:rPr>
                <w:rFonts w:ascii="宋体"/>
              </w:rPr>
            </w:pPr>
          </w:p>
        </w:tc>
        <w:tc>
          <w:tcPr>
            <w:tcW w:w="5" w:type="pct"/>
            <w:shd w:val="clear" w:color="auto" w:fill="auto"/>
            <w:vAlign w:val="bottom"/>
          </w:tcPr>
          <w:p w14:paraId="442F826E" w14:textId="77777777" w:rsidR="00CC25B5" w:rsidRDefault="00CC25B5">
            <w:pPr>
              <w:rPr>
                <w:rFonts w:ascii="宋体"/>
              </w:rPr>
            </w:pPr>
          </w:p>
        </w:tc>
        <w:tc>
          <w:tcPr>
            <w:tcW w:w="19" w:type="pct"/>
            <w:shd w:val="clear" w:color="auto" w:fill="auto"/>
            <w:vAlign w:val="bottom"/>
          </w:tcPr>
          <w:p w14:paraId="442F826F" w14:textId="77777777" w:rsidR="00CC25B5" w:rsidRDefault="00CC25B5">
            <w:pPr>
              <w:rPr>
                <w:rFonts w:ascii="宋体"/>
              </w:rPr>
            </w:pPr>
          </w:p>
        </w:tc>
        <w:tc>
          <w:tcPr>
            <w:tcW w:w="5" w:type="pct"/>
            <w:shd w:val="clear" w:color="auto" w:fill="auto"/>
            <w:vAlign w:val="bottom"/>
          </w:tcPr>
          <w:p w14:paraId="442F8270" w14:textId="77777777" w:rsidR="00CC25B5" w:rsidRDefault="00CC25B5">
            <w:pPr>
              <w:rPr>
                <w:rFonts w:ascii="宋体"/>
              </w:rPr>
            </w:pPr>
          </w:p>
        </w:tc>
        <w:tc>
          <w:tcPr>
            <w:tcW w:w="50" w:type="pct"/>
            <w:shd w:val="clear" w:color="auto" w:fill="auto"/>
            <w:vAlign w:val="bottom"/>
          </w:tcPr>
          <w:p w14:paraId="442F8271" w14:textId="77777777" w:rsidR="00CC25B5" w:rsidRDefault="00CC25B5">
            <w:pPr>
              <w:rPr>
                <w:rFonts w:ascii="宋体"/>
              </w:rPr>
            </w:pPr>
          </w:p>
        </w:tc>
        <w:tc>
          <w:tcPr>
            <w:tcW w:w="508" w:type="pct"/>
            <w:shd w:val="clear" w:color="auto" w:fill="auto"/>
            <w:vAlign w:val="bottom"/>
          </w:tcPr>
          <w:p w14:paraId="442F8272" w14:textId="77777777" w:rsidR="00CC25B5" w:rsidRDefault="00CC25B5">
            <w:pPr>
              <w:rPr>
                <w:rFonts w:ascii="宋体"/>
              </w:rPr>
            </w:pPr>
          </w:p>
        </w:tc>
        <w:tc>
          <w:tcPr>
            <w:tcW w:w="5" w:type="pct"/>
            <w:shd w:val="clear" w:color="auto" w:fill="auto"/>
            <w:vAlign w:val="bottom"/>
          </w:tcPr>
          <w:p w14:paraId="442F8273" w14:textId="77777777" w:rsidR="00CC25B5" w:rsidRDefault="00CC25B5">
            <w:pPr>
              <w:rPr>
                <w:rFonts w:ascii="宋体"/>
              </w:rPr>
            </w:pPr>
          </w:p>
        </w:tc>
        <w:tc>
          <w:tcPr>
            <w:tcW w:w="0" w:type="auto"/>
            <w:gridSpan w:val="3"/>
            <w:shd w:val="clear" w:color="auto" w:fill="auto"/>
            <w:vAlign w:val="bottom"/>
          </w:tcPr>
          <w:p w14:paraId="442F8274" w14:textId="77777777" w:rsidR="00CC25B5" w:rsidRDefault="00CC25B5">
            <w:pPr>
              <w:rPr>
                <w:rFonts w:ascii="宋体"/>
                <w:vanish/>
              </w:rPr>
            </w:pPr>
          </w:p>
        </w:tc>
        <w:tc>
          <w:tcPr>
            <w:tcW w:w="0" w:type="auto"/>
            <w:gridSpan w:val="3"/>
            <w:shd w:val="clear" w:color="auto" w:fill="auto"/>
            <w:vAlign w:val="bottom"/>
          </w:tcPr>
          <w:p w14:paraId="442F8275" w14:textId="77777777" w:rsidR="00CC25B5" w:rsidRDefault="00CC25B5">
            <w:pPr>
              <w:rPr>
                <w:rFonts w:ascii="宋体"/>
                <w:vanish/>
              </w:rPr>
            </w:pPr>
          </w:p>
        </w:tc>
      </w:tr>
      <w:tr w:rsidR="00CC25B5" w14:paraId="442F8286" w14:textId="77777777">
        <w:trPr>
          <w:jc w:val="center"/>
        </w:trPr>
        <w:tc>
          <w:tcPr>
            <w:tcW w:w="0" w:type="auto"/>
            <w:gridSpan w:val="3"/>
            <w:shd w:val="clear" w:color="auto" w:fill="auto"/>
            <w:tcMar>
              <w:top w:w="40" w:type="dxa"/>
              <w:left w:w="20" w:type="dxa"/>
              <w:bottom w:w="40" w:type="dxa"/>
              <w:right w:w="20" w:type="dxa"/>
            </w:tcMar>
            <w:vAlign w:val="center"/>
          </w:tcPr>
          <w:p w14:paraId="442F8277"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F8278" w14:textId="77777777" w:rsidR="00CC25B5" w:rsidRDefault="00CC25B5">
            <w:pPr>
              <w:rPr>
                <w:rFonts w:ascii="宋体"/>
              </w:rPr>
            </w:pPr>
          </w:p>
        </w:tc>
        <w:tc>
          <w:tcPr>
            <w:tcW w:w="0" w:type="auto"/>
            <w:shd w:val="clear" w:color="auto" w:fill="auto"/>
            <w:vAlign w:val="bottom"/>
          </w:tcPr>
          <w:p w14:paraId="442F8279" w14:textId="77777777" w:rsidR="00CC25B5" w:rsidRDefault="00CC25B5">
            <w:pPr>
              <w:rPr>
                <w:rFonts w:ascii="宋体"/>
                <w:vanish/>
              </w:rPr>
            </w:pPr>
          </w:p>
        </w:tc>
        <w:tc>
          <w:tcPr>
            <w:tcW w:w="0" w:type="auto"/>
            <w:shd w:val="clear" w:color="auto" w:fill="auto"/>
            <w:vAlign w:val="bottom"/>
          </w:tcPr>
          <w:p w14:paraId="442F827A" w14:textId="77777777" w:rsidR="00CC25B5" w:rsidRDefault="00CC25B5">
            <w:pPr>
              <w:rPr>
                <w:rFonts w:ascii="宋体"/>
                <w:vanish/>
              </w:rPr>
            </w:pPr>
          </w:p>
        </w:tc>
        <w:tc>
          <w:tcPr>
            <w:tcW w:w="0" w:type="auto"/>
            <w:gridSpan w:val="5"/>
            <w:shd w:val="clear" w:color="auto" w:fill="auto"/>
            <w:tcMar>
              <w:top w:w="40" w:type="dxa"/>
              <w:left w:w="20" w:type="dxa"/>
              <w:bottom w:w="40" w:type="dxa"/>
              <w:right w:w="20" w:type="dxa"/>
            </w:tcMar>
            <w:vAlign w:val="center"/>
          </w:tcPr>
          <w:p w14:paraId="442F827B" w14:textId="77777777" w:rsidR="00CC25B5" w:rsidRDefault="00900968">
            <w:pPr>
              <w:jc w:val="center"/>
              <w:textAlignment w:val="center"/>
            </w:pPr>
            <w:r>
              <w:rPr>
                <w:rFonts w:ascii="Times New Roman" w:eastAsia="宋体" w:hAnsi="Times New Roman"/>
                <w:b/>
                <w:bCs/>
                <w:color w:val="000000"/>
                <w:sz w:val="16"/>
                <w:szCs w:val="16"/>
              </w:rPr>
              <w:t>Six Months Ended July 31,</w:t>
            </w:r>
          </w:p>
        </w:tc>
        <w:tc>
          <w:tcPr>
            <w:tcW w:w="0" w:type="auto"/>
            <w:gridSpan w:val="3"/>
            <w:shd w:val="clear" w:color="auto" w:fill="auto"/>
            <w:vAlign w:val="bottom"/>
          </w:tcPr>
          <w:p w14:paraId="442F827C" w14:textId="77777777" w:rsidR="00CC25B5" w:rsidRDefault="00CC25B5">
            <w:pPr>
              <w:rPr>
                <w:rFonts w:ascii="宋体"/>
                <w:vanish/>
              </w:rPr>
            </w:pPr>
          </w:p>
        </w:tc>
        <w:tc>
          <w:tcPr>
            <w:tcW w:w="0" w:type="auto"/>
            <w:shd w:val="clear" w:color="auto" w:fill="auto"/>
            <w:vAlign w:val="bottom"/>
          </w:tcPr>
          <w:p w14:paraId="442F827D" w14:textId="77777777" w:rsidR="00CC25B5" w:rsidRDefault="00CC25B5">
            <w:pPr>
              <w:rPr>
                <w:rFonts w:ascii="宋体"/>
              </w:rPr>
            </w:pPr>
          </w:p>
        </w:tc>
        <w:tc>
          <w:tcPr>
            <w:tcW w:w="0" w:type="auto"/>
            <w:shd w:val="clear" w:color="auto" w:fill="auto"/>
            <w:vAlign w:val="bottom"/>
          </w:tcPr>
          <w:p w14:paraId="442F827E" w14:textId="77777777" w:rsidR="00CC25B5" w:rsidRDefault="00CC25B5">
            <w:pPr>
              <w:rPr>
                <w:rFonts w:ascii="宋体"/>
              </w:rPr>
            </w:pPr>
          </w:p>
        </w:tc>
        <w:tc>
          <w:tcPr>
            <w:tcW w:w="0" w:type="auto"/>
            <w:shd w:val="clear" w:color="auto" w:fill="auto"/>
            <w:vAlign w:val="bottom"/>
          </w:tcPr>
          <w:p w14:paraId="442F827F" w14:textId="77777777" w:rsidR="00CC25B5" w:rsidRDefault="00CC25B5">
            <w:pPr>
              <w:rPr>
                <w:rFonts w:ascii="宋体"/>
              </w:rPr>
            </w:pPr>
          </w:p>
        </w:tc>
        <w:tc>
          <w:tcPr>
            <w:tcW w:w="0" w:type="auto"/>
            <w:shd w:val="clear" w:color="auto" w:fill="auto"/>
            <w:vAlign w:val="bottom"/>
          </w:tcPr>
          <w:p w14:paraId="442F8280" w14:textId="77777777" w:rsidR="00CC25B5" w:rsidRDefault="00CC25B5">
            <w:pPr>
              <w:rPr>
                <w:rFonts w:ascii="宋体"/>
              </w:rPr>
            </w:pPr>
          </w:p>
        </w:tc>
        <w:tc>
          <w:tcPr>
            <w:tcW w:w="0" w:type="auto"/>
            <w:shd w:val="clear" w:color="auto" w:fill="auto"/>
            <w:vAlign w:val="bottom"/>
          </w:tcPr>
          <w:p w14:paraId="442F8281" w14:textId="77777777" w:rsidR="00CC25B5" w:rsidRDefault="00CC25B5">
            <w:pPr>
              <w:rPr>
                <w:rFonts w:ascii="宋体"/>
              </w:rPr>
            </w:pPr>
          </w:p>
        </w:tc>
        <w:tc>
          <w:tcPr>
            <w:tcW w:w="0" w:type="auto"/>
            <w:shd w:val="clear" w:color="auto" w:fill="auto"/>
            <w:vAlign w:val="bottom"/>
          </w:tcPr>
          <w:p w14:paraId="442F8282" w14:textId="77777777" w:rsidR="00CC25B5" w:rsidRDefault="00CC25B5">
            <w:pPr>
              <w:rPr>
                <w:rFonts w:ascii="宋体"/>
              </w:rPr>
            </w:pPr>
          </w:p>
        </w:tc>
        <w:tc>
          <w:tcPr>
            <w:tcW w:w="0" w:type="auto"/>
            <w:shd w:val="clear" w:color="auto" w:fill="auto"/>
            <w:vAlign w:val="bottom"/>
          </w:tcPr>
          <w:p w14:paraId="442F8283" w14:textId="77777777" w:rsidR="00CC25B5" w:rsidRDefault="00CC25B5">
            <w:pPr>
              <w:rPr>
                <w:rFonts w:ascii="宋体"/>
              </w:rPr>
            </w:pPr>
          </w:p>
        </w:tc>
        <w:tc>
          <w:tcPr>
            <w:tcW w:w="0" w:type="auto"/>
            <w:shd w:val="clear" w:color="auto" w:fill="auto"/>
            <w:vAlign w:val="bottom"/>
          </w:tcPr>
          <w:p w14:paraId="442F8284" w14:textId="77777777" w:rsidR="00CC25B5" w:rsidRDefault="00CC25B5">
            <w:pPr>
              <w:rPr>
                <w:rFonts w:ascii="宋体"/>
              </w:rPr>
            </w:pPr>
          </w:p>
        </w:tc>
        <w:tc>
          <w:tcPr>
            <w:tcW w:w="0" w:type="auto"/>
            <w:shd w:val="clear" w:color="auto" w:fill="auto"/>
            <w:vAlign w:val="bottom"/>
          </w:tcPr>
          <w:p w14:paraId="442F8285" w14:textId="77777777" w:rsidR="00CC25B5" w:rsidRDefault="00CC25B5">
            <w:pPr>
              <w:rPr>
                <w:rFonts w:ascii="宋体"/>
              </w:rPr>
            </w:pPr>
          </w:p>
        </w:tc>
      </w:tr>
      <w:tr w:rsidR="00CC25B5" w14:paraId="442F8292" w14:textId="77777777">
        <w:trPr>
          <w:jc w:val="center"/>
        </w:trPr>
        <w:tc>
          <w:tcPr>
            <w:tcW w:w="0" w:type="auto"/>
            <w:gridSpan w:val="3"/>
            <w:shd w:val="clear" w:color="auto" w:fill="auto"/>
            <w:tcMar>
              <w:top w:w="40" w:type="dxa"/>
              <w:left w:w="20" w:type="dxa"/>
              <w:bottom w:w="40" w:type="dxa"/>
              <w:right w:w="20" w:type="dxa"/>
            </w:tcMar>
            <w:vAlign w:val="center"/>
          </w:tcPr>
          <w:p w14:paraId="442F8287" w14:textId="77777777" w:rsidR="00CC25B5" w:rsidRDefault="00900968">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8288" w14:textId="77777777" w:rsidR="00CC25B5" w:rsidRDefault="00CC25B5">
            <w:pPr>
              <w:rPr>
                <w:rFonts w:ascii="宋体"/>
              </w:rPr>
            </w:pPr>
          </w:p>
        </w:tc>
        <w:tc>
          <w:tcPr>
            <w:tcW w:w="0" w:type="auto"/>
            <w:shd w:val="clear" w:color="auto" w:fill="auto"/>
            <w:vAlign w:val="bottom"/>
          </w:tcPr>
          <w:p w14:paraId="442F8289" w14:textId="77777777" w:rsidR="00CC25B5" w:rsidRDefault="00CC25B5">
            <w:pPr>
              <w:rPr>
                <w:rFonts w:ascii="宋体"/>
                <w:vanish/>
              </w:rPr>
            </w:pPr>
          </w:p>
        </w:tc>
        <w:tc>
          <w:tcPr>
            <w:tcW w:w="0" w:type="auto"/>
            <w:shd w:val="clear" w:color="auto" w:fill="auto"/>
            <w:vAlign w:val="bottom"/>
          </w:tcPr>
          <w:p w14:paraId="442F828A" w14:textId="77777777" w:rsidR="00CC25B5" w:rsidRDefault="00CC25B5">
            <w:pPr>
              <w:rPr>
                <w:rFonts w:ascii="宋体"/>
                <w:vanish/>
              </w:rPr>
            </w:pPr>
          </w:p>
        </w:tc>
        <w:tc>
          <w:tcPr>
            <w:tcW w:w="0" w:type="auto"/>
            <w:shd w:val="clear" w:color="auto" w:fill="auto"/>
            <w:vAlign w:val="bottom"/>
          </w:tcPr>
          <w:p w14:paraId="442F828B" w14:textId="77777777" w:rsidR="00CC25B5" w:rsidRDefault="00CC25B5">
            <w:pPr>
              <w:rPr>
                <w:rFonts w:ascii="宋体"/>
                <w:vanish/>
              </w:rPr>
            </w:pPr>
          </w:p>
        </w:tc>
        <w:tc>
          <w:tcPr>
            <w:tcW w:w="0" w:type="auto"/>
            <w:shd w:val="clear" w:color="auto" w:fill="auto"/>
            <w:vAlign w:val="bottom"/>
          </w:tcPr>
          <w:p w14:paraId="442F828C" w14:textId="77777777" w:rsidR="00CC25B5" w:rsidRDefault="00CC25B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28D" w14:textId="77777777" w:rsidR="00CC25B5" w:rsidRDefault="00900968">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28E"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F828F" w14:textId="77777777" w:rsidR="00CC25B5" w:rsidRDefault="00900968">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vAlign w:val="bottom"/>
          </w:tcPr>
          <w:p w14:paraId="442F8290" w14:textId="77777777" w:rsidR="00CC25B5" w:rsidRDefault="00CC25B5">
            <w:pPr>
              <w:rPr>
                <w:rFonts w:ascii="宋体"/>
                <w:vanish/>
              </w:rPr>
            </w:pPr>
          </w:p>
        </w:tc>
        <w:tc>
          <w:tcPr>
            <w:tcW w:w="0" w:type="auto"/>
            <w:gridSpan w:val="3"/>
            <w:shd w:val="clear" w:color="auto" w:fill="auto"/>
            <w:vAlign w:val="bottom"/>
          </w:tcPr>
          <w:p w14:paraId="442F8291" w14:textId="77777777" w:rsidR="00CC25B5" w:rsidRDefault="00CC25B5">
            <w:pPr>
              <w:rPr>
                <w:rFonts w:ascii="宋体"/>
                <w:vanish/>
              </w:rPr>
            </w:pPr>
          </w:p>
        </w:tc>
      </w:tr>
      <w:tr w:rsidR="00CC25B5" w14:paraId="442F82A2" w14:textId="77777777">
        <w:trPr>
          <w:jc w:val="center"/>
        </w:trPr>
        <w:tc>
          <w:tcPr>
            <w:tcW w:w="0" w:type="auto"/>
            <w:gridSpan w:val="3"/>
            <w:shd w:val="clear" w:color="auto" w:fill="CCEEFF"/>
            <w:tcMar>
              <w:top w:w="40" w:type="dxa"/>
              <w:left w:w="20" w:type="dxa"/>
              <w:bottom w:w="40" w:type="dxa"/>
              <w:right w:w="20" w:type="dxa"/>
            </w:tcMar>
            <w:vAlign w:val="center"/>
          </w:tcPr>
          <w:p w14:paraId="442F8293" w14:textId="77777777" w:rsidR="00CC25B5" w:rsidRDefault="00900968">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442F8294" w14:textId="77777777" w:rsidR="00CC25B5" w:rsidRDefault="00CC25B5">
            <w:pPr>
              <w:rPr>
                <w:rFonts w:ascii="宋体"/>
              </w:rPr>
            </w:pPr>
          </w:p>
        </w:tc>
        <w:tc>
          <w:tcPr>
            <w:tcW w:w="0" w:type="auto"/>
            <w:shd w:val="clear" w:color="auto" w:fill="auto"/>
            <w:vAlign w:val="bottom"/>
          </w:tcPr>
          <w:p w14:paraId="442F8295" w14:textId="77777777" w:rsidR="00CC25B5" w:rsidRDefault="00CC25B5">
            <w:pPr>
              <w:rPr>
                <w:rFonts w:ascii="宋体"/>
                <w:vanish/>
              </w:rPr>
            </w:pPr>
          </w:p>
        </w:tc>
        <w:tc>
          <w:tcPr>
            <w:tcW w:w="0" w:type="auto"/>
            <w:shd w:val="clear" w:color="auto" w:fill="auto"/>
            <w:vAlign w:val="bottom"/>
          </w:tcPr>
          <w:p w14:paraId="442F8296" w14:textId="77777777" w:rsidR="00CC25B5" w:rsidRDefault="00CC25B5">
            <w:pPr>
              <w:rPr>
                <w:rFonts w:ascii="宋体"/>
                <w:vanish/>
              </w:rPr>
            </w:pPr>
          </w:p>
        </w:tc>
        <w:tc>
          <w:tcPr>
            <w:tcW w:w="0" w:type="auto"/>
            <w:shd w:val="clear" w:color="auto" w:fill="auto"/>
            <w:vAlign w:val="bottom"/>
          </w:tcPr>
          <w:p w14:paraId="442F8297" w14:textId="77777777" w:rsidR="00CC25B5" w:rsidRDefault="00CC25B5">
            <w:pPr>
              <w:rPr>
                <w:rFonts w:ascii="宋体"/>
                <w:vanish/>
              </w:rPr>
            </w:pPr>
          </w:p>
        </w:tc>
        <w:tc>
          <w:tcPr>
            <w:tcW w:w="0" w:type="auto"/>
            <w:shd w:val="clear" w:color="auto" w:fill="auto"/>
            <w:vAlign w:val="bottom"/>
          </w:tcPr>
          <w:p w14:paraId="442F8298" w14:textId="77777777" w:rsidR="00CC25B5" w:rsidRDefault="00CC25B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99"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9A" w14:textId="77777777" w:rsidR="00CC25B5" w:rsidRDefault="00900968">
            <w:pPr>
              <w:jc w:val="right"/>
              <w:textAlignment w:val="center"/>
            </w:pPr>
            <w:r>
              <w:rPr>
                <w:rFonts w:ascii="Times New Roman" w:eastAsia="宋体" w:hAnsi="Times New Roman"/>
                <w:color w:val="000000"/>
                <w:sz w:val="16"/>
                <w:szCs w:val="16"/>
              </w:rPr>
              <w:t>(11,559)</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9B"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9C"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9D"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9E" w14:textId="77777777" w:rsidR="00CC25B5" w:rsidRDefault="00900968">
            <w:pPr>
              <w:jc w:val="right"/>
              <w:textAlignment w:val="center"/>
            </w:pPr>
            <w:r>
              <w:rPr>
                <w:rFonts w:ascii="Times New Roman" w:eastAsia="宋体" w:hAnsi="Times New Roman"/>
                <w:color w:val="000000"/>
                <w:sz w:val="16"/>
                <w:szCs w:val="16"/>
              </w:rPr>
              <w:t>(7,814)</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9F" w14:textId="77777777" w:rsidR="00CC25B5" w:rsidRDefault="00CC25B5">
            <w:pPr>
              <w:jc w:val="right"/>
              <w:rPr>
                <w:rFonts w:ascii="宋体"/>
              </w:rPr>
            </w:pPr>
          </w:p>
        </w:tc>
        <w:tc>
          <w:tcPr>
            <w:tcW w:w="0" w:type="auto"/>
            <w:gridSpan w:val="3"/>
            <w:shd w:val="clear" w:color="auto" w:fill="auto"/>
            <w:vAlign w:val="bottom"/>
          </w:tcPr>
          <w:p w14:paraId="442F82A0" w14:textId="77777777" w:rsidR="00CC25B5" w:rsidRDefault="00CC25B5">
            <w:pPr>
              <w:rPr>
                <w:rFonts w:ascii="宋体"/>
                <w:vanish/>
              </w:rPr>
            </w:pPr>
          </w:p>
        </w:tc>
        <w:tc>
          <w:tcPr>
            <w:tcW w:w="0" w:type="auto"/>
            <w:gridSpan w:val="3"/>
            <w:shd w:val="clear" w:color="auto" w:fill="auto"/>
            <w:vAlign w:val="bottom"/>
          </w:tcPr>
          <w:p w14:paraId="442F82A1" w14:textId="77777777" w:rsidR="00CC25B5" w:rsidRDefault="00CC25B5">
            <w:pPr>
              <w:rPr>
                <w:rFonts w:ascii="宋体"/>
                <w:vanish/>
              </w:rPr>
            </w:pPr>
          </w:p>
        </w:tc>
      </w:tr>
    </w:tbl>
    <w:p w14:paraId="442F82A3" w14:textId="77777777" w:rsidR="00CC25B5" w:rsidRDefault="00900968">
      <w:pPr>
        <w:spacing w:before="60"/>
      </w:pPr>
      <w:r>
        <w:rPr>
          <w:rFonts w:ascii="Times New Roman" w:eastAsia="宋体" w:hAnsi="Times New Roman"/>
          <w:color w:val="000000"/>
          <w:sz w:val="20"/>
          <w:szCs w:val="20"/>
        </w:rPr>
        <w:t>Net cash from financing activities generally consists of transactions related to our short-term and long-term debt, dividends paid and the repurchase of the Company's common stock. Transactions with noncontrolling interest shareholders a</w:t>
      </w:r>
      <w:r>
        <w:rPr>
          <w:rFonts w:ascii="Times New Roman" w:eastAsia="宋体" w:hAnsi="Times New Roman"/>
          <w:color w:val="000000"/>
          <w:sz w:val="20"/>
          <w:szCs w:val="20"/>
        </w:rPr>
        <w:t>re also classified as cash flows from financing activities. Net cash used in financing activities was $11.6 billion as compared to $7.8 billion for the six months ended July 31, 2021 and 2020, respectively. The increase in net cash used in financing activi</w:t>
      </w:r>
      <w:r>
        <w:rPr>
          <w:rFonts w:ascii="Times New Roman" w:eastAsia="宋体" w:hAnsi="Times New Roman"/>
          <w:color w:val="000000"/>
          <w:sz w:val="20"/>
          <w:szCs w:val="20"/>
        </w:rPr>
        <w:t>ties is primarily due to increased share repurchases.</w:t>
      </w:r>
    </w:p>
    <w:p w14:paraId="442F82A4" w14:textId="77777777" w:rsidR="00CC25B5" w:rsidRDefault="00900968">
      <w:pPr>
        <w:jc w:val="center"/>
      </w:pPr>
      <w:r>
        <w:rPr>
          <w:rFonts w:ascii="Times New Roman" w:eastAsia="宋体" w:hAnsi="Times New Roman"/>
          <w:color w:val="000000"/>
          <w:sz w:val="20"/>
          <w:szCs w:val="20"/>
        </w:rPr>
        <w:t>23</w:t>
      </w:r>
    </w:p>
    <w:p w14:paraId="442F82A5" w14:textId="77777777" w:rsidR="00CC25B5" w:rsidRDefault="00900968">
      <w:r>
        <w:pict w14:anchorId="442F85E0">
          <v:rect id="_x0000_i1047" style="width:415.3pt;height:1.5pt" o:hralign="center" o:hrstd="t" o:hr="t" fillcolor="#a0a0a0" stroked="f"/>
        </w:pict>
      </w:r>
    </w:p>
    <w:p w14:paraId="442F82A6" w14:textId="77777777" w:rsidR="00CC25B5" w:rsidRDefault="00900968">
      <w:hyperlink r:id="rId70" w:anchor="ie1710166881948a18c44f48eaa2dcf00_7" w:history="1">
        <w:r>
          <w:rPr>
            <w:rStyle w:val="a5"/>
            <w:rFonts w:ascii="Times New Roman" w:eastAsia="宋体" w:hAnsi="Times New Roman"/>
            <w:sz w:val="20"/>
            <w:szCs w:val="20"/>
          </w:rPr>
          <w:t>Table of Contents</w:t>
        </w:r>
      </w:hyperlink>
    </w:p>
    <w:p w14:paraId="442F82A7" w14:textId="77777777" w:rsidR="00CC25B5" w:rsidRDefault="00900968">
      <w:pPr>
        <w:spacing w:before="100"/>
      </w:pPr>
      <w:r>
        <w:rPr>
          <w:rFonts w:ascii="Times New Roman" w:eastAsia="宋体" w:hAnsi="Times New Roman"/>
          <w:color w:val="000000"/>
          <w:sz w:val="20"/>
          <w:szCs w:val="20"/>
        </w:rPr>
        <w:t xml:space="preserve">In April 2021, the Company </w:t>
      </w:r>
      <w:r>
        <w:rPr>
          <w:rFonts w:ascii="Times New Roman" w:eastAsia="宋体" w:hAnsi="Times New Roman"/>
          <w:color w:val="000000"/>
          <w:sz w:val="20"/>
          <w:szCs w:val="20"/>
        </w:rPr>
        <w:t>renewed and extended its existing 364-day revolving credit facility of $10.0 billion as well as its five-year credit facility of $5.0 billion. In total, we had committed lines of credit in the U.S. of $15.0 billion at July 31, 2021, all undrawn.</w:t>
      </w:r>
    </w:p>
    <w:p w14:paraId="442F82A8" w14:textId="77777777" w:rsidR="00CC25B5" w:rsidRDefault="00900968">
      <w:pPr>
        <w:spacing w:before="100"/>
      </w:pPr>
      <w:r>
        <w:rPr>
          <w:rFonts w:ascii="Times New Roman" w:eastAsia="宋体" w:hAnsi="Times New Roman"/>
          <w:color w:val="000000"/>
          <w:sz w:val="20"/>
          <w:szCs w:val="20"/>
        </w:rPr>
        <w:t>In the thi</w:t>
      </w:r>
      <w:r>
        <w:rPr>
          <w:rFonts w:ascii="Times New Roman" w:eastAsia="宋体" w:hAnsi="Times New Roman"/>
          <w:color w:val="000000"/>
          <w:sz w:val="20"/>
          <w:szCs w:val="20"/>
        </w:rPr>
        <w:t>rd quarter of fiscal 2022, the Company's majority-owned Flipkart subsidiary completed a $3.6 billion new equity funding, a portion of which was contributed by the Company, which reduced the Company's ownership of Flipkart to approximately 75%.</w:t>
      </w:r>
    </w:p>
    <w:p w14:paraId="442F82A9" w14:textId="77777777" w:rsidR="00CC25B5" w:rsidRDefault="00900968">
      <w:pPr>
        <w:spacing w:before="180"/>
      </w:pPr>
      <w:r>
        <w:rPr>
          <w:rFonts w:ascii="Times New Roman" w:eastAsia="宋体" w:hAnsi="Times New Roman"/>
          <w:i/>
          <w:iCs/>
          <w:color w:val="000000"/>
          <w:sz w:val="20"/>
          <w:szCs w:val="20"/>
        </w:rPr>
        <w:t>Long-term De</w:t>
      </w:r>
      <w:r>
        <w:rPr>
          <w:rFonts w:ascii="Times New Roman" w:eastAsia="宋体" w:hAnsi="Times New Roman"/>
          <w:i/>
          <w:iCs/>
          <w:color w:val="000000"/>
          <w:sz w:val="20"/>
          <w:szCs w:val="20"/>
        </w:rPr>
        <w:t>bt</w:t>
      </w:r>
    </w:p>
    <w:p w14:paraId="442F82AA" w14:textId="77777777" w:rsidR="00CC25B5" w:rsidRDefault="00900968">
      <w:pPr>
        <w:spacing w:before="100"/>
      </w:pPr>
      <w:r>
        <w:rPr>
          <w:rFonts w:ascii="Times New Roman" w:eastAsia="宋体" w:hAnsi="Times New Roman"/>
          <w:color w:val="000000"/>
          <w:sz w:val="20"/>
          <w:szCs w:val="20"/>
        </w:rPr>
        <w:t>The following table provides the changes in our long-term debt for the six months ended July 31, 2021:</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CC25B5" w14:paraId="442F82C0" w14:textId="77777777">
        <w:tc>
          <w:tcPr>
            <w:tcW w:w="50" w:type="pct"/>
            <w:shd w:val="clear" w:color="auto" w:fill="auto"/>
            <w:vAlign w:val="bottom"/>
          </w:tcPr>
          <w:p w14:paraId="442F82AB" w14:textId="77777777" w:rsidR="00CC25B5" w:rsidRDefault="00CC25B5">
            <w:pPr>
              <w:rPr>
                <w:rFonts w:ascii="宋体"/>
              </w:rPr>
            </w:pPr>
          </w:p>
        </w:tc>
        <w:tc>
          <w:tcPr>
            <w:tcW w:w="2375" w:type="pct"/>
            <w:shd w:val="clear" w:color="auto" w:fill="auto"/>
            <w:vAlign w:val="bottom"/>
          </w:tcPr>
          <w:p w14:paraId="442F82AC" w14:textId="77777777" w:rsidR="00CC25B5" w:rsidRDefault="00CC25B5">
            <w:pPr>
              <w:rPr>
                <w:rFonts w:ascii="宋体"/>
              </w:rPr>
            </w:pPr>
          </w:p>
        </w:tc>
        <w:tc>
          <w:tcPr>
            <w:tcW w:w="5" w:type="pct"/>
            <w:shd w:val="clear" w:color="auto" w:fill="auto"/>
            <w:vAlign w:val="bottom"/>
          </w:tcPr>
          <w:p w14:paraId="442F82AD" w14:textId="77777777" w:rsidR="00CC25B5" w:rsidRDefault="00CC25B5">
            <w:pPr>
              <w:rPr>
                <w:rFonts w:ascii="宋体"/>
              </w:rPr>
            </w:pPr>
          </w:p>
        </w:tc>
        <w:tc>
          <w:tcPr>
            <w:tcW w:w="5" w:type="pct"/>
            <w:shd w:val="clear" w:color="auto" w:fill="auto"/>
            <w:vAlign w:val="bottom"/>
          </w:tcPr>
          <w:p w14:paraId="442F82AE" w14:textId="77777777" w:rsidR="00CC25B5" w:rsidRDefault="00CC25B5">
            <w:pPr>
              <w:rPr>
                <w:rFonts w:ascii="宋体"/>
              </w:rPr>
            </w:pPr>
          </w:p>
        </w:tc>
        <w:tc>
          <w:tcPr>
            <w:tcW w:w="107" w:type="pct"/>
            <w:shd w:val="clear" w:color="auto" w:fill="auto"/>
            <w:vAlign w:val="bottom"/>
          </w:tcPr>
          <w:p w14:paraId="442F82AF" w14:textId="77777777" w:rsidR="00CC25B5" w:rsidRDefault="00CC25B5">
            <w:pPr>
              <w:rPr>
                <w:rFonts w:ascii="宋体"/>
              </w:rPr>
            </w:pPr>
          </w:p>
        </w:tc>
        <w:tc>
          <w:tcPr>
            <w:tcW w:w="5" w:type="pct"/>
            <w:shd w:val="clear" w:color="auto" w:fill="auto"/>
            <w:vAlign w:val="bottom"/>
          </w:tcPr>
          <w:p w14:paraId="442F82B0" w14:textId="77777777" w:rsidR="00CC25B5" w:rsidRDefault="00CC25B5">
            <w:pPr>
              <w:rPr>
                <w:rFonts w:ascii="宋体"/>
              </w:rPr>
            </w:pPr>
          </w:p>
        </w:tc>
        <w:tc>
          <w:tcPr>
            <w:tcW w:w="50" w:type="pct"/>
            <w:shd w:val="clear" w:color="auto" w:fill="auto"/>
            <w:vAlign w:val="bottom"/>
          </w:tcPr>
          <w:p w14:paraId="442F82B1" w14:textId="77777777" w:rsidR="00CC25B5" w:rsidRDefault="00CC25B5">
            <w:pPr>
              <w:rPr>
                <w:rFonts w:ascii="宋体"/>
              </w:rPr>
            </w:pPr>
          </w:p>
        </w:tc>
        <w:tc>
          <w:tcPr>
            <w:tcW w:w="684" w:type="pct"/>
            <w:shd w:val="clear" w:color="auto" w:fill="auto"/>
            <w:vAlign w:val="bottom"/>
          </w:tcPr>
          <w:p w14:paraId="442F82B2" w14:textId="77777777" w:rsidR="00CC25B5" w:rsidRDefault="00CC25B5">
            <w:pPr>
              <w:rPr>
                <w:rFonts w:ascii="宋体"/>
              </w:rPr>
            </w:pPr>
          </w:p>
        </w:tc>
        <w:tc>
          <w:tcPr>
            <w:tcW w:w="5" w:type="pct"/>
            <w:shd w:val="clear" w:color="auto" w:fill="auto"/>
            <w:vAlign w:val="bottom"/>
          </w:tcPr>
          <w:p w14:paraId="442F82B3" w14:textId="77777777" w:rsidR="00CC25B5" w:rsidRDefault="00CC25B5">
            <w:pPr>
              <w:rPr>
                <w:rFonts w:ascii="宋体"/>
              </w:rPr>
            </w:pPr>
          </w:p>
        </w:tc>
        <w:tc>
          <w:tcPr>
            <w:tcW w:w="5" w:type="pct"/>
            <w:shd w:val="clear" w:color="auto" w:fill="auto"/>
            <w:vAlign w:val="bottom"/>
          </w:tcPr>
          <w:p w14:paraId="442F82B4" w14:textId="77777777" w:rsidR="00CC25B5" w:rsidRDefault="00CC25B5">
            <w:pPr>
              <w:rPr>
                <w:rFonts w:ascii="宋体"/>
              </w:rPr>
            </w:pPr>
          </w:p>
        </w:tc>
        <w:tc>
          <w:tcPr>
            <w:tcW w:w="107" w:type="pct"/>
            <w:shd w:val="clear" w:color="auto" w:fill="auto"/>
            <w:vAlign w:val="bottom"/>
          </w:tcPr>
          <w:p w14:paraId="442F82B5" w14:textId="77777777" w:rsidR="00CC25B5" w:rsidRDefault="00CC25B5">
            <w:pPr>
              <w:rPr>
                <w:rFonts w:ascii="宋体"/>
              </w:rPr>
            </w:pPr>
          </w:p>
        </w:tc>
        <w:tc>
          <w:tcPr>
            <w:tcW w:w="5" w:type="pct"/>
            <w:shd w:val="clear" w:color="auto" w:fill="auto"/>
            <w:vAlign w:val="bottom"/>
          </w:tcPr>
          <w:p w14:paraId="442F82B6" w14:textId="77777777" w:rsidR="00CC25B5" w:rsidRDefault="00CC25B5">
            <w:pPr>
              <w:rPr>
                <w:rFonts w:ascii="宋体"/>
              </w:rPr>
            </w:pPr>
          </w:p>
        </w:tc>
        <w:tc>
          <w:tcPr>
            <w:tcW w:w="50" w:type="pct"/>
            <w:shd w:val="clear" w:color="auto" w:fill="auto"/>
            <w:vAlign w:val="bottom"/>
          </w:tcPr>
          <w:p w14:paraId="442F82B7" w14:textId="77777777" w:rsidR="00CC25B5" w:rsidRDefault="00CC25B5">
            <w:pPr>
              <w:rPr>
                <w:rFonts w:ascii="宋体"/>
              </w:rPr>
            </w:pPr>
          </w:p>
        </w:tc>
        <w:tc>
          <w:tcPr>
            <w:tcW w:w="684" w:type="pct"/>
            <w:shd w:val="clear" w:color="auto" w:fill="auto"/>
            <w:vAlign w:val="bottom"/>
          </w:tcPr>
          <w:p w14:paraId="442F82B8" w14:textId="77777777" w:rsidR="00CC25B5" w:rsidRDefault="00CC25B5">
            <w:pPr>
              <w:rPr>
                <w:rFonts w:ascii="宋体"/>
              </w:rPr>
            </w:pPr>
          </w:p>
        </w:tc>
        <w:tc>
          <w:tcPr>
            <w:tcW w:w="5" w:type="pct"/>
            <w:shd w:val="clear" w:color="auto" w:fill="auto"/>
            <w:vAlign w:val="bottom"/>
          </w:tcPr>
          <w:p w14:paraId="442F82B9" w14:textId="77777777" w:rsidR="00CC25B5" w:rsidRDefault="00CC25B5">
            <w:pPr>
              <w:rPr>
                <w:rFonts w:ascii="宋体"/>
              </w:rPr>
            </w:pPr>
          </w:p>
        </w:tc>
        <w:tc>
          <w:tcPr>
            <w:tcW w:w="5" w:type="pct"/>
            <w:shd w:val="clear" w:color="auto" w:fill="auto"/>
            <w:vAlign w:val="bottom"/>
          </w:tcPr>
          <w:p w14:paraId="442F82BA" w14:textId="77777777" w:rsidR="00CC25B5" w:rsidRDefault="00CC25B5">
            <w:pPr>
              <w:rPr>
                <w:rFonts w:ascii="宋体"/>
              </w:rPr>
            </w:pPr>
          </w:p>
        </w:tc>
        <w:tc>
          <w:tcPr>
            <w:tcW w:w="107" w:type="pct"/>
            <w:shd w:val="clear" w:color="auto" w:fill="auto"/>
            <w:vAlign w:val="bottom"/>
          </w:tcPr>
          <w:p w14:paraId="442F82BB" w14:textId="77777777" w:rsidR="00CC25B5" w:rsidRDefault="00CC25B5">
            <w:pPr>
              <w:rPr>
                <w:rFonts w:ascii="宋体"/>
              </w:rPr>
            </w:pPr>
          </w:p>
        </w:tc>
        <w:tc>
          <w:tcPr>
            <w:tcW w:w="5" w:type="pct"/>
            <w:shd w:val="clear" w:color="auto" w:fill="auto"/>
            <w:vAlign w:val="bottom"/>
          </w:tcPr>
          <w:p w14:paraId="442F82BC" w14:textId="77777777" w:rsidR="00CC25B5" w:rsidRDefault="00CC25B5">
            <w:pPr>
              <w:rPr>
                <w:rFonts w:ascii="宋体"/>
              </w:rPr>
            </w:pPr>
          </w:p>
        </w:tc>
        <w:tc>
          <w:tcPr>
            <w:tcW w:w="50" w:type="pct"/>
            <w:shd w:val="clear" w:color="auto" w:fill="auto"/>
            <w:vAlign w:val="bottom"/>
          </w:tcPr>
          <w:p w14:paraId="442F82BD" w14:textId="77777777" w:rsidR="00CC25B5" w:rsidRDefault="00CC25B5">
            <w:pPr>
              <w:rPr>
                <w:rFonts w:ascii="宋体"/>
              </w:rPr>
            </w:pPr>
          </w:p>
        </w:tc>
        <w:tc>
          <w:tcPr>
            <w:tcW w:w="684" w:type="pct"/>
            <w:shd w:val="clear" w:color="auto" w:fill="auto"/>
            <w:vAlign w:val="bottom"/>
          </w:tcPr>
          <w:p w14:paraId="442F82BE" w14:textId="77777777" w:rsidR="00CC25B5" w:rsidRDefault="00CC25B5">
            <w:pPr>
              <w:rPr>
                <w:rFonts w:ascii="宋体"/>
              </w:rPr>
            </w:pPr>
          </w:p>
        </w:tc>
        <w:tc>
          <w:tcPr>
            <w:tcW w:w="5" w:type="pct"/>
            <w:shd w:val="clear" w:color="auto" w:fill="auto"/>
            <w:vAlign w:val="bottom"/>
          </w:tcPr>
          <w:p w14:paraId="442F82BF" w14:textId="77777777" w:rsidR="00CC25B5" w:rsidRDefault="00CC25B5">
            <w:pPr>
              <w:rPr>
                <w:rFonts w:ascii="宋体"/>
              </w:rPr>
            </w:pPr>
          </w:p>
        </w:tc>
      </w:tr>
      <w:tr w:rsidR="00CC25B5" w14:paraId="442F82C8" w14:textId="77777777">
        <w:tc>
          <w:tcPr>
            <w:tcW w:w="0" w:type="auto"/>
            <w:gridSpan w:val="3"/>
            <w:shd w:val="clear" w:color="auto" w:fill="auto"/>
            <w:tcMar>
              <w:top w:w="40" w:type="dxa"/>
              <w:left w:w="20" w:type="dxa"/>
              <w:bottom w:w="40" w:type="dxa"/>
              <w:right w:w="20" w:type="dxa"/>
            </w:tcMar>
            <w:vAlign w:val="bottom"/>
          </w:tcPr>
          <w:p w14:paraId="442F82C1" w14:textId="77777777" w:rsidR="00CC25B5" w:rsidRDefault="00900968">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442F82C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2C3" w14:textId="77777777" w:rsidR="00CC25B5" w:rsidRDefault="00900968">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442F82C4"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2C5" w14:textId="77777777" w:rsidR="00CC25B5" w:rsidRDefault="00900968">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442F82C6"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2C7" w14:textId="77777777" w:rsidR="00CC25B5" w:rsidRDefault="00900968">
            <w:pPr>
              <w:jc w:val="center"/>
              <w:textAlignment w:val="bottom"/>
            </w:pPr>
            <w:r>
              <w:rPr>
                <w:rFonts w:ascii="Times New Roman" w:eastAsia="宋体" w:hAnsi="Times New Roman"/>
                <w:b/>
                <w:bCs/>
                <w:color w:val="000000"/>
                <w:sz w:val="16"/>
                <w:szCs w:val="16"/>
              </w:rPr>
              <w:t>Total</w:t>
            </w:r>
          </w:p>
        </w:tc>
      </w:tr>
      <w:tr w:rsidR="00CC25B5" w14:paraId="442F82D6" w14:textId="77777777">
        <w:tc>
          <w:tcPr>
            <w:tcW w:w="0" w:type="auto"/>
            <w:gridSpan w:val="3"/>
            <w:shd w:val="clear" w:color="auto" w:fill="CCEEFF"/>
            <w:tcMar>
              <w:top w:w="40" w:type="dxa"/>
              <w:left w:w="20" w:type="dxa"/>
              <w:bottom w:w="40" w:type="dxa"/>
              <w:right w:w="20" w:type="dxa"/>
            </w:tcMar>
            <w:vAlign w:val="center"/>
          </w:tcPr>
          <w:p w14:paraId="442F82C9" w14:textId="77777777" w:rsidR="00CC25B5" w:rsidRDefault="00900968">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442F82CA"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CB"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CC" w14:textId="77777777" w:rsidR="00CC25B5" w:rsidRDefault="00900968">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C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CE"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CF"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D0" w14:textId="77777777" w:rsidR="00CC25B5" w:rsidRDefault="00900968">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D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D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2D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2D4" w14:textId="77777777" w:rsidR="00CC25B5" w:rsidRDefault="00900968">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2D5" w14:textId="77777777" w:rsidR="00CC25B5" w:rsidRDefault="00CC25B5">
            <w:pPr>
              <w:jc w:val="right"/>
              <w:rPr>
                <w:rFonts w:ascii="宋体"/>
              </w:rPr>
            </w:pPr>
          </w:p>
        </w:tc>
      </w:tr>
      <w:tr w:rsidR="00CC25B5" w14:paraId="442F82DE" w14:textId="77777777">
        <w:trPr>
          <w:hidden/>
        </w:trPr>
        <w:tc>
          <w:tcPr>
            <w:tcW w:w="0" w:type="auto"/>
            <w:gridSpan w:val="3"/>
            <w:shd w:val="clear" w:color="auto" w:fill="auto"/>
            <w:vAlign w:val="bottom"/>
          </w:tcPr>
          <w:p w14:paraId="442F82D7" w14:textId="77777777" w:rsidR="00CC25B5" w:rsidRDefault="00CC25B5">
            <w:pPr>
              <w:rPr>
                <w:rFonts w:ascii="宋体"/>
                <w:vanish/>
              </w:rPr>
            </w:pPr>
          </w:p>
        </w:tc>
        <w:tc>
          <w:tcPr>
            <w:tcW w:w="0" w:type="auto"/>
            <w:gridSpan w:val="3"/>
            <w:shd w:val="clear" w:color="auto" w:fill="auto"/>
            <w:vAlign w:val="bottom"/>
          </w:tcPr>
          <w:p w14:paraId="442F82D8" w14:textId="77777777" w:rsidR="00CC25B5" w:rsidRDefault="00CC25B5">
            <w:pPr>
              <w:rPr>
                <w:rFonts w:ascii="宋体"/>
                <w:vanish/>
              </w:rPr>
            </w:pPr>
          </w:p>
        </w:tc>
        <w:tc>
          <w:tcPr>
            <w:tcW w:w="0" w:type="auto"/>
            <w:gridSpan w:val="3"/>
            <w:shd w:val="clear" w:color="auto" w:fill="auto"/>
            <w:vAlign w:val="bottom"/>
          </w:tcPr>
          <w:p w14:paraId="442F82D9" w14:textId="77777777" w:rsidR="00CC25B5" w:rsidRDefault="00CC25B5">
            <w:pPr>
              <w:rPr>
                <w:rFonts w:ascii="宋体"/>
                <w:vanish/>
              </w:rPr>
            </w:pPr>
          </w:p>
        </w:tc>
        <w:tc>
          <w:tcPr>
            <w:tcW w:w="0" w:type="auto"/>
            <w:gridSpan w:val="3"/>
            <w:shd w:val="clear" w:color="auto" w:fill="auto"/>
            <w:vAlign w:val="bottom"/>
          </w:tcPr>
          <w:p w14:paraId="442F82DA" w14:textId="77777777" w:rsidR="00CC25B5" w:rsidRDefault="00CC25B5">
            <w:pPr>
              <w:rPr>
                <w:rFonts w:ascii="宋体"/>
                <w:vanish/>
              </w:rPr>
            </w:pPr>
          </w:p>
        </w:tc>
        <w:tc>
          <w:tcPr>
            <w:tcW w:w="0" w:type="auto"/>
            <w:gridSpan w:val="3"/>
            <w:shd w:val="clear" w:color="auto" w:fill="auto"/>
            <w:vAlign w:val="bottom"/>
          </w:tcPr>
          <w:p w14:paraId="442F82DB" w14:textId="77777777" w:rsidR="00CC25B5" w:rsidRDefault="00CC25B5">
            <w:pPr>
              <w:rPr>
                <w:rFonts w:ascii="宋体"/>
                <w:vanish/>
              </w:rPr>
            </w:pPr>
          </w:p>
        </w:tc>
        <w:tc>
          <w:tcPr>
            <w:tcW w:w="0" w:type="auto"/>
            <w:gridSpan w:val="3"/>
            <w:shd w:val="clear" w:color="auto" w:fill="auto"/>
            <w:vAlign w:val="bottom"/>
          </w:tcPr>
          <w:p w14:paraId="442F82DC" w14:textId="77777777" w:rsidR="00CC25B5" w:rsidRDefault="00CC25B5">
            <w:pPr>
              <w:rPr>
                <w:rFonts w:ascii="宋体"/>
                <w:vanish/>
              </w:rPr>
            </w:pPr>
          </w:p>
        </w:tc>
        <w:tc>
          <w:tcPr>
            <w:tcW w:w="0" w:type="auto"/>
            <w:gridSpan w:val="3"/>
            <w:shd w:val="clear" w:color="auto" w:fill="auto"/>
            <w:vAlign w:val="bottom"/>
          </w:tcPr>
          <w:p w14:paraId="442F82DD" w14:textId="77777777" w:rsidR="00CC25B5" w:rsidRDefault="00CC25B5">
            <w:pPr>
              <w:rPr>
                <w:rFonts w:ascii="宋体"/>
                <w:vanish/>
              </w:rPr>
            </w:pPr>
          </w:p>
        </w:tc>
      </w:tr>
      <w:tr w:rsidR="00CC25B5" w14:paraId="442F82E9" w14:textId="77777777">
        <w:tc>
          <w:tcPr>
            <w:tcW w:w="0" w:type="auto"/>
            <w:gridSpan w:val="3"/>
            <w:shd w:val="clear" w:color="auto" w:fill="FFFFFF"/>
            <w:tcMar>
              <w:top w:w="40" w:type="dxa"/>
              <w:left w:w="20" w:type="dxa"/>
              <w:bottom w:w="40" w:type="dxa"/>
              <w:right w:w="20" w:type="dxa"/>
            </w:tcMar>
            <w:vAlign w:val="center"/>
          </w:tcPr>
          <w:p w14:paraId="442F82DF" w14:textId="77777777" w:rsidR="00CC25B5" w:rsidRDefault="00900968">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vAlign w:val="bottom"/>
          </w:tcPr>
          <w:p w14:paraId="442F82E0"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2E1" w14:textId="77777777" w:rsidR="00CC25B5" w:rsidRDefault="00900968">
            <w:pPr>
              <w:jc w:val="right"/>
              <w:textAlignment w:val="center"/>
            </w:pPr>
            <w:r>
              <w:rPr>
                <w:rFonts w:ascii="Times New Roman" w:eastAsia="宋体" w:hAnsi="Times New Roman"/>
                <w:color w:val="000000"/>
                <w:sz w:val="16"/>
                <w:szCs w:val="16"/>
              </w:rPr>
              <w:t>(3,010)</w:t>
            </w:r>
          </w:p>
        </w:tc>
        <w:tc>
          <w:tcPr>
            <w:tcW w:w="0" w:type="auto"/>
            <w:shd w:val="clear" w:color="auto" w:fill="FFFFFF"/>
            <w:tcMar>
              <w:top w:w="40" w:type="dxa"/>
              <w:left w:w="0" w:type="dxa"/>
              <w:bottom w:w="40" w:type="dxa"/>
              <w:right w:w="20" w:type="dxa"/>
            </w:tcMar>
            <w:vAlign w:val="center"/>
          </w:tcPr>
          <w:p w14:paraId="442F82E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2E3"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2E4"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42F82E5"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2E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2E7" w14:textId="77777777" w:rsidR="00CC25B5" w:rsidRDefault="00900968">
            <w:pPr>
              <w:jc w:val="right"/>
              <w:textAlignment w:val="center"/>
            </w:pPr>
            <w:r>
              <w:rPr>
                <w:rFonts w:ascii="Times New Roman" w:eastAsia="宋体" w:hAnsi="Times New Roman"/>
                <w:color w:val="000000"/>
                <w:sz w:val="16"/>
                <w:szCs w:val="16"/>
              </w:rPr>
              <w:t>(3,010)</w:t>
            </w:r>
          </w:p>
        </w:tc>
        <w:tc>
          <w:tcPr>
            <w:tcW w:w="0" w:type="auto"/>
            <w:shd w:val="clear" w:color="auto" w:fill="FFFFFF"/>
            <w:tcMar>
              <w:top w:w="40" w:type="dxa"/>
              <w:left w:w="0" w:type="dxa"/>
              <w:bottom w:w="40" w:type="dxa"/>
              <w:right w:w="20" w:type="dxa"/>
            </w:tcMar>
            <w:vAlign w:val="center"/>
          </w:tcPr>
          <w:p w14:paraId="442F82E8" w14:textId="77777777" w:rsidR="00CC25B5" w:rsidRDefault="00CC25B5">
            <w:pPr>
              <w:jc w:val="right"/>
              <w:rPr>
                <w:rFonts w:ascii="宋体"/>
              </w:rPr>
            </w:pPr>
          </w:p>
        </w:tc>
      </w:tr>
      <w:tr w:rsidR="00CC25B5" w14:paraId="442F82F4" w14:textId="77777777">
        <w:tc>
          <w:tcPr>
            <w:tcW w:w="0" w:type="auto"/>
            <w:gridSpan w:val="3"/>
            <w:shd w:val="clear" w:color="auto" w:fill="CCEEFF"/>
            <w:tcMar>
              <w:top w:w="40" w:type="dxa"/>
              <w:left w:w="20" w:type="dxa"/>
              <w:bottom w:w="40" w:type="dxa"/>
              <w:right w:w="20" w:type="dxa"/>
            </w:tcMar>
            <w:vAlign w:val="center"/>
          </w:tcPr>
          <w:p w14:paraId="442F82EA" w14:textId="77777777" w:rsidR="00CC25B5" w:rsidRDefault="00900968">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vAlign w:val="bottom"/>
          </w:tcPr>
          <w:p w14:paraId="442F82EB"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2EC" w14:textId="77777777" w:rsidR="00CC25B5" w:rsidRDefault="00900968">
            <w:pPr>
              <w:jc w:val="right"/>
              <w:textAlignment w:val="center"/>
            </w:pPr>
            <w:r>
              <w:rPr>
                <w:rFonts w:ascii="Times New Roman" w:eastAsia="宋体" w:hAnsi="Times New Roman"/>
                <w:color w:val="000000"/>
                <w:sz w:val="16"/>
                <w:szCs w:val="16"/>
              </w:rPr>
              <w:t>1,511 </w:t>
            </w:r>
          </w:p>
        </w:tc>
        <w:tc>
          <w:tcPr>
            <w:tcW w:w="0" w:type="auto"/>
            <w:shd w:val="clear" w:color="auto" w:fill="CCEEFF"/>
            <w:tcMar>
              <w:top w:w="40" w:type="dxa"/>
              <w:left w:w="0" w:type="dxa"/>
              <w:bottom w:w="40" w:type="dxa"/>
              <w:right w:w="20" w:type="dxa"/>
            </w:tcMar>
            <w:vAlign w:val="center"/>
          </w:tcPr>
          <w:p w14:paraId="442F82ED"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EE"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2EF" w14:textId="77777777" w:rsidR="00CC25B5" w:rsidRDefault="00900968">
            <w:pPr>
              <w:jc w:val="right"/>
              <w:textAlignment w:val="center"/>
            </w:pPr>
            <w:r>
              <w:rPr>
                <w:rFonts w:ascii="Times New Roman" w:eastAsia="宋体" w:hAnsi="Times New Roman"/>
                <w:color w:val="000000"/>
                <w:sz w:val="16"/>
                <w:szCs w:val="16"/>
              </w:rPr>
              <w:t>(1,511)</w:t>
            </w:r>
          </w:p>
        </w:tc>
        <w:tc>
          <w:tcPr>
            <w:tcW w:w="0" w:type="auto"/>
            <w:shd w:val="clear" w:color="auto" w:fill="CCEEFF"/>
            <w:tcMar>
              <w:top w:w="40" w:type="dxa"/>
              <w:left w:w="0" w:type="dxa"/>
              <w:bottom w:w="40" w:type="dxa"/>
              <w:right w:w="20" w:type="dxa"/>
            </w:tcMar>
            <w:vAlign w:val="center"/>
          </w:tcPr>
          <w:p w14:paraId="442F82F0"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2F1"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2F2" w14:textId="77777777" w:rsidR="00CC25B5" w:rsidRDefault="00900968">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42F82F3" w14:textId="77777777" w:rsidR="00CC25B5" w:rsidRDefault="00CC25B5">
            <w:pPr>
              <w:jc w:val="right"/>
              <w:rPr>
                <w:rFonts w:ascii="宋体"/>
              </w:rPr>
            </w:pPr>
          </w:p>
        </w:tc>
      </w:tr>
      <w:tr w:rsidR="00CC25B5" w14:paraId="442F82FF" w14:textId="77777777">
        <w:tc>
          <w:tcPr>
            <w:tcW w:w="0" w:type="auto"/>
            <w:gridSpan w:val="3"/>
            <w:shd w:val="clear" w:color="auto" w:fill="FFFFFF"/>
            <w:tcMar>
              <w:top w:w="40" w:type="dxa"/>
              <w:left w:w="20" w:type="dxa"/>
              <w:bottom w:w="40" w:type="dxa"/>
              <w:right w:w="20" w:type="dxa"/>
            </w:tcMar>
            <w:vAlign w:val="center"/>
          </w:tcPr>
          <w:p w14:paraId="442F82F5" w14:textId="77777777" w:rsidR="00CC25B5" w:rsidRDefault="00900968">
            <w:pPr>
              <w:textAlignment w:val="center"/>
            </w:pPr>
            <w:r>
              <w:rPr>
                <w:rFonts w:ascii="Times New Roman" w:eastAsia="宋体" w:hAnsi="Times New Roman"/>
                <w:color w:val="000000"/>
                <w:sz w:val="16"/>
                <w:szCs w:val="16"/>
              </w:rPr>
              <w:t>Othe</w:t>
            </w:r>
            <w:r>
              <w:rPr>
                <w:rFonts w:ascii="Times New Roman" w:eastAsia="宋体" w:hAnsi="Times New Roman"/>
                <w:color w:val="000000"/>
                <w:sz w:val="16"/>
                <w:szCs w:val="16"/>
              </w:rPr>
              <w:t>r</w:t>
            </w:r>
          </w:p>
        </w:tc>
        <w:tc>
          <w:tcPr>
            <w:tcW w:w="0" w:type="auto"/>
            <w:gridSpan w:val="3"/>
            <w:shd w:val="clear" w:color="auto" w:fill="FFFFFF"/>
            <w:tcMar>
              <w:top w:w="0" w:type="dxa"/>
              <w:left w:w="20" w:type="dxa"/>
              <w:bottom w:w="0" w:type="dxa"/>
              <w:right w:w="20" w:type="dxa"/>
            </w:tcMar>
            <w:vAlign w:val="bottom"/>
          </w:tcPr>
          <w:p w14:paraId="442F82F6"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2F7" w14:textId="77777777" w:rsidR="00CC25B5" w:rsidRDefault="00900968">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42F82F8"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2F9"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2FA" w14:textId="77777777" w:rsidR="00CC25B5" w:rsidRDefault="00900968">
            <w:pPr>
              <w:jc w:val="right"/>
              <w:textAlignment w:val="center"/>
            </w:pPr>
            <w:r>
              <w:rPr>
                <w:rFonts w:ascii="Times New Roman" w:eastAsia="宋体" w:hAnsi="Times New Roman"/>
                <w:color w:val="000000"/>
                <w:sz w:val="16"/>
                <w:szCs w:val="16"/>
              </w:rPr>
              <w:t>(102)</w:t>
            </w:r>
          </w:p>
        </w:tc>
        <w:tc>
          <w:tcPr>
            <w:tcW w:w="0" w:type="auto"/>
            <w:shd w:val="clear" w:color="auto" w:fill="FFFFFF"/>
            <w:tcMar>
              <w:top w:w="40" w:type="dxa"/>
              <w:left w:w="0" w:type="dxa"/>
              <w:bottom w:w="40" w:type="dxa"/>
              <w:right w:w="20" w:type="dxa"/>
            </w:tcMar>
            <w:vAlign w:val="center"/>
          </w:tcPr>
          <w:p w14:paraId="442F82FB"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2FC"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2FD" w14:textId="77777777" w:rsidR="00CC25B5" w:rsidRDefault="00900968">
            <w:pPr>
              <w:jc w:val="right"/>
              <w:textAlignment w:val="center"/>
            </w:pPr>
            <w:r>
              <w:rPr>
                <w:rFonts w:ascii="Times New Roman" w:eastAsia="宋体" w:hAnsi="Times New Roman"/>
                <w:color w:val="000000"/>
                <w:sz w:val="16"/>
                <w:szCs w:val="16"/>
              </w:rPr>
              <w:t>(101)</w:t>
            </w:r>
          </w:p>
        </w:tc>
        <w:tc>
          <w:tcPr>
            <w:tcW w:w="0" w:type="auto"/>
            <w:shd w:val="clear" w:color="auto" w:fill="FFFFFF"/>
            <w:tcMar>
              <w:top w:w="40" w:type="dxa"/>
              <w:left w:w="0" w:type="dxa"/>
              <w:bottom w:w="40" w:type="dxa"/>
              <w:right w:w="20" w:type="dxa"/>
            </w:tcMar>
            <w:vAlign w:val="center"/>
          </w:tcPr>
          <w:p w14:paraId="442F82FE" w14:textId="77777777" w:rsidR="00CC25B5" w:rsidRDefault="00CC25B5">
            <w:pPr>
              <w:jc w:val="right"/>
              <w:rPr>
                <w:rFonts w:ascii="宋体"/>
              </w:rPr>
            </w:pPr>
          </w:p>
        </w:tc>
      </w:tr>
      <w:tr w:rsidR="00CC25B5" w14:paraId="442F830D" w14:textId="77777777">
        <w:tc>
          <w:tcPr>
            <w:tcW w:w="0" w:type="auto"/>
            <w:gridSpan w:val="3"/>
            <w:shd w:val="clear" w:color="auto" w:fill="CCEEFF"/>
            <w:tcMar>
              <w:top w:w="40" w:type="dxa"/>
              <w:left w:w="20" w:type="dxa"/>
              <w:bottom w:w="40" w:type="dxa"/>
              <w:right w:w="20" w:type="dxa"/>
            </w:tcMar>
            <w:vAlign w:val="center"/>
          </w:tcPr>
          <w:p w14:paraId="442F8300" w14:textId="77777777" w:rsidR="00CC25B5" w:rsidRDefault="00900968">
            <w:pPr>
              <w:textAlignment w:val="center"/>
            </w:pPr>
            <w:r>
              <w:rPr>
                <w:rFonts w:ascii="Times New Roman" w:eastAsia="宋体" w:hAnsi="Times New Roman"/>
                <w:b/>
                <w:bCs/>
                <w:color w:val="000000"/>
                <w:sz w:val="16"/>
                <w:szCs w:val="16"/>
              </w:rPr>
              <w:t>Balances as of July 31, 2021</w:t>
            </w:r>
          </w:p>
        </w:tc>
        <w:tc>
          <w:tcPr>
            <w:tcW w:w="0" w:type="auto"/>
            <w:gridSpan w:val="3"/>
            <w:shd w:val="clear" w:color="auto" w:fill="CCEEFF"/>
            <w:tcMar>
              <w:top w:w="0" w:type="dxa"/>
              <w:left w:w="20" w:type="dxa"/>
              <w:bottom w:w="0" w:type="dxa"/>
              <w:right w:w="20" w:type="dxa"/>
            </w:tcMar>
            <w:vAlign w:val="bottom"/>
          </w:tcPr>
          <w:p w14:paraId="442F8301"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8302"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8303" w14:textId="77777777" w:rsidR="00CC25B5" w:rsidRDefault="00900968">
            <w:pPr>
              <w:jc w:val="right"/>
              <w:textAlignment w:val="center"/>
            </w:pPr>
            <w:r>
              <w:rPr>
                <w:rFonts w:ascii="Times New Roman" w:eastAsia="宋体" w:hAnsi="Times New Roman"/>
                <w:color w:val="000000"/>
                <w:sz w:val="16"/>
                <w:szCs w:val="16"/>
              </w:rPr>
              <w:t>1,617 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8304"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305"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8306"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8307" w14:textId="77777777" w:rsidR="00CC25B5" w:rsidRDefault="00900968">
            <w:pPr>
              <w:jc w:val="right"/>
              <w:textAlignment w:val="center"/>
            </w:pPr>
            <w:r>
              <w:rPr>
                <w:rFonts w:ascii="Times New Roman" w:eastAsia="宋体" w:hAnsi="Times New Roman"/>
                <w:color w:val="000000"/>
                <w:sz w:val="16"/>
                <w:szCs w:val="16"/>
              </w:rPr>
              <w:t>39,581 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830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309" w14:textId="77777777" w:rsidR="00CC25B5" w:rsidRDefault="00CC25B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42F830A"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42F830B" w14:textId="77777777" w:rsidR="00CC25B5" w:rsidRDefault="00900968">
            <w:pPr>
              <w:jc w:val="right"/>
              <w:textAlignment w:val="center"/>
            </w:pPr>
            <w:r>
              <w:rPr>
                <w:rFonts w:ascii="Times New Roman" w:eastAsia="宋体" w:hAnsi="Times New Roman"/>
                <w:color w:val="000000"/>
                <w:sz w:val="16"/>
                <w:szCs w:val="16"/>
              </w:rPr>
              <w:t>41,198 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42F830C" w14:textId="77777777" w:rsidR="00CC25B5" w:rsidRDefault="00CC25B5">
            <w:pPr>
              <w:jc w:val="right"/>
              <w:rPr>
                <w:rFonts w:ascii="宋体"/>
              </w:rPr>
            </w:pPr>
          </w:p>
        </w:tc>
      </w:tr>
    </w:tbl>
    <w:p w14:paraId="442F830E" w14:textId="77777777" w:rsidR="00CC25B5" w:rsidRDefault="00900968">
      <w:pPr>
        <w:spacing w:before="80"/>
      </w:pPr>
      <w:r>
        <w:rPr>
          <w:rFonts w:ascii="Times New Roman" w:eastAsia="宋体" w:hAnsi="Times New Roman"/>
          <w:i/>
          <w:iCs/>
          <w:color w:val="000000"/>
          <w:sz w:val="20"/>
          <w:szCs w:val="20"/>
        </w:rPr>
        <w:t>Dividends</w:t>
      </w:r>
    </w:p>
    <w:p w14:paraId="442F830F" w14:textId="77777777" w:rsidR="00CC25B5" w:rsidRDefault="00900968">
      <w:pPr>
        <w:spacing w:before="100"/>
      </w:pPr>
      <w:r>
        <w:rPr>
          <w:rFonts w:ascii="Times New Roman" w:eastAsia="宋体" w:hAnsi="Times New Roman"/>
          <w:color w:val="000000"/>
          <w:sz w:val="20"/>
          <w:szCs w:val="20"/>
        </w:rPr>
        <w:t>Effective February 18, 2021, the Board of Directors approved the fiscal 2022 annual dividend of $2.20 per share, an increase over the fiscal 2021 annual divi</w:t>
      </w:r>
      <w:r>
        <w:rPr>
          <w:rFonts w:ascii="Times New Roman" w:eastAsia="宋体" w:hAnsi="Times New Roman"/>
          <w:color w:val="000000"/>
          <w:sz w:val="20"/>
          <w:szCs w:val="20"/>
        </w:rPr>
        <w:t xml:space="preserve">dend of $2.16 per share. For fiscal 2022, the annual dividend was or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installments of $0.55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CC25B5" w14:paraId="442F8319" w14:textId="77777777">
        <w:tc>
          <w:tcPr>
            <w:tcW w:w="50" w:type="pct"/>
            <w:shd w:val="clear" w:color="auto" w:fill="auto"/>
            <w:vAlign w:val="bottom"/>
          </w:tcPr>
          <w:p w14:paraId="442F8310" w14:textId="77777777" w:rsidR="00CC25B5" w:rsidRDefault="00CC25B5">
            <w:pPr>
              <w:rPr>
                <w:rFonts w:ascii="宋体"/>
              </w:rPr>
            </w:pPr>
          </w:p>
        </w:tc>
        <w:tc>
          <w:tcPr>
            <w:tcW w:w="3358" w:type="pct"/>
            <w:shd w:val="clear" w:color="auto" w:fill="auto"/>
            <w:vAlign w:val="bottom"/>
          </w:tcPr>
          <w:p w14:paraId="442F8311" w14:textId="77777777" w:rsidR="00CC25B5" w:rsidRDefault="00CC25B5">
            <w:pPr>
              <w:rPr>
                <w:rFonts w:ascii="宋体"/>
              </w:rPr>
            </w:pPr>
          </w:p>
        </w:tc>
        <w:tc>
          <w:tcPr>
            <w:tcW w:w="5" w:type="pct"/>
            <w:shd w:val="clear" w:color="auto" w:fill="auto"/>
            <w:vAlign w:val="bottom"/>
          </w:tcPr>
          <w:p w14:paraId="442F8312" w14:textId="77777777" w:rsidR="00CC25B5" w:rsidRDefault="00CC25B5">
            <w:pPr>
              <w:rPr>
                <w:rFonts w:ascii="宋体"/>
              </w:rPr>
            </w:pPr>
          </w:p>
        </w:tc>
        <w:tc>
          <w:tcPr>
            <w:tcW w:w="5" w:type="pct"/>
            <w:shd w:val="clear" w:color="auto" w:fill="auto"/>
            <w:vAlign w:val="bottom"/>
          </w:tcPr>
          <w:p w14:paraId="442F8313" w14:textId="77777777" w:rsidR="00CC25B5" w:rsidRDefault="00CC25B5">
            <w:pPr>
              <w:rPr>
                <w:rFonts w:ascii="宋体"/>
              </w:rPr>
            </w:pPr>
          </w:p>
        </w:tc>
        <w:tc>
          <w:tcPr>
            <w:tcW w:w="106" w:type="pct"/>
            <w:shd w:val="clear" w:color="auto" w:fill="auto"/>
            <w:vAlign w:val="bottom"/>
          </w:tcPr>
          <w:p w14:paraId="442F8314" w14:textId="77777777" w:rsidR="00CC25B5" w:rsidRDefault="00CC25B5">
            <w:pPr>
              <w:rPr>
                <w:rFonts w:ascii="宋体"/>
              </w:rPr>
            </w:pPr>
          </w:p>
        </w:tc>
        <w:tc>
          <w:tcPr>
            <w:tcW w:w="5" w:type="pct"/>
            <w:shd w:val="clear" w:color="auto" w:fill="auto"/>
            <w:vAlign w:val="bottom"/>
          </w:tcPr>
          <w:p w14:paraId="442F8315" w14:textId="77777777" w:rsidR="00CC25B5" w:rsidRDefault="00CC25B5">
            <w:pPr>
              <w:rPr>
                <w:rFonts w:ascii="宋体"/>
              </w:rPr>
            </w:pPr>
          </w:p>
        </w:tc>
        <w:tc>
          <w:tcPr>
            <w:tcW w:w="50" w:type="pct"/>
            <w:shd w:val="clear" w:color="auto" w:fill="auto"/>
            <w:vAlign w:val="bottom"/>
          </w:tcPr>
          <w:p w14:paraId="442F8316" w14:textId="77777777" w:rsidR="00CC25B5" w:rsidRDefault="00CC25B5">
            <w:pPr>
              <w:rPr>
                <w:rFonts w:ascii="宋体"/>
              </w:rPr>
            </w:pPr>
          </w:p>
        </w:tc>
        <w:tc>
          <w:tcPr>
            <w:tcW w:w="1414" w:type="pct"/>
            <w:shd w:val="clear" w:color="auto" w:fill="auto"/>
            <w:vAlign w:val="bottom"/>
          </w:tcPr>
          <w:p w14:paraId="442F8317" w14:textId="77777777" w:rsidR="00CC25B5" w:rsidRDefault="00CC25B5">
            <w:pPr>
              <w:rPr>
                <w:rFonts w:ascii="宋体"/>
              </w:rPr>
            </w:pPr>
          </w:p>
        </w:tc>
        <w:tc>
          <w:tcPr>
            <w:tcW w:w="5" w:type="pct"/>
            <w:shd w:val="clear" w:color="auto" w:fill="auto"/>
            <w:vAlign w:val="bottom"/>
          </w:tcPr>
          <w:p w14:paraId="442F8318" w14:textId="77777777" w:rsidR="00CC25B5" w:rsidRDefault="00CC25B5">
            <w:pPr>
              <w:rPr>
                <w:rFonts w:ascii="宋体"/>
              </w:rPr>
            </w:pPr>
          </w:p>
        </w:tc>
      </w:tr>
      <w:tr w:rsidR="00CC25B5" w14:paraId="442F831D" w14:textId="77777777">
        <w:tc>
          <w:tcPr>
            <w:tcW w:w="0" w:type="auto"/>
            <w:gridSpan w:val="3"/>
            <w:shd w:val="clear" w:color="auto" w:fill="auto"/>
            <w:tcMar>
              <w:top w:w="40" w:type="dxa"/>
              <w:left w:w="20" w:type="dxa"/>
              <w:bottom w:w="40" w:type="dxa"/>
              <w:right w:w="20" w:type="dxa"/>
            </w:tcMar>
            <w:vAlign w:val="bottom"/>
          </w:tcPr>
          <w:p w14:paraId="442F831A" w14:textId="77777777" w:rsidR="00CC25B5" w:rsidRDefault="00900968">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442F831B"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42F831C" w14:textId="77777777" w:rsidR="00CC25B5" w:rsidRDefault="00900968">
            <w:pPr>
              <w:textAlignment w:val="bottom"/>
            </w:pPr>
            <w:r>
              <w:rPr>
                <w:rFonts w:ascii="Times New Roman" w:eastAsia="宋体" w:hAnsi="Times New Roman"/>
                <w:b/>
                <w:bCs/>
                <w:color w:val="000000"/>
                <w:sz w:val="16"/>
                <w:szCs w:val="16"/>
              </w:rPr>
              <w:t>Payable Date</w:t>
            </w:r>
          </w:p>
        </w:tc>
      </w:tr>
      <w:tr w:rsidR="00CC25B5" w14:paraId="442F8321"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42F831E" w14:textId="77777777" w:rsidR="00CC25B5" w:rsidRDefault="00900968">
            <w:pPr>
              <w:textAlignment w:val="center"/>
            </w:pPr>
            <w:r>
              <w:rPr>
                <w:rFonts w:ascii="Times New Roman" w:eastAsia="宋体" w:hAnsi="Times New Roman"/>
                <w:color w:val="000000"/>
                <w:sz w:val="16"/>
                <w:szCs w:val="16"/>
              </w:rPr>
              <w:t>March 19, 2021</w:t>
            </w:r>
          </w:p>
        </w:tc>
        <w:tc>
          <w:tcPr>
            <w:tcW w:w="0" w:type="auto"/>
            <w:gridSpan w:val="3"/>
            <w:shd w:val="clear" w:color="auto" w:fill="CCEEFF"/>
            <w:tcMar>
              <w:top w:w="40" w:type="dxa"/>
              <w:left w:w="20" w:type="dxa"/>
              <w:bottom w:w="40" w:type="dxa"/>
              <w:right w:w="20" w:type="dxa"/>
            </w:tcMar>
            <w:vAlign w:val="center"/>
          </w:tcPr>
          <w:p w14:paraId="442F831F" w14:textId="77777777" w:rsidR="00CC25B5" w:rsidRDefault="00900968">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42F8320" w14:textId="77777777" w:rsidR="00CC25B5" w:rsidRDefault="00900968">
            <w:pPr>
              <w:textAlignment w:val="center"/>
            </w:pPr>
            <w:r>
              <w:rPr>
                <w:rFonts w:ascii="Times New Roman" w:eastAsia="宋体" w:hAnsi="Times New Roman"/>
                <w:color w:val="000000"/>
                <w:sz w:val="16"/>
                <w:szCs w:val="16"/>
              </w:rPr>
              <w:t xml:space="preserve">April 5, </w:t>
            </w:r>
            <w:r>
              <w:rPr>
                <w:rFonts w:ascii="Times New Roman" w:eastAsia="宋体" w:hAnsi="Times New Roman"/>
                <w:color w:val="000000"/>
                <w:sz w:val="16"/>
                <w:szCs w:val="16"/>
              </w:rPr>
              <w:t>2021</w:t>
            </w:r>
          </w:p>
        </w:tc>
      </w:tr>
      <w:tr w:rsidR="00CC25B5" w14:paraId="442F8325" w14:textId="77777777">
        <w:tc>
          <w:tcPr>
            <w:tcW w:w="0" w:type="auto"/>
            <w:gridSpan w:val="3"/>
            <w:shd w:val="clear" w:color="auto" w:fill="FFFFFF"/>
            <w:tcMar>
              <w:top w:w="40" w:type="dxa"/>
              <w:left w:w="20" w:type="dxa"/>
              <w:bottom w:w="40" w:type="dxa"/>
              <w:right w:w="20" w:type="dxa"/>
            </w:tcMar>
            <w:vAlign w:val="center"/>
          </w:tcPr>
          <w:p w14:paraId="442F8322" w14:textId="77777777" w:rsidR="00CC25B5" w:rsidRDefault="00900968">
            <w:pPr>
              <w:textAlignment w:val="center"/>
            </w:pPr>
            <w:r>
              <w:rPr>
                <w:rFonts w:ascii="Times New Roman" w:eastAsia="宋体" w:hAnsi="Times New Roman"/>
                <w:color w:val="000000"/>
                <w:sz w:val="16"/>
                <w:szCs w:val="16"/>
              </w:rPr>
              <w:t>May 7, 2021</w:t>
            </w:r>
          </w:p>
        </w:tc>
        <w:tc>
          <w:tcPr>
            <w:tcW w:w="0" w:type="auto"/>
            <w:gridSpan w:val="3"/>
            <w:shd w:val="clear" w:color="auto" w:fill="FFFFFF"/>
            <w:tcMar>
              <w:top w:w="40" w:type="dxa"/>
              <w:left w:w="20" w:type="dxa"/>
              <w:bottom w:w="40" w:type="dxa"/>
              <w:right w:w="20" w:type="dxa"/>
            </w:tcMar>
            <w:vAlign w:val="center"/>
          </w:tcPr>
          <w:p w14:paraId="442F8323"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42F8324" w14:textId="77777777" w:rsidR="00CC25B5" w:rsidRDefault="00900968">
            <w:pPr>
              <w:textAlignment w:val="center"/>
            </w:pPr>
            <w:r>
              <w:rPr>
                <w:rFonts w:ascii="Times New Roman" w:eastAsia="宋体" w:hAnsi="Times New Roman"/>
                <w:color w:val="000000"/>
                <w:sz w:val="16"/>
                <w:szCs w:val="16"/>
              </w:rPr>
              <w:t>June 1, 2021</w:t>
            </w:r>
          </w:p>
        </w:tc>
      </w:tr>
      <w:tr w:rsidR="00CC25B5" w14:paraId="442F8329" w14:textId="77777777">
        <w:tc>
          <w:tcPr>
            <w:tcW w:w="0" w:type="auto"/>
            <w:gridSpan w:val="3"/>
            <w:shd w:val="clear" w:color="auto" w:fill="CCEEFF"/>
            <w:tcMar>
              <w:top w:w="40" w:type="dxa"/>
              <w:left w:w="20" w:type="dxa"/>
              <w:bottom w:w="40" w:type="dxa"/>
              <w:right w:w="20" w:type="dxa"/>
            </w:tcMar>
            <w:vAlign w:val="center"/>
          </w:tcPr>
          <w:p w14:paraId="442F8326" w14:textId="77777777" w:rsidR="00CC25B5" w:rsidRDefault="00900968">
            <w:pPr>
              <w:textAlignment w:val="center"/>
            </w:pPr>
            <w:r>
              <w:rPr>
                <w:rFonts w:ascii="Times New Roman" w:eastAsia="宋体" w:hAnsi="Times New Roman"/>
                <w:color w:val="000000"/>
                <w:sz w:val="16"/>
                <w:szCs w:val="16"/>
              </w:rPr>
              <w:t>August 13, 2021</w:t>
            </w:r>
          </w:p>
        </w:tc>
        <w:tc>
          <w:tcPr>
            <w:tcW w:w="0" w:type="auto"/>
            <w:gridSpan w:val="3"/>
            <w:shd w:val="clear" w:color="auto" w:fill="CCEEFF"/>
            <w:tcMar>
              <w:top w:w="40" w:type="dxa"/>
              <w:left w:w="20" w:type="dxa"/>
              <w:bottom w:w="40" w:type="dxa"/>
              <w:right w:w="20" w:type="dxa"/>
            </w:tcMar>
            <w:vAlign w:val="center"/>
          </w:tcPr>
          <w:p w14:paraId="442F8327"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42F8328" w14:textId="77777777" w:rsidR="00CC25B5" w:rsidRDefault="00900968">
            <w:pPr>
              <w:textAlignment w:val="center"/>
            </w:pPr>
            <w:r>
              <w:rPr>
                <w:rFonts w:ascii="Times New Roman" w:eastAsia="宋体" w:hAnsi="Times New Roman"/>
                <w:color w:val="000000"/>
                <w:sz w:val="16"/>
                <w:szCs w:val="16"/>
              </w:rPr>
              <w:t>September 7, 2021</w:t>
            </w:r>
          </w:p>
        </w:tc>
      </w:tr>
      <w:tr w:rsidR="00CC25B5" w14:paraId="442F832D" w14:textId="77777777">
        <w:tc>
          <w:tcPr>
            <w:tcW w:w="0" w:type="auto"/>
            <w:gridSpan w:val="3"/>
            <w:shd w:val="clear" w:color="auto" w:fill="FFFFFF"/>
            <w:tcMar>
              <w:top w:w="40" w:type="dxa"/>
              <w:left w:w="20" w:type="dxa"/>
              <w:bottom w:w="40" w:type="dxa"/>
              <w:right w:w="20" w:type="dxa"/>
            </w:tcMar>
            <w:vAlign w:val="center"/>
          </w:tcPr>
          <w:p w14:paraId="442F832A" w14:textId="77777777" w:rsidR="00CC25B5" w:rsidRDefault="00900968">
            <w:pPr>
              <w:textAlignment w:val="center"/>
            </w:pPr>
            <w:r>
              <w:rPr>
                <w:rFonts w:ascii="Times New Roman" w:eastAsia="宋体" w:hAnsi="Times New Roman"/>
                <w:color w:val="000000"/>
                <w:sz w:val="16"/>
                <w:szCs w:val="16"/>
              </w:rPr>
              <w:t>December 10, 2021</w:t>
            </w:r>
          </w:p>
        </w:tc>
        <w:tc>
          <w:tcPr>
            <w:tcW w:w="0" w:type="auto"/>
            <w:gridSpan w:val="3"/>
            <w:shd w:val="clear" w:color="auto" w:fill="FFFFFF"/>
            <w:tcMar>
              <w:top w:w="40" w:type="dxa"/>
              <w:left w:w="20" w:type="dxa"/>
              <w:bottom w:w="40" w:type="dxa"/>
              <w:right w:w="20" w:type="dxa"/>
            </w:tcMar>
            <w:vAlign w:val="center"/>
          </w:tcPr>
          <w:p w14:paraId="442F832B"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42F832C" w14:textId="77777777" w:rsidR="00CC25B5" w:rsidRDefault="00900968">
            <w:pPr>
              <w:textAlignment w:val="center"/>
            </w:pPr>
            <w:r>
              <w:rPr>
                <w:rFonts w:ascii="Times New Roman" w:eastAsia="宋体" w:hAnsi="Times New Roman"/>
                <w:color w:val="000000"/>
                <w:sz w:val="16"/>
                <w:szCs w:val="16"/>
              </w:rPr>
              <w:t>January 3, 2022</w:t>
            </w:r>
          </w:p>
        </w:tc>
      </w:tr>
    </w:tbl>
    <w:p w14:paraId="442F832E" w14:textId="77777777" w:rsidR="00CC25B5" w:rsidRDefault="00900968">
      <w:pPr>
        <w:spacing w:before="60"/>
      </w:pPr>
      <w:r>
        <w:rPr>
          <w:rFonts w:ascii="Times New Roman" w:eastAsia="宋体" w:hAnsi="Times New Roman"/>
          <w:color w:val="000000"/>
          <w:sz w:val="20"/>
          <w:szCs w:val="20"/>
        </w:rPr>
        <w:t>The dividend installments payable on April 5, 2021 and June 1, 2021 were paid as scheduled.</w:t>
      </w:r>
    </w:p>
    <w:p w14:paraId="442F832F" w14:textId="77777777" w:rsidR="00CC25B5" w:rsidRDefault="00900968">
      <w:pPr>
        <w:spacing w:before="180"/>
      </w:pPr>
      <w:r>
        <w:rPr>
          <w:rFonts w:ascii="Times New Roman" w:eastAsia="宋体" w:hAnsi="Times New Roman"/>
          <w:i/>
          <w:iCs/>
          <w:color w:val="000000"/>
          <w:sz w:val="20"/>
          <w:szCs w:val="20"/>
        </w:rPr>
        <w:t xml:space="preserve">Company Share Repurchase Program </w:t>
      </w:r>
    </w:p>
    <w:p w14:paraId="442F8330" w14:textId="77777777" w:rsidR="00CC25B5" w:rsidRDefault="00900968">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2021 were made under the plan</w:t>
      </w:r>
      <w:r>
        <w:rPr>
          <w:rFonts w:ascii="Times New Roman" w:eastAsia="宋体" w:hAnsi="Times New Roman"/>
          <w:color w:val="000000"/>
          <w:sz w:val="20"/>
          <w:szCs w:val="20"/>
        </w:rPr>
        <w:t xml:space="preserve"> in effect at the beginning of fiscal 2022. On February 18, 2021, the Board of Directors approved a new $20.0 billion share repurchase program which has no expiration date or other restrictions limiting the period over which the Company can make repurchase</w:t>
      </w:r>
      <w:r>
        <w:rPr>
          <w:rFonts w:ascii="Times New Roman" w:eastAsia="宋体" w:hAnsi="Times New Roman"/>
          <w:color w:val="000000"/>
          <w:sz w:val="20"/>
          <w:szCs w:val="20"/>
        </w:rPr>
        <w:t>s, and beginning February 22, 2021, replaced the previous share repurchase program. As of July 31, 2021, authorization for $15.2 billion of share repurchases remained under the share repurchase program. Any repurchased shares are constructively retired and</w:t>
      </w:r>
      <w:r>
        <w:rPr>
          <w:rFonts w:ascii="Times New Roman" w:eastAsia="宋体" w:hAnsi="Times New Roman"/>
          <w:color w:val="000000"/>
          <w:sz w:val="20"/>
          <w:szCs w:val="20"/>
        </w:rPr>
        <w:t xml:space="preserve"> returned to an unissued status. </w:t>
      </w:r>
    </w:p>
    <w:p w14:paraId="442F8331" w14:textId="77777777" w:rsidR="00CC25B5" w:rsidRDefault="00900968">
      <w:pPr>
        <w:spacing w:before="100"/>
      </w:pPr>
      <w:r>
        <w:rPr>
          <w:rFonts w:ascii="Times New Roman" w:eastAsia="宋体" w:hAnsi="Times New Roman"/>
          <w:color w:val="000000"/>
          <w:sz w:val="20"/>
          <w:szCs w:val="20"/>
        </w:rPr>
        <w:t>We regularly review share repurchase activity and consider several factors in determining when to execute share repurchases, including, among other things, current cash needs, capacity for leverage, cost of borrowings, our</w:t>
      </w:r>
      <w:r>
        <w:rPr>
          <w:rFonts w:ascii="Times New Roman" w:eastAsia="宋体" w:hAnsi="Times New Roman"/>
          <w:color w:val="000000"/>
          <w:sz w:val="20"/>
          <w:szCs w:val="20"/>
        </w:rPr>
        <w:t xml:space="preserve"> results of operations and the market price of our common stock. We anticipate that a majority of the ongoing share repurchase program will be funded through the Company's free cash flow. The following table provides, on a settlement date basis, share repu</w:t>
      </w:r>
      <w:r>
        <w:rPr>
          <w:rFonts w:ascii="Times New Roman" w:eastAsia="宋体" w:hAnsi="Times New Roman"/>
          <w:color w:val="000000"/>
          <w:sz w:val="20"/>
          <w:szCs w:val="20"/>
        </w:rPr>
        <w:t>rchase information for the six months ended July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5684"/>
        <w:gridCol w:w="37"/>
        <w:gridCol w:w="36"/>
        <w:gridCol w:w="36"/>
        <w:gridCol w:w="189"/>
        <w:gridCol w:w="188"/>
        <w:gridCol w:w="188"/>
        <w:gridCol w:w="100"/>
        <w:gridCol w:w="732"/>
        <w:gridCol w:w="36"/>
        <w:gridCol w:w="36"/>
        <w:gridCol w:w="36"/>
        <w:gridCol w:w="36"/>
        <w:gridCol w:w="36"/>
        <w:gridCol w:w="36"/>
        <w:gridCol w:w="36"/>
        <w:gridCol w:w="100"/>
        <w:gridCol w:w="720"/>
        <w:gridCol w:w="36"/>
      </w:tblGrid>
      <w:tr w:rsidR="00CC25B5" w14:paraId="442F8344" w14:textId="77777777">
        <w:tc>
          <w:tcPr>
            <w:tcW w:w="50" w:type="pct"/>
            <w:shd w:val="clear" w:color="auto" w:fill="auto"/>
            <w:vAlign w:val="bottom"/>
          </w:tcPr>
          <w:p w14:paraId="442F8332" w14:textId="77777777" w:rsidR="00CC25B5" w:rsidRDefault="00CC25B5">
            <w:pPr>
              <w:rPr>
                <w:rFonts w:ascii="宋体"/>
              </w:rPr>
            </w:pPr>
          </w:p>
        </w:tc>
        <w:tc>
          <w:tcPr>
            <w:tcW w:w="3768" w:type="pct"/>
            <w:shd w:val="clear" w:color="auto" w:fill="auto"/>
            <w:vAlign w:val="bottom"/>
          </w:tcPr>
          <w:p w14:paraId="442F8333" w14:textId="77777777" w:rsidR="00CC25B5" w:rsidRDefault="00CC25B5">
            <w:pPr>
              <w:rPr>
                <w:rFonts w:ascii="宋体"/>
              </w:rPr>
            </w:pPr>
          </w:p>
        </w:tc>
        <w:tc>
          <w:tcPr>
            <w:tcW w:w="5" w:type="pct"/>
            <w:shd w:val="clear" w:color="auto" w:fill="auto"/>
            <w:vAlign w:val="bottom"/>
          </w:tcPr>
          <w:p w14:paraId="442F8334" w14:textId="77777777" w:rsidR="00CC25B5" w:rsidRDefault="00CC25B5">
            <w:pPr>
              <w:rPr>
                <w:rFonts w:ascii="宋体"/>
              </w:rPr>
            </w:pPr>
          </w:p>
        </w:tc>
        <w:tc>
          <w:tcPr>
            <w:tcW w:w="0" w:type="auto"/>
            <w:shd w:val="clear" w:color="auto" w:fill="auto"/>
            <w:vAlign w:val="bottom"/>
          </w:tcPr>
          <w:p w14:paraId="442F8335" w14:textId="77777777" w:rsidR="00CC25B5" w:rsidRDefault="00CC25B5">
            <w:pPr>
              <w:rPr>
                <w:rFonts w:ascii="宋体"/>
                <w:vanish/>
              </w:rPr>
            </w:pPr>
          </w:p>
        </w:tc>
        <w:tc>
          <w:tcPr>
            <w:tcW w:w="0" w:type="auto"/>
            <w:shd w:val="clear" w:color="auto" w:fill="auto"/>
            <w:vAlign w:val="bottom"/>
          </w:tcPr>
          <w:p w14:paraId="442F8336" w14:textId="77777777" w:rsidR="00CC25B5" w:rsidRDefault="00CC25B5">
            <w:pPr>
              <w:rPr>
                <w:rFonts w:ascii="宋体"/>
                <w:vanish/>
              </w:rPr>
            </w:pPr>
          </w:p>
        </w:tc>
        <w:tc>
          <w:tcPr>
            <w:tcW w:w="0" w:type="auto"/>
            <w:shd w:val="clear" w:color="auto" w:fill="auto"/>
            <w:vAlign w:val="bottom"/>
          </w:tcPr>
          <w:p w14:paraId="442F8337" w14:textId="77777777" w:rsidR="00CC25B5" w:rsidRDefault="00CC25B5">
            <w:pPr>
              <w:rPr>
                <w:rFonts w:ascii="宋体"/>
                <w:vanish/>
              </w:rPr>
            </w:pPr>
          </w:p>
        </w:tc>
        <w:tc>
          <w:tcPr>
            <w:tcW w:w="0" w:type="auto"/>
            <w:shd w:val="clear" w:color="auto" w:fill="auto"/>
            <w:vAlign w:val="bottom"/>
          </w:tcPr>
          <w:p w14:paraId="442F8338" w14:textId="77777777" w:rsidR="00CC25B5" w:rsidRDefault="00CC25B5">
            <w:pPr>
              <w:rPr>
                <w:rFonts w:ascii="宋体"/>
                <w:vanish/>
              </w:rPr>
            </w:pPr>
          </w:p>
        </w:tc>
        <w:tc>
          <w:tcPr>
            <w:tcW w:w="0" w:type="auto"/>
            <w:shd w:val="clear" w:color="auto" w:fill="auto"/>
            <w:vAlign w:val="bottom"/>
          </w:tcPr>
          <w:p w14:paraId="442F8339" w14:textId="77777777" w:rsidR="00CC25B5" w:rsidRDefault="00CC25B5">
            <w:pPr>
              <w:rPr>
                <w:rFonts w:ascii="宋体"/>
                <w:vanish/>
              </w:rPr>
            </w:pPr>
          </w:p>
        </w:tc>
        <w:tc>
          <w:tcPr>
            <w:tcW w:w="50" w:type="pct"/>
            <w:shd w:val="clear" w:color="auto" w:fill="auto"/>
            <w:vAlign w:val="bottom"/>
          </w:tcPr>
          <w:p w14:paraId="442F833A" w14:textId="77777777" w:rsidR="00CC25B5" w:rsidRDefault="00CC25B5">
            <w:pPr>
              <w:rPr>
                <w:rFonts w:ascii="宋体"/>
              </w:rPr>
            </w:pPr>
          </w:p>
        </w:tc>
        <w:tc>
          <w:tcPr>
            <w:tcW w:w="507" w:type="pct"/>
            <w:shd w:val="clear" w:color="auto" w:fill="auto"/>
            <w:vAlign w:val="bottom"/>
          </w:tcPr>
          <w:p w14:paraId="442F833B" w14:textId="77777777" w:rsidR="00CC25B5" w:rsidRDefault="00CC25B5">
            <w:pPr>
              <w:rPr>
                <w:rFonts w:ascii="宋体"/>
              </w:rPr>
            </w:pPr>
          </w:p>
        </w:tc>
        <w:tc>
          <w:tcPr>
            <w:tcW w:w="5" w:type="pct"/>
            <w:shd w:val="clear" w:color="auto" w:fill="auto"/>
            <w:vAlign w:val="bottom"/>
          </w:tcPr>
          <w:p w14:paraId="442F833C" w14:textId="77777777" w:rsidR="00CC25B5" w:rsidRDefault="00CC25B5">
            <w:pPr>
              <w:rPr>
                <w:rFonts w:ascii="宋体"/>
              </w:rPr>
            </w:pPr>
          </w:p>
        </w:tc>
        <w:tc>
          <w:tcPr>
            <w:tcW w:w="5" w:type="pct"/>
            <w:shd w:val="clear" w:color="auto" w:fill="auto"/>
            <w:vAlign w:val="bottom"/>
          </w:tcPr>
          <w:p w14:paraId="442F833D" w14:textId="77777777" w:rsidR="00CC25B5" w:rsidRDefault="00CC25B5">
            <w:pPr>
              <w:rPr>
                <w:rFonts w:ascii="宋体"/>
              </w:rPr>
            </w:pPr>
          </w:p>
        </w:tc>
        <w:tc>
          <w:tcPr>
            <w:tcW w:w="41" w:type="pct"/>
            <w:shd w:val="clear" w:color="auto" w:fill="auto"/>
            <w:vAlign w:val="bottom"/>
          </w:tcPr>
          <w:p w14:paraId="442F833E" w14:textId="77777777" w:rsidR="00CC25B5" w:rsidRDefault="00CC25B5">
            <w:pPr>
              <w:rPr>
                <w:rFonts w:ascii="宋体"/>
              </w:rPr>
            </w:pPr>
          </w:p>
        </w:tc>
        <w:tc>
          <w:tcPr>
            <w:tcW w:w="5" w:type="pct"/>
            <w:shd w:val="clear" w:color="auto" w:fill="auto"/>
            <w:vAlign w:val="bottom"/>
          </w:tcPr>
          <w:p w14:paraId="442F833F" w14:textId="77777777" w:rsidR="00CC25B5" w:rsidRDefault="00CC25B5">
            <w:pPr>
              <w:rPr>
                <w:rFonts w:ascii="宋体"/>
              </w:rPr>
            </w:pPr>
          </w:p>
        </w:tc>
        <w:tc>
          <w:tcPr>
            <w:tcW w:w="0" w:type="auto"/>
            <w:gridSpan w:val="3"/>
            <w:shd w:val="clear" w:color="auto" w:fill="auto"/>
            <w:vAlign w:val="bottom"/>
          </w:tcPr>
          <w:p w14:paraId="442F8340" w14:textId="77777777" w:rsidR="00CC25B5" w:rsidRDefault="00CC25B5">
            <w:pPr>
              <w:rPr>
                <w:rFonts w:ascii="宋体"/>
                <w:vanish/>
              </w:rPr>
            </w:pPr>
          </w:p>
        </w:tc>
        <w:tc>
          <w:tcPr>
            <w:tcW w:w="50" w:type="pct"/>
            <w:shd w:val="clear" w:color="auto" w:fill="auto"/>
            <w:vAlign w:val="bottom"/>
          </w:tcPr>
          <w:p w14:paraId="442F8341" w14:textId="77777777" w:rsidR="00CC25B5" w:rsidRDefault="00CC25B5">
            <w:pPr>
              <w:rPr>
                <w:rFonts w:ascii="宋体"/>
              </w:rPr>
            </w:pPr>
          </w:p>
        </w:tc>
        <w:tc>
          <w:tcPr>
            <w:tcW w:w="507" w:type="pct"/>
            <w:shd w:val="clear" w:color="auto" w:fill="auto"/>
            <w:vAlign w:val="bottom"/>
          </w:tcPr>
          <w:p w14:paraId="442F8342" w14:textId="77777777" w:rsidR="00CC25B5" w:rsidRDefault="00CC25B5">
            <w:pPr>
              <w:rPr>
                <w:rFonts w:ascii="宋体"/>
              </w:rPr>
            </w:pPr>
          </w:p>
        </w:tc>
        <w:tc>
          <w:tcPr>
            <w:tcW w:w="5" w:type="pct"/>
            <w:shd w:val="clear" w:color="auto" w:fill="auto"/>
            <w:vAlign w:val="bottom"/>
          </w:tcPr>
          <w:p w14:paraId="442F8343" w14:textId="77777777" w:rsidR="00CC25B5" w:rsidRDefault="00CC25B5">
            <w:pPr>
              <w:rPr>
                <w:rFonts w:ascii="宋体"/>
              </w:rPr>
            </w:pPr>
          </w:p>
        </w:tc>
      </w:tr>
      <w:tr w:rsidR="00CC25B5" w14:paraId="442F8355" w14:textId="77777777">
        <w:tc>
          <w:tcPr>
            <w:tcW w:w="0" w:type="auto"/>
            <w:gridSpan w:val="3"/>
            <w:shd w:val="clear" w:color="auto" w:fill="auto"/>
            <w:tcMar>
              <w:top w:w="0" w:type="dxa"/>
              <w:left w:w="20" w:type="dxa"/>
              <w:bottom w:w="0" w:type="dxa"/>
              <w:right w:w="20" w:type="dxa"/>
            </w:tcMar>
            <w:vAlign w:val="bottom"/>
          </w:tcPr>
          <w:p w14:paraId="442F8345" w14:textId="77777777" w:rsidR="00CC25B5" w:rsidRDefault="00CC25B5">
            <w:pPr>
              <w:rPr>
                <w:rFonts w:ascii="宋体"/>
              </w:rPr>
            </w:pPr>
          </w:p>
        </w:tc>
        <w:tc>
          <w:tcPr>
            <w:tcW w:w="0" w:type="auto"/>
            <w:shd w:val="clear" w:color="auto" w:fill="auto"/>
            <w:vAlign w:val="bottom"/>
          </w:tcPr>
          <w:p w14:paraId="442F8346" w14:textId="77777777" w:rsidR="00CC25B5" w:rsidRDefault="00CC25B5">
            <w:pPr>
              <w:rPr>
                <w:rFonts w:ascii="宋体"/>
                <w:vanish/>
              </w:rPr>
            </w:pPr>
          </w:p>
        </w:tc>
        <w:tc>
          <w:tcPr>
            <w:tcW w:w="0" w:type="auto"/>
            <w:shd w:val="clear" w:color="auto" w:fill="auto"/>
            <w:vAlign w:val="bottom"/>
          </w:tcPr>
          <w:p w14:paraId="442F8347" w14:textId="77777777" w:rsidR="00CC25B5" w:rsidRDefault="00CC25B5">
            <w:pPr>
              <w:rPr>
                <w:rFonts w:ascii="宋体"/>
                <w:vanish/>
              </w:rPr>
            </w:pPr>
          </w:p>
        </w:tc>
        <w:tc>
          <w:tcPr>
            <w:tcW w:w="0" w:type="auto"/>
            <w:gridSpan w:val="3"/>
            <w:shd w:val="clear" w:color="auto" w:fill="auto"/>
            <w:tcMar>
              <w:top w:w="40" w:type="dxa"/>
              <w:left w:w="20" w:type="dxa"/>
              <w:bottom w:w="40" w:type="dxa"/>
              <w:right w:w="20" w:type="dxa"/>
            </w:tcMar>
            <w:vAlign w:val="bottom"/>
          </w:tcPr>
          <w:p w14:paraId="442F8348" w14:textId="77777777" w:rsidR="00CC25B5" w:rsidRDefault="00900968">
            <w:pPr>
              <w:jc w:val="center"/>
              <w:textAlignment w:val="bottom"/>
            </w:pPr>
            <w:r>
              <w:rPr>
                <w:rFonts w:ascii="Times New Roman" w:eastAsia="宋体" w:hAnsi="Times New Roman"/>
                <w:b/>
                <w:bCs/>
                <w:color w:val="000000"/>
                <w:sz w:val="16"/>
                <w:szCs w:val="16"/>
              </w:rPr>
              <w:t>Six Months Ended July 31,</w:t>
            </w:r>
          </w:p>
        </w:tc>
        <w:tc>
          <w:tcPr>
            <w:tcW w:w="0" w:type="auto"/>
            <w:shd w:val="clear" w:color="auto" w:fill="auto"/>
            <w:vAlign w:val="bottom"/>
          </w:tcPr>
          <w:p w14:paraId="442F8349" w14:textId="77777777" w:rsidR="00CC25B5" w:rsidRDefault="00CC25B5">
            <w:pPr>
              <w:rPr>
                <w:rFonts w:ascii="宋体"/>
              </w:rPr>
            </w:pPr>
          </w:p>
        </w:tc>
        <w:tc>
          <w:tcPr>
            <w:tcW w:w="0" w:type="auto"/>
            <w:shd w:val="clear" w:color="auto" w:fill="auto"/>
            <w:vAlign w:val="bottom"/>
          </w:tcPr>
          <w:p w14:paraId="442F834A" w14:textId="77777777" w:rsidR="00CC25B5" w:rsidRDefault="00CC25B5">
            <w:pPr>
              <w:rPr>
                <w:rFonts w:ascii="宋体"/>
              </w:rPr>
            </w:pPr>
          </w:p>
        </w:tc>
        <w:tc>
          <w:tcPr>
            <w:tcW w:w="0" w:type="auto"/>
            <w:shd w:val="clear" w:color="auto" w:fill="auto"/>
            <w:vAlign w:val="bottom"/>
          </w:tcPr>
          <w:p w14:paraId="442F834B" w14:textId="77777777" w:rsidR="00CC25B5" w:rsidRDefault="00CC25B5">
            <w:pPr>
              <w:rPr>
                <w:rFonts w:ascii="宋体"/>
              </w:rPr>
            </w:pPr>
          </w:p>
        </w:tc>
        <w:tc>
          <w:tcPr>
            <w:tcW w:w="0" w:type="auto"/>
            <w:shd w:val="clear" w:color="auto" w:fill="auto"/>
            <w:vAlign w:val="bottom"/>
          </w:tcPr>
          <w:p w14:paraId="442F834C" w14:textId="77777777" w:rsidR="00CC25B5" w:rsidRDefault="00CC25B5">
            <w:pPr>
              <w:rPr>
                <w:rFonts w:ascii="宋体"/>
              </w:rPr>
            </w:pPr>
          </w:p>
        </w:tc>
        <w:tc>
          <w:tcPr>
            <w:tcW w:w="0" w:type="auto"/>
            <w:shd w:val="clear" w:color="auto" w:fill="auto"/>
            <w:vAlign w:val="bottom"/>
          </w:tcPr>
          <w:p w14:paraId="442F834D" w14:textId="77777777" w:rsidR="00CC25B5" w:rsidRDefault="00CC25B5">
            <w:pPr>
              <w:rPr>
                <w:rFonts w:ascii="宋体"/>
              </w:rPr>
            </w:pPr>
          </w:p>
        </w:tc>
        <w:tc>
          <w:tcPr>
            <w:tcW w:w="0" w:type="auto"/>
            <w:shd w:val="clear" w:color="auto" w:fill="auto"/>
            <w:vAlign w:val="bottom"/>
          </w:tcPr>
          <w:p w14:paraId="442F834E" w14:textId="77777777" w:rsidR="00CC25B5" w:rsidRDefault="00CC25B5">
            <w:pPr>
              <w:rPr>
                <w:rFonts w:ascii="宋体"/>
              </w:rPr>
            </w:pPr>
          </w:p>
        </w:tc>
        <w:tc>
          <w:tcPr>
            <w:tcW w:w="0" w:type="auto"/>
            <w:shd w:val="clear" w:color="auto" w:fill="auto"/>
            <w:vAlign w:val="bottom"/>
          </w:tcPr>
          <w:p w14:paraId="442F834F" w14:textId="77777777" w:rsidR="00CC25B5" w:rsidRDefault="00CC25B5">
            <w:pPr>
              <w:rPr>
                <w:rFonts w:ascii="宋体"/>
              </w:rPr>
            </w:pPr>
          </w:p>
        </w:tc>
        <w:tc>
          <w:tcPr>
            <w:tcW w:w="0" w:type="auto"/>
            <w:shd w:val="clear" w:color="auto" w:fill="auto"/>
            <w:vAlign w:val="bottom"/>
          </w:tcPr>
          <w:p w14:paraId="442F8350" w14:textId="77777777" w:rsidR="00CC25B5" w:rsidRDefault="00CC25B5">
            <w:pPr>
              <w:rPr>
                <w:rFonts w:ascii="宋体"/>
              </w:rPr>
            </w:pPr>
          </w:p>
        </w:tc>
        <w:tc>
          <w:tcPr>
            <w:tcW w:w="0" w:type="auto"/>
            <w:shd w:val="clear" w:color="auto" w:fill="auto"/>
            <w:vAlign w:val="bottom"/>
          </w:tcPr>
          <w:p w14:paraId="442F8351" w14:textId="77777777" w:rsidR="00CC25B5" w:rsidRDefault="00CC25B5">
            <w:pPr>
              <w:rPr>
                <w:rFonts w:ascii="宋体"/>
              </w:rPr>
            </w:pPr>
          </w:p>
        </w:tc>
        <w:tc>
          <w:tcPr>
            <w:tcW w:w="0" w:type="auto"/>
            <w:shd w:val="clear" w:color="auto" w:fill="auto"/>
            <w:vAlign w:val="bottom"/>
          </w:tcPr>
          <w:p w14:paraId="442F8352" w14:textId="77777777" w:rsidR="00CC25B5" w:rsidRDefault="00CC25B5">
            <w:pPr>
              <w:rPr>
                <w:rFonts w:ascii="宋体"/>
              </w:rPr>
            </w:pPr>
          </w:p>
        </w:tc>
        <w:tc>
          <w:tcPr>
            <w:tcW w:w="0" w:type="auto"/>
            <w:shd w:val="clear" w:color="auto" w:fill="auto"/>
            <w:vAlign w:val="bottom"/>
          </w:tcPr>
          <w:p w14:paraId="442F8353" w14:textId="77777777" w:rsidR="00CC25B5" w:rsidRDefault="00CC25B5">
            <w:pPr>
              <w:rPr>
                <w:rFonts w:ascii="宋体"/>
              </w:rPr>
            </w:pPr>
          </w:p>
        </w:tc>
        <w:tc>
          <w:tcPr>
            <w:tcW w:w="0" w:type="auto"/>
            <w:shd w:val="clear" w:color="auto" w:fill="auto"/>
            <w:vAlign w:val="bottom"/>
          </w:tcPr>
          <w:p w14:paraId="442F8354" w14:textId="77777777" w:rsidR="00CC25B5" w:rsidRDefault="00CC25B5">
            <w:pPr>
              <w:rPr>
                <w:rFonts w:ascii="宋体"/>
              </w:rPr>
            </w:pPr>
          </w:p>
        </w:tc>
      </w:tr>
      <w:tr w:rsidR="00CC25B5" w14:paraId="442F8360" w14:textId="77777777">
        <w:tc>
          <w:tcPr>
            <w:tcW w:w="0" w:type="auto"/>
            <w:gridSpan w:val="3"/>
            <w:shd w:val="clear" w:color="auto" w:fill="auto"/>
            <w:tcMar>
              <w:top w:w="40" w:type="dxa"/>
              <w:left w:w="20" w:type="dxa"/>
              <w:bottom w:w="40" w:type="dxa"/>
              <w:right w:w="20" w:type="dxa"/>
            </w:tcMar>
            <w:vAlign w:val="bottom"/>
          </w:tcPr>
          <w:p w14:paraId="442F8356" w14:textId="77777777" w:rsidR="00CC25B5" w:rsidRDefault="00900968">
            <w:pPr>
              <w:textAlignment w:val="bottom"/>
            </w:pPr>
            <w:r>
              <w:rPr>
                <w:rFonts w:ascii="Times New Roman" w:eastAsia="宋体" w:hAnsi="Times New Roman"/>
                <w:i/>
                <w:iCs/>
                <w:color w:val="000000"/>
                <w:sz w:val="16"/>
                <w:szCs w:val="16"/>
              </w:rPr>
              <w:t>(Amounts in millions, except per share data)</w:t>
            </w:r>
          </w:p>
        </w:tc>
        <w:tc>
          <w:tcPr>
            <w:tcW w:w="0" w:type="auto"/>
            <w:shd w:val="clear" w:color="auto" w:fill="auto"/>
            <w:vAlign w:val="bottom"/>
          </w:tcPr>
          <w:p w14:paraId="442F8357" w14:textId="77777777" w:rsidR="00CC25B5" w:rsidRDefault="00CC25B5">
            <w:pPr>
              <w:rPr>
                <w:rFonts w:ascii="宋体"/>
                <w:vanish/>
              </w:rPr>
            </w:pPr>
          </w:p>
        </w:tc>
        <w:tc>
          <w:tcPr>
            <w:tcW w:w="0" w:type="auto"/>
            <w:shd w:val="clear" w:color="auto" w:fill="auto"/>
            <w:vAlign w:val="bottom"/>
          </w:tcPr>
          <w:p w14:paraId="442F8358" w14:textId="77777777" w:rsidR="00CC25B5" w:rsidRDefault="00CC25B5">
            <w:pPr>
              <w:rPr>
                <w:rFonts w:ascii="宋体"/>
                <w:vanish/>
              </w:rPr>
            </w:pPr>
          </w:p>
        </w:tc>
        <w:tc>
          <w:tcPr>
            <w:tcW w:w="0" w:type="auto"/>
            <w:shd w:val="clear" w:color="auto" w:fill="auto"/>
            <w:vAlign w:val="bottom"/>
          </w:tcPr>
          <w:p w14:paraId="442F8359" w14:textId="77777777" w:rsidR="00CC25B5" w:rsidRDefault="00CC25B5">
            <w:pPr>
              <w:rPr>
                <w:rFonts w:ascii="宋体"/>
                <w:vanish/>
              </w:rPr>
            </w:pPr>
          </w:p>
        </w:tc>
        <w:tc>
          <w:tcPr>
            <w:tcW w:w="0" w:type="auto"/>
            <w:shd w:val="clear" w:color="auto" w:fill="auto"/>
            <w:vAlign w:val="bottom"/>
          </w:tcPr>
          <w:p w14:paraId="442F835A" w14:textId="77777777" w:rsidR="00CC25B5" w:rsidRDefault="00CC25B5">
            <w:pPr>
              <w:rPr>
                <w:rFonts w:ascii="宋体"/>
                <w:vanish/>
              </w:rPr>
            </w:pPr>
          </w:p>
        </w:tc>
        <w:tc>
          <w:tcPr>
            <w:tcW w:w="0" w:type="auto"/>
            <w:shd w:val="clear" w:color="auto" w:fill="auto"/>
            <w:vAlign w:val="bottom"/>
          </w:tcPr>
          <w:p w14:paraId="442F835B" w14:textId="77777777" w:rsidR="00CC25B5" w:rsidRDefault="00CC25B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35C" w14:textId="77777777" w:rsidR="00CC25B5" w:rsidRDefault="00900968">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F835D" w14:textId="77777777" w:rsidR="00CC25B5" w:rsidRDefault="00CC25B5">
            <w:pPr>
              <w:rPr>
                <w:rFonts w:ascii="宋体"/>
              </w:rPr>
            </w:pPr>
          </w:p>
        </w:tc>
        <w:tc>
          <w:tcPr>
            <w:tcW w:w="0" w:type="auto"/>
            <w:gridSpan w:val="3"/>
            <w:shd w:val="clear" w:color="auto" w:fill="auto"/>
            <w:vAlign w:val="bottom"/>
          </w:tcPr>
          <w:p w14:paraId="442F835E" w14:textId="77777777" w:rsidR="00CC25B5" w:rsidRDefault="00CC25B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35F" w14:textId="77777777" w:rsidR="00CC25B5" w:rsidRDefault="00900968">
            <w:pPr>
              <w:jc w:val="center"/>
              <w:textAlignment w:val="bottom"/>
            </w:pPr>
            <w:r>
              <w:rPr>
                <w:rFonts w:ascii="Times New Roman" w:eastAsia="宋体" w:hAnsi="Times New Roman"/>
                <w:b/>
                <w:bCs/>
                <w:color w:val="000000"/>
                <w:sz w:val="16"/>
                <w:szCs w:val="16"/>
              </w:rPr>
              <w:t>2020</w:t>
            </w:r>
          </w:p>
        </w:tc>
      </w:tr>
      <w:tr w:rsidR="00CC25B5" w14:paraId="442F836D" w14:textId="77777777">
        <w:tc>
          <w:tcPr>
            <w:tcW w:w="0" w:type="auto"/>
            <w:gridSpan w:val="3"/>
            <w:shd w:val="clear" w:color="auto" w:fill="CCEEFF"/>
            <w:tcMar>
              <w:top w:w="40" w:type="dxa"/>
              <w:left w:w="20" w:type="dxa"/>
              <w:bottom w:w="40" w:type="dxa"/>
              <w:right w:w="20" w:type="dxa"/>
            </w:tcMar>
            <w:vAlign w:val="center"/>
          </w:tcPr>
          <w:p w14:paraId="442F8361" w14:textId="77777777" w:rsidR="00CC25B5" w:rsidRDefault="00900968">
            <w:pPr>
              <w:textAlignment w:val="center"/>
            </w:pPr>
            <w:r>
              <w:rPr>
                <w:rFonts w:ascii="Times New Roman" w:eastAsia="宋体" w:hAnsi="Times New Roman"/>
                <w:color w:val="000000"/>
                <w:sz w:val="16"/>
                <w:szCs w:val="16"/>
              </w:rPr>
              <w:t>Total number of shares repurchased</w:t>
            </w:r>
          </w:p>
        </w:tc>
        <w:tc>
          <w:tcPr>
            <w:tcW w:w="0" w:type="auto"/>
            <w:shd w:val="clear" w:color="auto" w:fill="auto"/>
            <w:vAlign w:val="bottom"/>
          </w:tcPr>
          <w:p w14:paraId="442F8362" w14:textId="77777777" w:rsidR="00CC25B5" w:rsidRDefault="00CC25B5">
            <w:pPr>
              <w:rPr>
                <w:rFonts w:ascii="宋体"/>
                <w:vanish/>
              </w:rPr>
            </w:pPr>
          </w:p>
        </w:tc>
        <w:tc>
          <w:tcPr>
            <w:tcW w:w="0" w:type="auto"/>
            <w:shd w:val="clear" w:color="auto" w:fill="auto"/>
            <w:vAlign w:val="bottom"/>
          </w:tcPr>
          <w:p w14:paraId="442F8363" w14:textId="77777777" w:rsidR="00CC25B5" w:rsidRDefault="00CC25B5">
            <w:pPr>
              <w:rPr>
                <w:rFonts w:ascii="宋体"/>
                <w:vanish/>
              </w:rPr>
            </w:pPr>
          </w:p>
        </w:tc>
        <w:tc>
          <w:tcPr>
            <w:tcW w:w="0" w:type="auto"/>
            <w:shd w:val="clear" w:color="auto" w:fill="auto"/>
            <w:vAlign w:val="bottom"/>
          </w:tcPr>
          <w:p w14:paraId="442F8364" w14:textId="77777777" w:rsidR="00CC25B5" w:rsidRDefault="00CC25B5">
            <w:pPr>
              <w:rPr>
                <w:rFonts w:ascii="宋体"/>
                <w:vanish/>
              </w:rPr>
            </w:pPr>
          </w:p>
        </w:tc>
        <w:tc>
          <w:tcPr>
            <w:tcW w:w="0" w:type="auto"/>
            <w:shd w:val="clear" w:color="auto" w:fill="auto"/>
            <w:vAlign w:val="bottom"/>
          </w:tcPr>
          <w:p w14:paraId="442F8365" w14:textId="77777777" w:rsidR="00CC25B5" w:rsidRDefault="00CC25B5">
            <w:pPr>
              <w:rPr>
                <w:rFonts w:ascii="宋体"/>
                <w:vanish/>
              </w:rPr>
            </w:pPr>
          </w:p>
        </w:tc>
        <w:tc>
          <w:tcPr>
            <w:tcW w:w="0" w:type="auto"/>
            <w:shd w:val="clear" w:color="auto" w:fill="auto"/>
            <w:vAlign w:val="bottom"/>
          </w:tcPr>
          <w:p w14:paraId="442F8366" w14:textId="77777777" w:rsidR="00CC25B5" w:rsidRDefault="00CC25B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8367" w14:textId="77777777" w:rsidR="00CC25B5" w:rsidRDefault="00900968">
            <w:pPr>
              <w:jc w:val="right"/>
              <w:textAlignment w:val="center"/>
            </w:pPr>
            <w:r>
              <w:rPr>
                <w:rFonts w:ascii="Times New Roman" w:eastAsia="宋体" w:hAnsi="Times New Roman"/>
                <w:color w:val="000000"/>
                <w:sz w:val="16"/>
                <w:szCs w:val="16"/>
              </w:rPr>
              <w:t>37.7 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36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369" w14:textId="77777777" w:rsidR="00CC25B5" w:rsidRDefault="00CC25B5">
            <w:pPr>
              <w:rPr>
                <w:rFonts w:ascii="宋体"/>
              </w:rPr>
            </w:pPr>
          </w:p>
        </w:tc>
        <w:tc>
          <w:tcPr>
            <w:tcW w:w="0" w:type="auto"/>
            <w:gridSpan w:val="3"/>
            <w:shd w:val="clear" w:color="auto" w:fill="auto"/>
            <w:vAlign w:val="bottom"/>
          </w:tcPr>
          <w:p w14:paraId="442F836A" w14:textId="77777777" w:rsidR="00CC25B5" w:rsidRDefault="00CC25B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836B" w14:textId="77777777" w:rsidR="00CC25B5" w:rsidRDefault="00900968">
            <w:pPr>
              <w:jc w:val="right"/>
              <w:textAlignment w:val="center"/>
            </w:pPr>
            <w:r>
              <w:rPr>
                <w:rFonts w:ascii="Times New Roman" w:eastAsia="宋体" w:hAnsi="Times New Roman"/>
                <w:color w:val="000000"/>
                <w:sz w:val="16"/>
                <w:szCs w:val="16"/>
              </w:rPr>
              <w:t>6.3 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36C" w14:textId="77777777" w:rsidR="00CC25B5" w:rsidRDefault="00CC25B5">
            <w:pPr>
              <w:jc w:val="right"/>
              <w:rPr>
                <w:rFonts w:ascii="宋体"/>
              </w:rPr>
            </w:pPr>
          </w:p>
        </w:tc>
      </w:tr>
      <w:tr w:rsidR="00CC25B5" w14:paraId="442F837C" w14:textId="77777777">
        <w:tc>
          <w:tcPr>
            <w:tcW w:w="0" w:type="auto"/>
            <w:gridSpan w:val="3"/>
            <w:shd w:val="clear" w:color="auto" w:fill="FFFFFF"/>
            <w:tcMar>
              <w:top w:w="40" w:type="dxa"/>
              <w:left w:w="20" w:type="dxa"/>
              <w:bottom w:w="40" w:type="dxa"/>
              <w:right w:w="20" w:type="dxa"/>
            </w:tcMar>
            <w:vAlign w:val="center"/>
          </w:tcPr>
          <w:p w14:paraId="442F836E" w14:textId="77777777" w:rsidR="00CC25B5" w:rsidRDefault="00900968">
            <w:pPr>
              <w:textAlignment w:val="center"/>
            </w:pPr>
            <w:r>
              <w:rPr>
                <w:rFonts w:ascii="Times New Roman" w:eastAsia="宋体" w:hAnsi="Times New Roman"/>
                <w:color w:val="000000"/>
                <w:sz w:val="16"/>
                <w:szCs w:val="16"/>
              </w:rPr>
              <w:t>Average price paid per share</w:t>
            </w:r>
          </w:p>
        </w:tc>
        <w:tc>
          <w:tcPr>
            <w:tcW w:w="0" w:type="auto"/>
            <w:shd w:val="clear" w:color="auto" w:fill="auto"/>
            <w:vAlign w:val="bottom"/>
          </w:tcPr>
          <w:p w14:paraId="442F836F" w14:textId="77777777" w:rsidR="00CC25B5" w:rsidRDefault="00CC25B5">
            <w:pPr>
              <w:rPr>
                <w:rFonts w:ascii="宋体"/>
                <w:vanish/>
              </w:rPr>
            </w:pPr>
          </w:p>
        </w:tc>
        <w:tc>
          <w:tcPr>
            <w:tcW w:w="0" w:type="auto"/>
            <w:shd w:val="clear" w:color="auto" w:fill="auto"/>
            <w:vAlign w:val="bottom"/>
          </w:tcPr>
          <w:p w14:paraId="442F8370" w14:textId="77777777" w:rsidR="00CC25B5" w:rsidRDefault="00CC25B5">
            <w:pPr>
              <w:rPr>
                <w:rFonts w:ascii="宋体"/>
                <w:vanish/>
              </w:rPr>
            </w:pPr>
          </w:p>
        </w:tc>
        <w:tc>
          <w:tcPr>
            <w:tcW w:w="0" w:type="auto"/>
            <w:shd w:val="clear" w:color="auto" w:fill="auto"/>
            <w:vAlign w:val="bottom"/>
          </w:tcPr>
          <w:p w14:paraId="442F8371" w14:textId="77777777" w:rsidR="00CC25B5" w:rsidRDefault="00CC25B5">
            <w:pPr>
              <w:rPr>
                <w:rFonts w:ascii="宋体"/>
                <w:vanish/>
              </w:rPr>
            </w:pPr>
          </w:p>
        </w:tc>
        <w:tc>
          <w:tcPr>
            <w:tcW w:w="0" w:type="auto"/>
            <w:shd w:val="clear" w:color="auto" w:fill="auto"/>
            <w:vAlign w:val="bottom"/>
          </w:tcPr>
          <w:p w14:paraId="442F8372" w14:textId="77777777" w:rsidR="00CC25B5" w:rsidRDefault="00CC25B5">
            <w:pPr>
              <w:rPr>
                <w:rFonts w:ascii="宋体"/>
                <w:vanish/>
              </w:rPr>
            </w:pPr>
          </w:p>
        </w:tc>
        <w:tc>
          <w:tcPr>
            <w:tcW w:w="0" w:type="auto"/>
            <w:shd w:val="clear" w:color="auto" w:fill="auto"/>
            <w:vAlign w:val="bottom"/>
          </w:tcPr>
          <w:p w14:paraId="442F8373" w14:textId="77777777" w:rsidR="00CC25B5" w:rsidRDefault="00CC25B5">
            <w:pPr>
              <w:rPr>
                <w:rFonts w:ascii="宋体"/>
                <w:vanish/>
              </w:rPr>
            </w:pPr>
          </w:p>
        </w:tc>
        <w:tc>
          <w:tcPr>
            <w:tcW w:w="0" w:type="auto"/>
            <w:shd w:val="clear" w:color="auto" w:fill="FFFFFF"/>
            <w:tcMar>
              <w:top w:w="40" w:type="dxa"/>
              <w:left w:w="20" w:type="dxa"/>
              <w:bottom w:w="40" w:type="dxa"/>
              <w:right w:w="0" w:type="dxa"/>
            </w:tcMar>
            <w:vAlign w:val="center"/>
          </w:tcPr>
          <w:p w14:paraId="442F8374"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375" w14:textId="77777777" w:rsidR="00CC25B5" w:rsidRDefault="00900968">
            <w:pPr>
              <w:jc w:val="right"/>
              <w:textAlignment w:val="center"/>
            </w:pPr>
            <w:r>
              <w:rPr>
                <w:rFonts w:ascii="Times New Roman" w:eastAsia="宋体" w:hAnsi="Times New Roman"/>
                <w:color w:val="000000"/>
                <w:sz w:val="16"/>
                <w:szCs w:val="16"/>
              </w:rPr>
              <w:t>137.94 </w:t>
            </w:r>
          </w:p>
        </w:tc>
        <w:tc>
          <w:tcPr>
            <w:tcW w:w="0" w:type="auto"/>
            <w:shd w:val="clear" w:color="auto" w:fill="FFFFFF"/>
            <w:tcMar>
              <w:top w:w="40" w:type="dxa"/>
              <w:left w:w="0" w:type="dxa"/>
              <w:bottom w:w="40" w:type="dxa"/>
              <w:right w:w="20" w:type="dxa"/>
            </w:tcMar>
            <w:vAlign w:val="center"/>
          </w:tcPr>
          <w:p w14:paraId="442F8376"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377" w14:textId="77777777" w:rsidR="00CC25B5" w:rsidRDefault="00CC25B5">
            <w:pPr>
              <w:rPr>
                <w:rFonts w:ascii="宋体"/>
              </w:rPr>
            </w:pPr>
          </w:p>
        </w:tc>
        <w:tc>
          <w:tcPr>
            <w:tcW w:w="0" w:type="auto"/>
            <w:gridSpan w:val="3"/>
            <w:shd w:val="clear" w:color="auto" w:fill="auto"/>
            <w:vAlign w:val="bottom"/>
          </w:tcPr>
          <w:p w14:paraId="442F8378" w14:textId="77777777" w:rsidR="00CC25B5" w:rsidRDefault="00CC25B5">
            <w:pPr>
              <w:rPr>
                <w:rFonts w:ascii="宋体"/>
                <w:vanish/>
              </w:rPr>
            </w:pPr>
          </w:p>
        </w:tc>
        <w:tc>
          <w:tcPr>
            <w:tcW w:w="0" w:type="auto"/>
            <w:shd w:val="clear" w:color="auto" w:fill="FFFFFF"/>
            <w:tcMar>
              <w:top w:w="40" w:type="dxa"/>
              <w:left w:w="20" w:type="dxa"/>
              <w:bottom w:w="40" w:type="dxa"/>
              <w:right w:w="0" w:type="dxa"/>
            </w:tcMar>
            <w:vAlign w:val="center"/>
          </w:tcPr>
          <w:p w14:paraId="442F8379"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42F837A" w14:textId="77777777" w:rsidR="00CC25B5" w:rsidRDefault="00900968">
            <w:pPr>
              <w:jc w:val="right"/>
              <w:textAlignment w:val="center"/>
            </w:pPr>
            <w:r>
              <w:rPr>
                <w:rFonts w:ascii="Times New Roman" w:eastAsia="宋体" w:hAnsi="Times New Roman"/>
                <w:color w:val="000000"/>
                <w:sz w:val="16"/>
                <w:szCs w:val="16"/>
              </w:rPr>
              <w:t>114.73 </w:t>
            </w:r>
          </w:p>
        </w:tc>
        <w:tc>
          <w:tcPr>
            <w:tcW w:w="0" w:type="auto"/>
            <w:shd w:val="clear" w:color="auto" w:fill="FFFFFF"/>
            <w:tcMar>
              <w:top w:w="40" w:type="dxa"/>
              <w:left w:w="0" w:type="dxa"/>
              <w:bottom w:w="40" w:type="dxa"/>
              <w:right w:w="20" w:type="dxa"/>
            </w:tcMar>
            <w:vAlign w:val="center"/>
          </w:tcPr>
          <w:p w14:paraId="442F837B" w14:textId="77777777" w:rsidR="00CC25B5" w:rsidRDefault="00CC25B5">
            <w:pPr>
              <w:jc w:val="right"/>
              <w:rPr>
                <w:rFonts w:ascii="宋体"/>
              </w:rPr>
            </w:pPr>
          </w:p>
        </w:tc>
      </w:tr>
      <w:tr w:rsidR="00CC25B5" w14:paraId="442F838B" w14:textId="77777777">
        <w:tc>
          <w:tcPr>
            <w:tcW w:w="0" w:type="auto"/>
            <w:gridSpan w:val="3"/>
            <w:shd w:val="clear" w:color="auto" w:fill="CCEEFF"/>
            <w:tcMar>
              <w:top w:w="40" w:type="dxa"/>
              <w:left w:w="20" w:type="dxa"/>
              <w:bottom w:w="40" w:type="dxa"/>
              <w:right w:w="20" w:type="dxa"/>
            </w:tcMar>
            <w:vAlign w:val="center"/>
          </w:tcPr>
          <w:p w14:paraId="442F837D" w14:textId="77777777" w:rsidR="00CC25B5" w:rsidRDefault="00900968">
            <w:pPr>
              <w:textAlignment w:val="center"/>
            </w:pPr>
            <w:r>
              <w:rPr>
                <w:rFonts w:ascii="Times New Roman" w:eastAsia="宋体" w:hAnsi="Times New Roman"/>
                <w:color w:val="000000"/>
                <w:sz w:val="16"/>
                <w:szCs w:val="16"/>
              </w:rPr>
              <w:t>Total amount paid for share repurchases</w:t>
            </w:r>
          </w:p>
        </w:tc>
        <w:tc>
          <w:tcPr>
            <w:tcW w:w="0" w:type="auto"/>
            <w:shd w:val="clear" w:color="auto" w:fill="auto"/>
            <w:vAlign w:val="bottom"/>
          </w:tcPr>
          <w:p w14:paraId="442F837E" w14:textId="77777777" w:rsidR="00CC25B5" w:rsidRDefault="00CC25B5">
            <w:pPr>
              <w:rPr>
                <w:rFonts w:ascii="宋体"/>
                <w:vanish/>
              </w:rPr>
            </w:pPr>
          </w:p>
        </w:tc>
        <w:tc>
          <w:tcPr>
            <w:tcW w:w="0" w:type="auto"/>
            <w:shd w:val="clear" w:color="auto" w:fill="auto"/>
            <w:vAlign w:val="bottom"/>
          </w:tcPr>
          <w:p w14:paraId="442F837F" w14:textId="77777777" w:rsidR="00CC25B5" w:rsidRDefault="00CC25B5">
            <w:pPr>
              <w:rPr>
                <w:rFonts w:ascii="宋体"/>
                <w:vanish/>
              </w:rPr>
            </w:pPr>
          </w:p>
        </w:tc>
        <w:tc>
          <w:tcPr>
            <w:tcW w:w="0" w:type="auto"/>
            <w:shd w:val="clear" w:color="auto" w:fill="auto"/>
            <w:vAlign w:val="bottom"/>
          </w:tcPr>
          <w:p w14:paraId="442F8380" w14:textId="77777777" w:rsidR="00CC25B5" w:rsidRDefault="00CC25B5">
            <w:pPr>
              <w:rPr>
                <w:rFonts w:ascii="宋体"/>
                <w:vanish/>
              </w:rPr>
            </w:pPr>
          </w:p>
        </w:tc>
        <w:tc>
          <w:tcPr>
            <w:tcW w:w="0" w:type="auto"/>
            <w:shd w:val="clear" w:color="auto" w:fill="auto"/>
            <w:vAlign w:val="bottom"/>
          </w:tcPr>
          <w:p w14:paraId="442F8381" w14:textId="77777777" w:rsidR="00CC25B5" w:rsidRDefault="00CC25B5">
            <w:pPr>
              <w:rPr>
                <w:rFonts w:ascii="宋体"/>
                <w:vanish/>
              </w:rPr>
            </w:pPr>
          </w:p>
        </w:tc>
        <w:tc>
          <w:tcPr>
            <w:tcW w:w="0" w:type="auto"/>
            <w:shd w:val="clear" w:color="auto" w:fill="auto"/>
            <w:vAlign w:val="bottom"/>
          </w:tcPr>
          <w:p w14:paraId="442F8382" w14:textId="77777777" w:rsidR="00CC25B5" w:rsidRDefault="00CC25B5">
            <w:pPr>
              <w:rPr>
                <w:rFonts w:ascii="宋体"/>
                <w:vanish/>
              </w:rPr>
            </w:pPr>
          </w:p>
        </w:tc>
        <w:tc>
          <w:tcPr>
            <w:tcW w:w="0" w:type="auto"/>
            <w:shd w:val="clear" w:color="auto" w:fill="CCEEFF"/>
            <w:tcMar>
              <w:top w:w="40" w:type="dxa"/>
              <w:left w:w="20" w:type="dxa"/>
              <w:bottom w:w="40" w:type="dxa"/>
              <w:right w:w="0" w:type="dxa"/>
            </w:tcMar>
            <w:vAlign w:val="center"/>
          </w:tcPr>
          <w:p w14:paraId="442F8383"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384" w14:textId="77777777" w:rsidR="00CC25B5" w:rsidRDefault="00900968">
            <w:pPr>
              <w:jc w:val="right"/>
              <w:textAlignment w:val="center"/>
            </w:pPr>
            <w:r>
              <w:rPr>
                <w:rFonts w:ascii="Times New Roman" w:eastAsia="宋体" w:hAnsi="Times New Roman"/>
                <w:color w:val="000000"/>
                <w:sz w:val="16"/>
                <w:szCs w:val="16"/>
              </w:rPr>
              <w:t>5,200 </w:t>
            </w:r>
          </w:p>
        </w:tc>
        <w:tc>
          <w:tcPr>
            <w:tcW w:w="0" w:type="auto"/>
            <w:shd w:val="clear" w:color="auto" w:fill="CCEEFF"/>
            <w:tcMar>
              <w:top w:w="40" w:type="dxa"/>
              <w:left w:w="0" w:type="dxa"/>
              <w:bottom w:w="40" w:type="dxa"/>
              <w:right w:w="20" w:type="dxa"/>
            </w:tcMar>
            <w:vAlign w:val="center"/>
          </w:tcPr>
          <w:p w14:paraId="442F838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386" w14:textId="77777777" w:rsidR="00CC25B5" w:rsidRDefault="00CC25B5">
            <w:pPr>
              <w:rPr>
                <w:rFonts w:ascii="宋体"/>
              </w:rPr>
            </w:pPr>
          </w:p>
        </w:tc>
        <w:tc>
          <w:tcPr>
            <w:tcW w:w="0" w:type="auto"/>
            <w:gridSpan w:val="3"/>
            <w:shd w:val="clear" w:color="auto" w:fill="auto"/>
            <w:vAlign w:val="bottom"/>
          </w:tcPr>
          <w:p w14:paraId="442F8387" w14:textId="77777777" w:rsidR="00CC25B5" w:rsidRDefault="00CC25B5">
            <w:pPr>
              <w:rPr>
                <w:rFonts w:ascii="宋体"/>
                <w:vanish/>
              </w:rPr>
            </w:pPr>
          </w:p>
        </w:tc>
        <w:tc>
          <w:tcPr>
            <w:tcW w:w="0" w:type="auto"/>
            <w:shd w:val="clear" w:color="auto" w:fill="CCEEFF"/>
            <w:tcMar>
              <w:top w:w="40" w:type="dxa"/>
              <w:left w:w="20" w:type="dxa"/>
              <w:bottom w:w="40" w:type="dxa"/>
              <w:right w:w="0" w:type="dxa"/>
            </w:tcMar>
            <w:vAlign w:val="center"/>
          </w:tcPr>
          <w:p w14:paraId="442F8388" w14:textId="77777777" w:rsidR="00CC25B5" w:rsidRDefault="00900968">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42F8389" w14:textId="77777777" w:rsidR="00CC25B5" w:rsidRDefault="00900968">
            <w:pPr>
              <w:jc w:val="right"/>
              <w:textAlignment w:val="center"/>
            </w:pPr>
            <w:r>
              <w:rPr>
                <w:rFonts w:ascii="Times New Roman" w:eastAsia="宋体" w:hAnsi="Times New Roman"/>
                <w:color w:val="000000"/>
                <w:sz w:val="16"/>
                <w:szCs w:val="16"/>
              </w:rPr>
              <w:t>723 </w:t>
            </w:r>
          </w:p>
        </w:tc>
        <w:tc>
          <w:tcPr>
            <w:tcW w:w="0" w:type="auto"/>
            <w:shd w:val="clear" w:color="auto" w:fill="CCEEFF"/>
            <w:tcMar>
              <w:top w:w="40" w:type="dxa"/>
              <w:left w:w="0" w:type="dxa"/>
              <w:bottom w:w="40" w:type="dxa"/>
              <w:right w:w="20" w:type="dxa"/>
            </w:tcMar>
            <w:vAlign w:val="center"/>
          </w:tcPr>
          <w:p w14:paraId="442F838A" w14:textId="77777777" w:rsidR="00CC25B5" w:rsidRDefault="00CC25B5">
            <w:pPr>
              <w:jc w:val="right"/>
              <w:rPr>
                <w:rFonts w:ascii="宋体"/>
              </w:rPr>
            </w:pPr>
          </w:p>
        </w:tc>
      </w:tr>
    </w:tbl>
    <w:p w14:paraId="442F838C" w14:textId="77777777" w:rsidR="00CC25B5" w:rsidRDefault="00900968">
      <w:pPr>
        <w:spacing w:before="140" w:after="100"/>
      </w:pPr>
      <w:r>
        <w:rPr>
          <w:rFonts w:ascii="Times New Roman" w:eastAsia="宋体" w:hAnsi="Times New Roman"/>
          <w:b/>
          <w:bCs/>
          <w:color w:val="000000"/>
          <w:sz w:val="20"/>
          <w:szCs w:val="20"/>
          <w:u w:val="single"/>
        </w:rPr>
        <w:t>Capital Resources</w:t>
      </w:r>
    </w:p>
    <w:p w14:paraId="442F838D" w14:textId="77777777" w:rsidR="00CC25B5" w:rsidRDefault="00900968">
      <w:r>
        <w:rPr>
          <w:rFonts w:ascii="Times New Roman" w:eastAsia="宋体" w:hAnsi="Times New Roman"/>
          <w:color w:val="000000"/>
          <w:sz w:val="20"/>
          <w:szCs w:val="20"/>
        </w:rPr>
        <w:t>We believe cash flows from operations, our current cash position and access to capital markets will continue to be sufficient to meet our anticipated operating cash needs, which include funding seasonal increases in merchandise inventories, our capital exp</w:t>
      </w:r>
      <w:r>
        <w:rPr>
          <w:rFonts w:ascii="Times New Roman" w:eastAsia="宋体" w:hAnsi="Times New Roman"/>
          <w:color w:val="000000"/>
          <w:sz w:val="20"/>
          <w:szCs w:val="20"/>
        </w:rPr>
        <w:t xml:space="preserve">enditures, acquisitions, dividend payments and share repurchases. </w:t>
      </w:r>
    </w:p>
    <w:p w14:paraId="442F838E" w14:textId="77777777" w:rsidR="00CC25B5" w:rsidRDefault="00900968">
      <w:pPr>
        <w:jc w:val="center"/>
      </w:pPr>
      <w:r>
        <w:rPr>
          <w:rFonts w:ascii="Times New Roman" w:eastAsia="宋体" w:hAnsi="Times New Roman"/>
          <w:color w:val="000000"/>
          <w:sz w:val="20"/>
          <w:szCs w:val="20"/>
        </w:rPr>
        <w:t>24</w:t>
      </w:r>
    </w:p>
    <w:p w14:paraId="442F838F" w14:textId="77777777" w:rsidR="00CC25B5" w:rsidRDefault="00900968">
      <w:r>
        <w:pict w14:anchorId="442F85E1">
          <v:rect id="_x0000_i1048" style="width:415.3pt;height:1.5pt" o:hralign="center" o:hrstd="t" o:hr="t" fillcolor="#a0a0a0" stroked="f"/>
        </w:pict>
      </w:r>
    </w:p>
    <w:p w14:paraId="442F8390" w14:textId="77777777" w:rsidR="00CC25B5" w:rsidRDefault="00900968">
      <w:hyperlink r:id="rId71" w:anchor="ie1710166881948a18c44f48eaa2dcf00_7" w:history="1">
        <w:r>
          <w:rPr>
            <w:rStyle w:val="a5"/>
            <w:rFonts w:ascii="Times New Roman" w:eastAsia="宋体" w:hAnsi="Times New Roman"/>
            <w:sz w:val="20"/>
            <w:szCs w:val="20"/>
          </w:rPr>
          <w:t>Table of Contents</w:t>
        </w:r>
      </w:hyperlink>
    </w:p>
    <w:p w14:paraId="442F8391" w14:textId="77777777" w:rsidR="00CC25B5" w:rsidRDefault="00900968">
      <w:pPr>
        <w:spacing w:before="100"/>
      </w:pPr>
      <w:r>
        <w:rPr>
          <w:rFonts w:ascii="Times New Roman" w:eastAsia="宋体" w:hAnsi="Times New Roman"/>
          <w:color w:val="000000"/>
          <w:sz w:val="20"/>
          <w:szCs w:val="20"/>
        </w:rPr>
        <w:t xml:space="preserve">We have </w:t>
      </w:r>
      <w:r>
        <w:rPr>
          <w:rFonts w:ascii="Times New Roman" w:eastAsia="宋体" w:hAnsi="Times New Roman"/>
          <w:color w:val="000000"/>
          <w:sz w:val="20"/>
          <w:szCs w:val="20"/>
        </w:rPr>
        <w:t xml:space="preserve">strong commercial paper and long-term debt ratings that have enabled and should continue to enable us to refinance our debt as it becomes due at favorable rates in the capital markets. We also have $15.0 billion in various committed lines of credit in the </w:t>
      </w:r>
      <w:r>
        <w:rPr>
          <w:rFonts w:ascii="Times New Roman" w:eastAsia="宋体" w:hAnsi="Times New Roman"/>
          <w:color w:val="000000"/>
          <w:sz w:val="20"/>
          <w:szCs w:val="20"/>
        </w:rPr>
        <w:t>U.S., all of which currently remains undrawn. At July 31, 2021, the ratings assigned to our commercial paper and rated series of our outstanding long-term debt were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CC25B5" w14:paraId="442F83A1" w14:textId="77777777">
        <w:trPr>
          <w:jc w:val="center"/>
        </w:trPr>
        <w:tc>
          <w:tcPr>
            <w:tcW w:w="50" w:type="pct"/>
            <w:shd w:val="clear" w:color="auto" w:fill="auto"/>
            <w:vAlign w:val="bottom"/>
          </w:tcPr>
          <w:p w14:paraId="442F8392" w14:textId="77777777" w:rsidR="00CC25B5" w:rsidRDefault="00CC25B5">
            <w:pPr>
              <w:rPr>
                <w:rFonts w:ascii="宋体"/>
              </w:rPr>
            </w:pPr>
          </w:p>
        </w:tc>
        <w:tc>
          <w:tcPr>
            <w:tcW w:w="1972" w:type="pct"/>
            <w:shd w:val="clear" w:color="auto" w:fill="auto"/>
            <w:vAlign w:val="bottom"/>
          </w:tcPr>
          <w:p w14:paraId="442F8393" w14:textId="77777777" w:rsidR="00CC25B5" w:rsidRDefault="00CC25B5">
            <w:pPr>
              <w:rPr>
                <w:rFonts w:ascii="宋体"/>
              </w:rPr>
            </w:pPr>
          </w:p>
        </w:tc>
        <w:tc>
          <w:tcPr>
            <w:tcW w:w="5" w:type="pct"/>
            <w:shd w:val="clear" w:color="auto" w:fill="auto"/>
            <w:vAlign w:val="bottom"/>
          </w:tcPr>
          <w:p w14:paraId="442F8394" w14:textId="77777777" w:rsidR="00CC25B5" w:rsidRDefault="00CC25B5">
            <w:pPr>
              <w:rPr>
                <w:rFonts w:ascii="宋体"/>
              </w:rPr>
            </w:pPr>
          </w:p>
        </w:tc>
        <w:tc>
          <w:tcPr>
            <w:tcW w:w="5" w:type="pct"/>
            <w:shd w:val="clear" w:color="auto" w:fill="auto"/>
            <w:vAlign w:val="bottom"/>
          </w:tcPr>
          <w:p w14:paraId="442F8395" w14:textId="77777777" w:rsidR="00CC25B5" w:rsidRDefault="00CC25B5">
            <w:pPr>
              <w:rPr>
                <w:rFonts w:ascii="宋体"/>
              </w:rPr>
            </w:pPr>
          </w:p>
        </w:tc>
        <w:tc>
          <w:tcPr>
            <w:tcW w:w="107" w:type="pct"/>
            <w:shd w:val="clear" w:color="auto" w:fill="auto"/>
            <w:vAlign w:val="bottom"/>
          </w:tcPr>
          <w:p w14:paraId="442F8396" w14:textId="77777777" w:rsidR="00CC25B5" w:rsidRDefault="00CC25B5">
            <w:pPr>
              <w:rPr>
                <w:rFonts w:ascii="宋体"/>
              </w:rPr>
            </w:pPr>
          </w:p>
        </w:tc>
        <w:tc>
          <w:tcPr>
            <w:tcW w:w="5" w:type="pct"/>
            <w:shd w:val="clear" w:color="auto" w:fill="auto"/>
            <w:vAlign w:val="bottom"/>
          </w:tcPr>
          <w:p w14:paraId="442F8397" w14:textId="77777777" w:rsidR="00CC25B5" w:rsidRDefault="00CC25B5">
            <w:pPr>
              <w:rPr>
                <w:rFonts w:ascii="宋体"/>
              </w:rPr>
            </w:pPr>
          </w:p>
        </w:tc>
        <w:tc>
          <w:tcPr>
            <w:tcW w:w="50" w:type="pct"/>
            <w:shd w:val="clear" w:color="auto" w:fill="auto"/>
            <w:vAlign w:val="bottom"/>
          </w:tcPr>
          <w:p w14:paraId="442F8398" w14:textId="77777777" w:rsidR="00CC25B5" w:rsidRDefault="00CC25B5">
            <w:pPr>
              <w:rPr>
                <w:rFonts w:ascii="宋体"/>
              </w:rPr>
            </w:pPr>
          </w:p>
        </w:tc>
        <w:tc>
          <w:tcPr>
            <w:tcW w:w="1313" w:type="pct"/>
            <w:shd w:val="clear" w:color="auto" w:fill="auto"/>
            <w:vAlign w:val="bottom"/>
          </w:tcPr>
          <w:p w14:paraId="442F8399" w14:textId="77777777" w:rsidR="00CC25B5" w:rsidRDefault="00CC25B5">
            <w:pPr>
              <w:rPr>
                <w:rFonts w:ascii="宋体"/>
              </w:rPr>
            </w:pPr>
          </w:p>
        </w:tc>
        <w:tc>
          <w:tcPr>
            <w:tcW w:w="5" w:type="pct"/>
            <w:shd w:val="clear" w:color="auto" w:fill="auto"/>
            <w:vAlign w:val="bottom"/>
          </w:tcPr>
          <w:p w14:paraId="442F839A" w14:textId="77777777" w:rsidR="00CC25B5" w:rsidRDefault="00CC25B5">
            <w:pPr>
              <w:rPr>
                <w:rFonts w:ascii="宋体"/>
              </w:rPr>
            </w:pPr>
          </w:p>
        </w:tc>
        <w:tc>
          <w:tcPr>
            <w:tcW w:w="5" w:type="pct"/>
            <w:shd w:val="clear" w:color="auto" w:fill="auto"/>
            <w:vAlign w:val="bottom"/>
          </w:tcPr>
          <w:p w14:paraId="442F839B" w14:textId="77777777" w:rsidR="00CC25B5" w:rsidRDefault="00CC25B5">
            <w:pPr>
              <w:rPr>
                <w:rFonts w:ascii="宋体"/>
              </w:rPr>
            </w:pPr>
          </w:p>
        </w:tc>
        <w:tc>
          <w:tcPr>
            <w:tcW w:w="107" w:type="pct"/>
            <w:shd w:val="clear" w:color="auto" w:fill="auto"/>
            <w:vAlign w:val="bottom"/>
          </w:tcPr>
          <w:p w14:paraId="442F839C" w14:textId="77777777" w:rsidR="00CC25B5" w:rsidRDefault="00CC25B5">
            <w:pPr>
              <w:rPr>
                <w:rFonts w:ascii="宋体"/>
              </w:rPr>
            </w:pPr>
          </w:p>
        </w:tc>
        <w:tc>
          <w:tcPr>
            <w:tcW w:w="5" w:type="pct"/>
            <w:shd w:val="clear" w:color="auto" w:fill="auto"/>
            <w:vAlign w:val="bottom"/>
          </w:tcPr>
          <w:p w14:paraId="442F839D" w14:textId="77777777" w:rsidR="00CC25B5" w:rsidRDefault="00CC25B5">
            <w:pPr>
              <w:rPr>
                <w:rFonts w:ascii="宋体"/>
              </w:rPr>
            </w:pPr>
          </w:p>
        </w:tc>
        <w:tc>
          <w:tcPr>
            <w:tcW w:w="50" w:type="pct"/>
            <w:shd w:val="clear" w:color="auto" w:fill="auto"/>
            <w:vAlign w:val="bottom"/>
          </w:tcPr>
          <w:p w14:paraId="442F839E" w14:textId="77777777" w:rsidR="00CC25B5" w:rsidRDefault="00CC25B5">
            <w:pPr>
              <w:rPr>
                <w:rFonts w:ascii="宋体"/>
              </w:rPr>
            </w:pPr>
          </w:p>
        </w:tc>
        <w:tc>
          <w:tcPr>
            <w:tcW w:w="1314" w:type="pct"/>
            <w:shd w:val="clear" w:color="auto" w:fill="auto"/>
            <w:vAlign w:val="bottom"/>
          </w:tcPr>
          <w:p w14:paraId="442F839F" w14:textId="77777777" w:rsidR="00CC25B5" w:rsidRDefault="00CC25B5">
            <w:pPr>
              <w:rPr>
                <w:rFonts w:ascii="宋体"/>
              </w:rPr>
            </w:pPr>
          </w:p>
        </w:tc>
        <w:tc>
          <w:tcPr>
            <w:tcW w:w="5" w:type="pct"/>
            <w:shd w:val="clear" w:color="auto" w:fill="auto"/>
            <w:vAlign w:val="bottom"/>
          </w:tcPr>
          <w:p w14:paraId="442F83A0" w14:textId="77777777" w:rsidR="00CC25B5" w:rsidRDefault="00CC25B5">
            <w:pPr>
              <w:rPr>
                <w:rFonts w:ascii="宋体"/>
              </w:rPr>
            </w:pPr>
          </w:p>
        </w:tc>
      </w:tr>
      <w:tr w:rsidR="00CC25B5" w14:paraId="442F83A7" w14:textId="77777777">
        <w:trPr>
          <w:jc w:val="center"/>
        </w:trPr>
        <w:tc>
          <w:tcPr>
            <w:tcW w:w="0" w:type="auto"/>
            <w:gridSpan w:val="3"/>
            <w:shd w:val="clear" w:color="auto" w:fill="auto"/>
            <w:tcMar>
              <w:top w:w="40" w:type="dxa"/>
              <w:left w:w="20" w:type="dxa"/>
              <w:bottom w:w="40" w:type="dxa"/>
              <w:right w:w="20" w:type="dxa"/>
            </w:tcMar>
            <w:vAlign w:val="bottom"/>
          </w:tcPr>
          <w:p w14:paraId="442F83A2" w14:textId="77777777" w:rsidR="00CC25B5" w:rsidRDefault="00900968">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442F83A3"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42F83A4" w14:textId="77777777" w:rsidR="00CC25B5" w:rsidRDefault="00900968">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442F83A5" w14:textId="77777777" w:rsidR="00CC25B5" w:rsidRDefault="0090096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42F83A6" w14:textId="77777777" w:rsidR="00CC25B5" w:rsidRDefault="00900968">
            <w:pPr>
              <w:jc w:val="center"/>
              <w:textAlignment w:val="bottom"/>
            </w:pPr>
            <w:r>
              <w:rPr>
                <w:rFonts w:ascii="Times New Roman" w:eastAsia="宋体" w:hAnsi="Times New Roman"/>
                <w:b/>
                <w:bCs/>
                <w:color w:val="000000"/>
                <w:sz w:val="16"/>
                <w:szCs w:val="16"/>
              </w:rPr>
              <w:t>Long-term debt</w:t>
            </w:r>
          </w:p>
        </w:tc>
      </w:tr>
      <w:tr w:rsidR="00CC25B5" w14:paraId="442F83AD"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42F83A8" w14:textId="77777777" w:rsidR="00CC25B5" w:rsidRDefault="00900968">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442F83A9" w14:textId="77777777" w:rsidR="00CC25B5" w:rsidRDefault="00900968">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42F83AA" w14:textId="77777777" w:rsidR="00CC25B5" w:rsidRDefault="00900968">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442F83AB" w14:textId="77777777" w:rsidR="00CC25B5" w:rsidRDefault="00900968">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42F83AC" w14:textId="77777777" w:rsidR="00CC25B5" w:rsidRDefault="00900968">
            <w:pPr>
              <w:jc w:val="center"/>
              <w:textAlignment w:val="center"/>
            </w:pPr>
            <w:r>
              <w:rPr>
                <w:rFonts w:ascii="Times New Roman" w:eastAsia="宋体" w:hAnsi="Times New Roman"/>
                <w:color w:val="000000"/>
                <w:sz w:val="16"/>
                <w:szCs w:val="16"/>
              </w:rPr>
              <w:t>AA</w:t>
            </w:r>
          </w:p>
        </w:tc>
      </w:tr>
      <w:tr w:rsidR="00CC25B5" w14:paraId="442F83B3" w14:textId="77777777">
        <w:trPr>
          <w:jc w:val="center"/>
        </w:trPr>
        <w:tc>
          <w:tcPr>
            <w:tcW w:w="0" w:type="auto"/>
            <w:gridSpan w:val="3"/>
            <w:shd w:val="clear" w:color="auto" w:fill="FFFFFF"/>
            <w:tcMar>
              <w:top w:w="40" w:type="dxa"/>
              <w:left w:w="20" w:type="dxa"/>
              <w:bottom w:w="40" w:type="dxa"/>
              <w:right w:w="20" w:type="dxa"/>
            </w:tcMar>
            <w:vAlign w:val="center"/>
          </w:tcPr>
          <w:p w14:paraId="442F83AE" w14:textId="77777777" w:rsidR="00CC25B5" w:rsidRDefault="00900968">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442F83AF"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42F83B0" w14:textId="77777777" w:rsidR="00CC25B5" w:rsidRDefault="00900968">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442F83B1"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42F83B2" w14:textId="77777777" w:rsidR="00CC25B5" w:rsidRDefault="00900968">
            <w:pPr>
              <w:jc w:val="center"/>
              <w:textAlignment w:val="center"/>
            </w:pPr>
            <w:r>
              <w:rPr>
                <w:rFonts w:ascii="Times New Roman" w:eastAsia="宋体" w:hAnsi="Times New Roman"/>
                <w:color w:val="000000"/>
                <w:sz w:val="16"/>
                <w:szCs w:val="16"/>
              </w:rPr>
              <w:t>Aa2</w:t>
            </w:r>
          </w:p>
        </w:tc>
      </w:tr>
      <w:tr w:rsidR="00CC25B5" w14:paraId="442F83B9" w14:textId="77777777">
        <w:trPr>
          <w:jc w:val="center"/>
        </w:trPr>
        <w:tc>
          <w:tcPr>
            <w:tcW w:w="0" w:type="auto"/>
            <w:gridSpan w:val="3"/>
            <w:shd w:val="clear" w:color="auto" w:fill="CCEEFF"/>
            <w:tcMar>
              <w:top w:w="40" w:type="dxa"/>
              <w:left w:w="20" w:type="dxa"/>
              <w:bottom w:w="40" w:type="dxa"/>
              <w:right w:w="20" w:type="dxa"/>
            </w:tcMar>
            <w:vAlign w:val="center"/>
          </w:tcPr>
          <w:p w14:paraId="442F83B4" w14:textId="77777777" w:rsidR="00CC25B5" w:rsidRDefault="00900968">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442F83B5"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42F83B6" w14:textId="77777777" w:rsidR="00CC25B5" w:rsidRDefault="00900968">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442F83B7" w14:textId="77777777" w:rsidR="00CC25B5" w:rsidRDefault="00900968">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42F83B8" w14:textId="77777777" w:rsidR="00CC25B5" w:rsidRDefault="00900968">
            <w:pPr>
              <w:jc w:val="center"/>
              <w:textAlignment w:val="center"/>
            </w:pPr>
            <w:r>
              <w:rPr>
                <w:rFonts w:ascii="Times New Roman" w:eastAsia="宋体" w:hAnsi="Times New Roman"/>
                <w:color w:val="000000"/>
                <w:sz w:val="16"/>
                <w:szCs w:val="16"/>
              </w:rPr>
              <w:t>AA</w:t>
            </w:r>
          </w:p>
        </w:tc>
      </w:tr>
    </w:tbl>
    <w:p w14:paraId="442F83BA" w14:textId="77777777" w:rsidR="00CC25B5" w:rsidRDefault="00900968">
      <w:pPr>
        <w:spacing w:before="60"/>
      </w:pPr>
      <w:r>
        <w:rPr>
          <w:rFonts w:ascii="Times New Roman" w:eastAsia="宋体" w:hAnsi="Times New Roman"/>
          <w:color w:val="000000"/>
          <w:sz w:val="20"/>
          <w:szCs w:val="20"/>
        </w:rPr>
        <w:t xml:space="preserve">Credit rating agencies review their ratings periodically and, therefore, the credit ratings assigned to us by each agency may be </w:t>
      </w:r>
      <w:r>
        <w:rPr>
          <w:rFonts w:ascii="Times New Roman" w:eastAsia="宋体" w:hAnsi="Times New Roman"/>
          <w:color w:val="000000"/>
          <w:sz w:val="20"/>
          <w:szCs w:val="20"/>
        </w:rPr>
        <w:t>subject to revision at any time. Accordingly, we are not able to predict whether our current credit ratings will remain consistent over time. Factors that could affect our credit ratings include changes in our operating performance, the general economic en</w:t>
      </w:r>
      <w:r>
        <w:rPr>
          <w:rFonts w:ascii="Times New Roman" w:eastAsia="宋体" w:hAnsi="Times New Roman"/>
          <w:color w:val="000000"/>
          <w:sz w:val="20"/>
          <w:szCs w:val="20"/>
        </w:rPr>
        <w:t>vironment, conditions in the retail industry, our financial position, including our total debt and capitalization, and changes in our business strategy. Any downgrade of our credit ratings by a credit rating agency could increase our future borrowing costs</w:t>
      </w:r>
      <w:r>
        <w:rPr>
          <w:rFonts w:ascii="Times New Roman" w:eastAsia="宋体" w:hAnsi="Times New Roman"/>
          <w:color w:val="000000"/>
          <w:sz w:val="20"/>
          <w:szCs w:val="20"/>
        </w:rPr>
        <w:t xml:space="preserve"> or impair our ability to access capital and credit markets on terms commercially acceptable to us. In addition, any downgrade of our current short-term credit ratings could impair our ability to access the commercial paper markets with the same flexibilit</w:t>
      </w:r>
      <w:r>
        <w:rPr>
          <w:rFonts w:ascii="Times New Roman" w:eastAsia="宋体" w:hAnsi="Times New Roman"/>
          <w:color w:val="000000"/>
          <w:sz w:val="20"/>
          <w:szCs w:val="20"/>
        </w:rPr>
        <w:t>y that we have experienced historically, potentially requiring us to rely more heavily on more expensive types of debt financing. The credit rating agency ratings are not recommendations to buy, sell or hold our commercial paper or debt securities. Each ra</w:t>
      </w:r>
      <w:r>
        <w:rPr>
          <w:rFonts w:ascii="Times New Roman" w:eastAsia="宋体" w:hAnsi="Times New Roman"/>
          <w:color w:val="000000"/>
          <w:sz w:val="20"/>
          <w:szCs w:val="20"/>
        </w:rPr>
        <w:t>ting may be subject to revision or withdrawal at any time by the assigning rating organization and should be evaluated independently of any other rating. Moreover, each credit rating is specific to the security to which it applies.</w:t>
      </w:r>
    </w:p>
    <w:p w14:paraId="442F83BB" w14:textId="77777777" w:rsidR="00CC25B5" w:rsidRDefault="00900968">
      <w:pPr>
        <w:spacing w:before="180"/>
      </w:pPr>
      <w:r>
        <w:rPr>
          <w:rFonts w:ascii="Times New Roman" w:eastAsia="宋体" w:hAnsi="Times New Roman"/>
          <w:b/>
          <w:bCs/>
          <w:color w:val="000000"/>
          <w:sz w:val="20"/>
          <w:szCs w:val="20"/>
        </w:rPr>
        <w:t>Other Matters</w:t>
      </w:r>
    </w:p>
    <w:p w14:paraId="442F83BC" w14:textId="77777777" w:rsidR="00CC25B5" w:rsidRDefault="00900968">
      <w:pPr>
        <w:spacing w:before="100"/>
      </w:pPr>
      <w:r>
        <w:rPr>
          <w:rFonts w:ascii="Times New Roman" w:eastAsia="宋体" w:hAnsi="Times New Roman"/>
          <w:color w:val="000000"/>
          <w:sz w:val="20"/>
          <w:szCs w:val="20"/>
        </w:rPr>
        <w:t xml:space="preserve">In </w:t>
      </w:r>
      <w:hyperlink r:id="rId72" w:anchor="ie1710166881948a18c44f48eaa2dcf00_58" w:history="1">
        <w:r>
          <w:rPr>
            <w:rStyle w:val="a5"/>
            <w:rFonts w:ascii="Times New Roman" w:eastAsia="宋体" w:hAnsi="Times New Roman"/>
            <w:sz w:val="20"/>
            <w:szCs w:val="20"/>
          </w:rPr>
          <w:t>N</w:t>
        </w:r>
      </w:hyperlink>
      <w:hyperlink r:id="rId73" w:anchor="ie1710166881948a18c44f48eaa2dcf00_58" w:history="1">
        <w:r>
          <w:rPr>
            <w:rStyle w:val="a5"/>
            <w:rFonts w:ascii="Times New Roman" w:eastAsia="宋体" w:hAnsi="Times New Roman"/>
            <w:sz w:val="20"/>
            <w:szCs w:val="20"/>
          </w:rPr>
          <w:t>ote 7</w:t>
        </w:r>
      </w:hyperlink>
      <w:r>
        <w:rPr>
          <w:rFonts w:ascii="Times New Roman" w:eastAsia="宋体" w:hAnsi="Times New Roman"/>
          <w:color w:val="000000"/>
          <w:sz w:val="20"/>
          <w:szCs w:val="20"/>
        </w:rPr>
        <w:t xml:space="preserve"> to our Condensed Consolidated Financial Statements, which is captioned "Contingencies" and appear</w:t>
      </w:r>
      <w:r>
        <w:rPr>
          <w:rFonts w:ascii="Times New Roman" w:eastAsia="宋体" w:hAnsi="Times New Roman"/>
          <w:color w:val="000000"/>
          <w:sz w:val="20"/>
          <w:szCs w:val="20"/>
        </w:rPr>
        <w:t>s in Part I of this Quarterly Report on Form 10-Q under the caption "</w:t>
      </w:r>
      <w:hyperlink r:id="rId74" w:anchor="ie1710166881948a18c44f48eaa2dcf00_13" w:history="1">
        <w:r>
          <w:rPr>
            <w:rStyle w:val="a5"/>
            <w:rFonts w:ascii="Times New Roman" w:eastAsia="宋体" w:hAnsi="Times New Roman"/>
            <w:sz w:val="20"/>
            <w:szCs w:val="20"/>
          </w:rPr>
          <w:t>Item 1. Financial Statements</w:t>
        </w:r>
      </w:hyperlink>
      <w:r>
        <w:rPr>
          <w:rFonts w:ascii="Times New Roman" w:eastAsia="宋体" w:hAnsi="Times New Roman"/>
          <w:color w:val="000000"/>
          <w:sz w:val="20"/>
          <w:szCs w:val="20"/>
        </w:rPr>
        <w:t xml:space="preserve">," we </w:t>
      </w:r>
      <w:r>
        <w:rPr>
          <w:rFonts w:ascii="Times New Roman" w:eastAsia="宋体" w:hAnsi="Times New Roman"/>
          <w:color w:val="000000"/>
          <w:sz w:val="20"/>
          <w:szCs w:val="20"/>
        </w:rPr>
        <w:t>discuss, under the sub-caption "</w:t>
      </w:r>
      <w:r>
        <w:rPr>
          <w:rFonts w:ascii="Times New Roman" w:eastAsia="宋体" w:hAnsi="Times New Roman"/>
          <w:i/>
          <w:iCs/>
          <w:color w:val="000000"/>
          <w:sz w:val="20"/>
          <w:szCs w:val="20"/>
        </w:rPr>
        <w:t xml:space="preserve">Opioids Litigation </w:t>
      </w:r>
      <w:r>
        <w:rPr>
          <w:rFonts w:ascii="Times New Roman" w:eastAsia="宋体" w:hAnsi="Times New Roman"/>
          <w:color w:val="000000"/>
          <w:sz w:val="20"/>
          <w:szCs w:val="20"/>
        </w:rPr>
        <w:t xml:space="preserve">," the Prescription Opiate Litigation and other matters, including certain risks arising therefrom. In that </w:t>
      </w:r>
      <w:hyperlink r:id="rId75" w:anchor="ie1710166881948a18c44f48eaa2dcf0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we also discuss, under the sub-caption "</w:t>
      </w:r>
      <w:r>
        <w:rPr>
          <w:rFonts w:ascii="Times New Roman" w:eastAsia="宋体" w:hAnsi="Times New Roman"/>
          <w:i/>
          <w:iCs/>
          <w:color w:val="000000"/>
          <w:sz w:val="20"/>
          <w:szCs w:val="20"/>
        </w:rPr>
        <w:t xml:space="preserve">Asda Equal Value Claims," </w:t>
      </w:r>
      <w:r>
        <w:rPr>
          <w:rFonts w:ascii="Times New Roman" w:eastAsia="宋体" w:hAnsi="Times New Roman"/>
          <w:color w:val="000000"/>
          <w:sz w:val="20"/>
          <w:szCs w:val="20"/>
        </w:rPr>
        <w:t xml:space="preserve">the Company's indemnification obligation for the Asda Equal Value Claims matter. We discuss various legal proceedings related </w:t>
      </w:r>
      <w:r>
        <w:rPr>
          <w:rFonts w:ascii="Times New Roman" w:eastAsia="宋体" w:hAnsi="Times New Roman"/>
          <w:color w:val="000000"/>
          <w:sz w:val="20"/>
          <w:szCs w:val="20"/>
        </w:rPr>
        <w:t xml:space="preserve">to the Federal and State Prescription Opiate Litigation, DOJ Opioid Civil Litigation and Opioids Related Securities Class Actions and Derivative Litigation in </w:t>
      </w:r>
      <w:hyperlink r:id="rId76" w:anchor="ie1710166881948a18c44f48eaa2dcf00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77" w:anchor="ie1710166881948a18c44f48eaa2dcf00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 Supplemental Information." We also discuss items related to the Asda Equal Value Claims matter, the Money Transfer Agent Services Proceedings matter and the Foreign Direct Investment</w:t>
      </w:r>
      <w:r>
        <w:rPr>
          <w:rFonts w:ascii="Times New Roman" w:eastAsia="宋体" w:hAnsi="Times New Roman"/>
          <w:color w:val="000000"/>
          <w:sz w:val="20"/>
          <w:szCs w:val="20"/>
        </w:rPr>
        <w:t xml:space="preserve"> matters in </w:t>
      </w:r>
      <w:hyperlink r:id="rId78" w:anchor="ie1710166881948a18c44f48eaa2dcf00_112" w:history="1">
        <w:r>
          <w:rPr>
            <w:rStyle w:val="a5"/>
            <w:rFonts w:ascii="Times New Roman" w:eastAsia="宋体" w:hAnsi="Times New Roman"/>
            <w:sz w:val="20"/>
            <w:szCs w:val="20"/>
          </w:rPr>
          <w:t>Part II</w:t>
        </w:r>
      </w:hyperlink>
      <w:r>
        <w:rPr>
          <w:rFonts w:ascii="Times New Roman" w:eastAsia="宋体" w:hAnsi="Times New Roman"/>
          <w:color w:val="000000"/>
          <w:sz w:val="20"/>
          <w:szCs w:val="20"/>
        </w:rPr>
        <w:t xml:space="preserve"> of this Quarterly Report on Form 10-Q under the caption "</w:t>
      </w:r>
      <w:hyperlink r:id="rId79" w:anchor="ie1710166881948a18c44f48eaa2dcf00_115" w:history="1">
        <w:r>
          <w:rPr>
            <w:rStyle w:val="a5"/>
            <w:rFonts w:ascii="Times New Roman" w:eastAsia="宋体" w:hAnsi="Times New Roman"/>
            <w:sz w:val="20"/>
            <w:szCs w:val="20"/>
          </w:rPr>
          <w:t>Item 1. Legal Proceedings</w:t>
        </w:r>
      </w:hyperlink>
      <w:r>
        <w:rPr>
          <w:rFonts w:ascii="Times New Roman" w:eastAsia="宋体" w:hAnsi="Times New Roman"/>
          <w:color w:val="000000"/>
          <w:sz w:val="20"/>
          <w:szCs w:val="20"/>
        </w:rPr>
        <w:t>," under the sub-caption "II. Certain Other Matters." The foregoing matters and other matters describe</w:t>
      </w:r>
      <w:r>
        <w:rPr>
          <w:rFonts w:ascii="Times New Roman" w:eastAsia="宋体" w:hAnsi="Times New Roman"/>
          <w:color w:val="000000"/>
          <w:sz w:val="20"/>
          <w:szCs w:val="20"/>
        </w:rPr>
        <w:t>d elsewhere in this Quarterly Report on Form 10-Q represent contingent liabilities of the Company that may or may not result in the incurrence of a material liability by the Company upon their final resolution.</w:t>
      </w:r>
    </w:p>
    <w:p w14:paraId="442F83BD" w14:textId="77777777" w:rsidR="00CC25B5" w:rsidRDefault="00900968">
      <w:pPr>
        <w:spacing w:before="180"/>
      </w:pPr>
      <w:r>
        <w:rPr>
          <w:rFonts w:ascii="Times New Roman" w:eastAsia="宋体" w:hAnsi="Times New Roman"/>
          <w:b/>
          <w:bCs/>
          <w:color w:val="000000"/>
          <w:sz w:val="20"/>
          <w:szCs w:val="20"/>
        </w:rPr>
        <w:t>Item 3. Quantitative and Qualitative Disclosu</w:t>
      </w:r>
      <w:r>
        <w:rPr>
          <w:rFonts w:ascii="Times New Roman" w:eastAsia="宋体" w:hAnsi="Times New Roman"/>
          <w:b/>
          <w:bCs/>
          <w:color w:val="000000"/>
          <w:sz w:val="20"/>
          <w:szCs w:val="20"/>
        </w:rPr>
        <w:t>res About Market Risk</w:t>
      </w:r>
    </w:p>
    <w:p w14:paraId="442F83BE" w14:textId="77777777" w:rsidR="00CC25B5" w:rsidRDefault="00900968">
      <w:pPr>
        <w:spacing w:before="100"/>
      </w:pPr>
      <w:r>
        <w:rPr>
          <w:rFonts w:ascii="Times New Roman" w:eastAsia="宋体" w:hAnsi="Times New Roman"/>
          <w:color w:val="000000"/>
          <w:sz w:val="20"/>
          <w:szCs w:val="20"/>
        </w:rPr>
        <w:t>Market risks relating to our operations result primarily from changes in interest rates, currency exchange rates and the fair value of certain equity investments. Our market risks at July 31, 2021 are similar to those disclosed in our</w:t>
      </w:r>
      <w:r>
        <w:rPr>
          <w:rFonts w:ascii="Times New Roman" w:eastAsia="宋体" w:hAnsi="Times New Roman"/>
          <w:color w:val="000000"/>
          <w:sz w:val="20"/>
          <w:szCs w:val="20"/>
        </w:rPr>
        <w:t xml:space="preserve"> Annual Report on Form 10-K for the fiscal year ended January 31, 2021. The information concerning market risk set forth in Part II, Item 7A. of our Annual Report on Form 10-K for the fiscal year ended January 31, 2021, as filed with the SEC on March 19, 2</w:t>
      </w:r>
      <w:r>
        <w:rPr>
          <w:rFonts w:ascii="Times New Roman" w:eastAsia="宋体" w:hAnsi="Times New Roman"/>
          <w:color w:val="000000"/>
          <w:sz w:val="20"/>
          <w:szCs w:val="20"/>
        </w:rPr>
        <w:t>021, under the caption "</w:t>
      </w:r>
      <w:hyperlink r:id="rId80" w:anchor="iaaf0cabf1f7048c9b7e317b3e9c1cfc5_112" w:history="1">
        <w:r>
          <w:rPr>
            <w:rStyle w:val="a5"/>
            <w:rFonts w:ascii="Times New Roman" w:eastAsia="宋体" w:hAnsi="Times New Roman"/>
            <w:sz w:val="20"/>
            <w:szCs w:val="20"/>
          </w:rPr>
          <w:t>Quantitative and Qualitative Disclosures About Market Risk</w:t>
        </w:r>
      </w:hyperlink>
      <w:r>
        <w:rPr>
          <w:rFonts w:ascii="Times New Roman" w:eastAsia="宋体" w:hAnsi="Times New Roman"/>
          <w:color w:val="000000"/>
          <w:sz w:val="20"/>
          <w:szCs w:val="20"/>
        </w:rPr>
        <w:t>," is hereby incorporate</w:t>
      </w:r>
      <w:r>
        <w:rPr>
          <w:rFonts w:ascii="Times New Roman" w:eastAsia="宋体" w:hAnsi="Times New Roman"/>
          <w:color w:val="000000"/>
          <w:sz w:val="20"/>
          <w:szCs w:val="20"/>
        </w:rPr>
        <w:t>d by reference into this Quarterly Report on Form 10-Q.</w:t>
      </w:r>
    </w:p>
    <w:p w14:paraId="442F83BF" w14:textId="77777777" w:rsidR="00CC25B5" w:rsidRDefault="00900968">
      <w:pPr>
        <w:jc w:val="center"/>
      </w:pPr>
      <w:r>
        <w:rPr>
          <w:rFonts w:ascii="Times New Roman" w:eastAsia="宋体" w:hAnsi="Times New Roman"/>
          <w:color w:val="000000"/>
          <w:sz w:val="20"/>
          <w:szCs w:val="20"/>
        </w:rPr>
        <w:t>25</w:t>
      </w:r>
    </w:p>
    <w:p w14:paraId="442F83C0" w14:textId="77777777" w:rsidR="00CC25B5" w:rsidRDefault="00900968">
      <w:r>
        <w:pict w14:anchorId="442F85E2">
          <v:rect id="_x0000_i1049" style="width:415.3pt;height:1.5pt" o:hralign="center" o:hrstd="t" o:hr="t" fillcolor="#a0a0a0" stroked="f"/>
        </w:pict>
      </w:r>
    </w:p>
    <w:p w14:paraId="442F83C1" w14:textId="77777777" w:rsidR="00CC25B5" w:rsidRDefault="00900968">
      <w:hyperlink r:id="rId81" w:anchor="ie1710166881948a18c44f48eaa2dcf00_7" w:history="1">
        <w:r>
          <w:rPr>
            <w:rStyle w:val="a5"/>
            <w:rFonts w:ascii="Times New Roman" w:eastAsia="宋体" w:hAnsi="Times New Roman"/>
            <w:sz w:val="20"/>
            <w:szCs w:val="20"/>
          </w:rPr>
          <w:t>Table of Contents</w:t>
        </w:r>
      </w:hyperlink>
    </w:p>
    <w:p w14:paraId="442F83C2" w14:textId="77777777" w:rsidR="00CC25B5" w:rsidRDefault="00900968">
      <w:pPr>
        <w:spacing w:before="180"/>
      </w:pPr>
      <w:r>
        <w:rPr>
          <w:rFonts w:ascii="Times New Roman" w:eastAsia="宋体" w:hAnsi="Times New Roman"/>
          <w:b/>
          <w:bCs/>
          <w:color w:val="000000"/>
          <w:sz w:val="20"/>
          <w:szCs w:val="20"/>
        </w:rPr>
        <w:t>Item 4. Controls and Procedures</w:t>
      </w:r>
    </w:p>
    <w:p w14:paraId="442F83C3" w14:textId="77777777" w:rsidR="00CC25B5" w:rsidRDefault="00900968">
      <w:pPr>
        <w:spacing w:before="100"/>
      </w:pPr>
      <w:r>
        <w:rPr>
          <w:rFonts w:ascii="Times New Roman" w:eastAsia="宋体" w:hAnsi="Times New Roman"/>
          <w:color w:val="000000"/>
          <w:sz w:val="20"/>
          <w:szCs w:val="20"/>
        </w:rPr>
        <w:t>We maintain disclosure controls and procedures that ar</w:t>
      </w:r>
      <w:r>
        <w:rPr>
          <w:rFonts w:ascii="Times New Roman" w:eastAsia="宋体" w:hAnsi="Times New Roman"/>
          <w:color w:val="000000"/>
          <w:sz w:val="20"/>
          <w:szCs w:val="20"/>
        </w:rPr>
        <w:t>e designed to provide reasonable assurance that information, which is required to be timely disclosed, is accumulated and communicated to management in a timely fashion. In designing and evaluating such controls and procedures, we recognize that any contro</w:t>
      </w:r>
      <w:r>
        <w:rPr>
          <w:rFonts w:ascii="Times New Roman" w:eastAsia="宋体" w:hAnsi="Times New Roman"/>
          <w:color w:val="000000"/>
          <w:sz w:val="20"/>
          <w:szCs w:val="20"/>
        </w:rPr>
        <w:t>ls and procedures, no matter how well designed and operated, can provide only reasonable assurance of achieving the desired control objectives. Our management is necessarily required to use judgment in evaluating controls and procedures. Also, we have inve</w:t>
      </w:r>
      <w:r>
        <w:rPr>
          <w:rFonts w:ascii="Times New Roman" w:eastAsia="宋体" w:hAnsi="Times New Roman"/>
          <w:color w:val="000000"/>
          <w:sz w:val="20"/>
          <w:szCs w:val="20"/>
        </w:rPr>
        <w:t>stments in unconsolidated entities. Since we do not control or manage those entities, our controls and procedures with respect to those entities are substantially more limited than those we maintain with respect to our consolidated subsidiaries.</w:t>
      </w:r>
    </w:p>
    <w:p w14:paraId="442F83C4" w14:textId="77777777" w:rsidR="00CC25B5" w:rsidRDefault="00900968">
      <w:pPr>
        <w:spacing w:before="100"/>
      </w:pPr>
      <w:r>
        <w:rPr>
          <w:rFonts w:ascii="Times New Roman" w:eastAsia="宋体" w:hAnsi="Times New Roman"/>
          <w:color w:val="000000"/>
          <w:sz w:val="20"/>
          <w:szCs w:val="20"/>
        </w:rPr>
        <w:t>In the ord</w:t>
      </w:r>
      <w:r>
        <w:rPr>
          <w:rFonts w:ascii="Times New Roman" w:eastAsia="宋体" w:hAnsi="Times New Roman"/>
          <w:color w:val="000000"/>
          <w:sz w:val="20"/>
          <w:szCs w:val="20"/>
        </w:rPr>
        <w:t>inary course of business, we review our internal control over financial reporting and make changes to our systems and processes to improve such controls and increase efficiency, while ensuring that we maintain an effective internal control environment. Cha</w:t>
      </w:r>
      <w:r>
        <w:rPr>
          <w:rFonts w:ascii="Times New Roman" w:eastAsia="宋体" w:hAnsi="Times New Roman"/>
          <w:color w:val="000000"/>
          <w:sz w:val="20"/>
          <w:szCs w:val="20"/>
        </w:rPr>
        <w:t>nges may include such activities as implementing new, more efficient systems, updating existing systems, automating manual processes, standardizing controls globally, migrating certain processes to our shared services organizations and increasing monitorin</w:t>
      </w:r>
      <w:r>
        <w:rPr>
          <w:rFonts w:ascii="Times New Roman" w:eastAsia="宋体" w:hAnsi="Times New Roman"/>
          <w:color w:val="000000"/>
          <w:sz w:val="20"/>
          <w:szCs w:val="20"/>
        </w:rPr>
        <w:t xml:space="preserve">g controls. These changes have not materially affected, and are not reasonably likely to materially affect, the Company's internal control over financial reporting and they allow us to continue to enhance our internal controls over financial reporting and </w:t>
      </w:r>
      <w:r>
        <w:rPr>
          <w:rFonts w:ascii="Times New Roman" w:eastAsia="宋体" w:hAnsi="Times New Roman"/>
          <w:color w:val="000000"/>
          <w:sz w:val="20"/>
          <w:szCs w:val="20"/>
        </w:rPr>
        <w:t xml:space="preserve">ensure that they remain effective. </w:t>
      </w:r>
    </w:p>
    <w:p w14:paraId="442F83C5" w14:textId="77777777" w:rsidR="00CC25B5" w:rsidRDefault="00900968">
      <w:pPr>
        <w:spacing w:before="100"/>
      </w:pPr>
      <w:r>
        <w:rPr>
          <w:rFonts w:ascii="Times New Roman" w:eastAsia="宋体" w:hAnsi="Times New Roman"/>
          <w:color w:val="000000"/>
          <w:sz w:val="20"/>
          <w:szCs w:val="20"/>
        </w:rPr>
        <w:t>An evaluation of the effectiveness of the design and operation of our disclosure controls and procedures as of the end of the period covered by this report was performed under the supervision and with the participation o</w:t>
      </w:r>
      <w:r>
        <w:rPr>
          <w:rFonts w:ascii="Times New Roman" w:eastAsia="宋体" w:hAnsi="Times New Roman"/>
          <w:color w:val="000000"/>
          <w:sz w:val="20"/>
          <w:szCs w:val="20"/>
        </w:rPr>
        <w:t>f management, including our Chief Executive Officer and Chief Financial Officer. Based upon that evaluation, our Chief Executive Officer and Chief Financial Officer concluded that our disclosure controls and procedures are effective to provide reasonable a</w:t>
      </w:r>
      <w:r>
        <w:rPr>
          <w:rFonts w:ascii="Times New Roman" w:eastAsia="宋体" w:hAnsi="Times New Roman"/>
          <w:color w:val="000000"/>
          <w:sz w:val="20"/>
          <w:szCs w:val="20"/>
        </w:rPr>
        <w:t xml:space="preserve">ssurance that information required to be disclosed by the Company in the reports that it files or submits under the Securities Exchange Act of 1934, as amended, is accumulated and communicated to management, including our Chief Executive Officer and Chief </w:t>
      </w:r>
      <w:r>
        <w:rPr>
          <w:rFonts w:ascii="Times New Roman" w:eastAsia="宋体" w:hAnsi="Times New Roman"/>
          <w:color w:val="000000"/>
          <w:sz w:val="20"/>
          <w:szCs w:val="20"/>
        </w:rPr>
        <w:t>Financial Officer, as appropriate, to allow timely decisions regarding required disclosure and are effective to provide reasonable assurance that such information is recorded, processed, summarized and reported within the time periods specified by the SEC'</w:t>
      </w:r>
      <w:r>
        <w:rPr>
          <w:rFonts w:ascii="Times New Roman" w:eastAsia="宋体" w:hAnsi="Times New Roman"/>
          <w:color w:val="000000"/>
          <w:sz w:val="20"/>
          <w:szCs w:val="20"/>
        </w:rPr>
        <w:t xml:space="preserve">s rules and forms. </w:t>
      </w:r>
    </w:p>
    <w:p w14:paraId="442F83C6" w14:textId="77777777" w:rsidR="00CC25B5" w:rsidRDefault="00900968">
      <w:pPr>
        <w:spacing w:before="100"/>
      </w:pPr>
      <w:r>
        <w:rPr>
          <w:rFonts w:ascii="Times New Roman" w:eastAsia="宋体" w:hAnsi="Times New Roman"/>
          <w:color w:val="000000"/>
          <w:sz w:val="20"/>
          <w:szCs w:val="20"/>
        </w:rPr>
        <w:t>There has been no change in the Company's internal control over financial reporting during the most recently completed fiscal quarter, that has materially affected, or is reasonably likely to materially affect, the Company's internal co</w:t>
      </w:r>
      <w:r>
        <w:rPr>
          <w:rFonts w:ascii="Times New Roman" w:eastAsia="宋体" w:hAnsi="Times New Roman"/>
          <w:color w:val="000000"/>
          <w:sz w:val="20"/>
          <w:szCs w:val="20"/>
        </w:rPr>
        <w:t>ntrol over financial reporting.</w:t>
      </w:r>
    </w:p>
    <w:p w14:paraId="442F83C7" w14:textId="77777777" w:rsidR="00CC25B5" w:rsidRDefault="00900968">
      <w:pPr>
        <w:jc w:val="center"/>
      </w:pPr>
      <w:r>
        <w:rPr>
          <w:rFonts w:ascii="Times New Roman" w:eastAsia="宋体" w:hAnsi="Times New Roman"/>
          <w:color w:val="000000"/>
          <w:sz w:val="20"/>
          <w:szCs w:val="20"/>
        </w:rPr>
        <w:t>26</w:t>
      </w:r>
    </w:p>
    <w:p w14:paraId="442F83C8" w14:textId="77777777" w:rsidR="00CC25B5" w:rsidRDefault="00900968">
      <w:r>
        <w:pict w14:anchorId="442F85E3">
          <v:rect id="_x0000_i1050" style="width:415.3pt;height:1.5pt" o:hralign="center" o:hrstd="t" o:hr="t" fillcolor="#a0a0a0" stroked="f"/>
        </w:pict>
      </w:r>
    </w:p>
    <w:p w14:paraId="442F83C9" w14:textId="77777777" w:rsidR="00CC25B5" w:rsidRDefault="00900968">
      <w:hyperlink r:id="rId82" w:anchor="ie1710166881948a18c44f48eaa2dcf00_7" w:history="1">
        <w:r>
          <w:rPr>
            <w:rStyle w:val="a5"/>
            <w:rFonts w:ascii="Times New Roman" w:eastAsia="宋体" w:hAnsi="Times New Roman"/>
            <w:sz w:val="20"/>
            <w:szCs w:val="20"/>
          </w:rPr>
          <w:t>Table of Contents</w:t>
        </w:r>
      </w:hyperlink>
    </w:p>
    <w:p w14:paraId="442F83CA" w14:textId="77777777" w:rsidR="00CC25B5" w:rsidRDefault="00900968">
      <w:pPr>
        <w:spacing w:before="180"/>
      </w:pPr>
      <w:r>
        <w:rPr>
          <w:rFonts w:ascii="Times New Roman" w:eastAsia="宋体" w:hAnsi="Times New Roman"/>
          <w:b/>
          <w:bCs/>
          <w:color w:val="000000"/>
          <w:sz w:val="20"/>
          <w:szCs w:val="20"/>
        </w:rPr>
        <w:t>PART II. OTHER INFORMATION</w:t>
      </w:r>
    </w:p>
    <w:p w14:paraId="442F83CB" w14:textId="77777777" w:rsidR="00CC25B5" w:rsidRDefault="00900968">
      <w:pPr>
        <w:spacing w:before="180"/>
      </w:pPr>
      <w:r>
        <w:rPr>
          <w:rFonts w:ascii="Times New Roman" w:eastAsia="宋体" w:hAnsi="Times New Roman"/>
          <w:b/>
          <w:bCs/>
          <w:color w:val="000000"/>
          <w:sz w:val="20"/>
          <w:szCs w:val="20"/>
        </w:rPr>
        <w:t xml:space="preserve">Item 1. Legal </w:t>
      </w:r>
      <w:r>
        <w:rPr>
          <w:rFonts w:ascii="Times New Roman" w:eastAsia="宋体" w:hAnsi="Times New Roman"/>
          <w:b/>
          <w:bCs/>
          <w:color w:val="000000"/>
          <w:sz w:val="20"/>
          <w:szCs w:val="20"/>
        </w:rPr>
        <w:t>Proceedings</w:t>
      </w:r>
    </w:p>
    <w:p w14:paraId="442F83CC" w14:textId="77777777" w:rsidR="00CC25B5" w:rsidRDefault="00900968">
      <w:pPr>
        <w:spacing w:before="10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Part I of this Quarterly Report on Form 10-Q under the caption "Item 1. Financial Statements," in </w:t>
      </w:r>
      <w:hyperlink r:id="rId83" w:anchor="ie1710166881948a18c44f48eaa2dcf0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our Condensed Consolidated Financial Statements, which is captioned "Contingencies," under the sub-caption "Legal Proceedings." We refer you to that discussion for import</w:t>
      </w:r>
      <w:r>
        <w:rPr>
          <w:rFonts w:ascii="Times New Roman" w:eastAsia="宋体" w:hAnsi="Times New Roman"/>
          <w:color w:val="000000"/>
          <w:sz w:val="20"/>
          <w:szCs w:val="20"/>
        </w:rPr>
        <w:t>ant information concerning those legal proceedings, including the basis for such actions and, where known, the relief sought. We provide the following additional information concerning those legal proceedings, including the name of the lawsuit, the court i</w:t>
      </w:r>
      <w:r>
        <w:rPr>
          <w:rFonts w:ascii="Times New Roman" w:eastAsia="宋体" w:hAnsi="Times New Roman"/>
          <w:color w:val="000000"/>
          <w:sz w:val="20"/>
          <w:szCs w:val="20"/>
        </w:rPr>
        <w:t>n which the lawsuit is pending, and the date on which the petition commencing the lawsuit was filed.</w:t>
      </w:r>
    </w:p>
    <w:p w14:paraId="442F83CD" w14:textId="77777777" w:rsidR="00CC25B5" w:rsidRDefault="00900968">
      <w:pPr>
        <w:spacing w:before="100"/>
      </w:pPr>
      <w:r>
        <w:rPr>
          <w:rFonts w:ascii="Times New Roman" w:eastAsia="宋体" w:hAnsi="Times New Roman"/>
          <w:b/>
          <w:bCs/>
          <w:color w:val="000000"/>
          <w:sz w:val="20"/>
          <w:szCs w:val="20"/>
        </w:rPr>
        <w:t xml:space="preserve">Prescription Opiate Litigation: </w:t>
      </w:r>
      <w:r>
        <w:rPr>
          <w:rFonts w:ascii="Times New Roman" w:eastAsia="宋体" w:hAnsi="Times New Roman"/>
          <w:i/>
          <w:iCs/>
          <w:color w:val="000000"/>
          <w:sz w:val="20"/>
          <w:szCs w:val="20"/>
        </w:rPr>
        <w:t>In re National Prescription Opiate Litigation (MDL No. 2804)</w:t>
      </w:r>
      <w:r>
        <w:rPr>
          <w:rFonts w:ascii="Times New Roman" w:eastAsia="宋体" w:hAnsi="Times New Roman"/>
          <w:color w:val="000000"/>
          <w:sz w:val="20"/>
          <w:szCs w:val="20"/>
        </w:rPr>
        <w:t xml:space="preserve"> (the "MDL"). The MDL is pending in the U.S. District Court for</w:t>
      </w:r>
      <w:r>
        <w:rPr>
          <w:rFonts w:ascii="Times New Roman" w:eastAsia="宋体" w:hAnsi="Times New Roman"/>
          <w:color w:val="000000"/>
          <w:sz w:val="20"/>
          <w:szCs w:val="20"/>
        </w:rPr>
        <w:t xml:space="preserve"> the Northern District of Ohio and includes over 2,100 cases as of August 23, 2021, some of which cases are in the process of being transferred to the MDL or have remand motions pending. A trial is currently scheduled to begin in one of the MDL cases in Oc</w:t>
      </w:r>
      <w:r>
        <w:rPr>
          <w:rFonts w:ascii="Times New Roman" w:eastAsia="宋体" w:hAnsi="Times New Roman"/>
          <w:color w:val="000000"/>
          <w:sz w:val="20"/>
          <w:szCs w:val="20"/>
        </w:rPr>
        <w:t>tober 2021 against a number of parties, including the Company, regarding opioid dispensing and distribution claims. There is one case in which the Company is named as a defendant that was remanded from the MDL court to the U.S. District Court for the Easte</w:t>
      </w:r>
      <w:r>
        <w:rPr>
          <w:rFonts w:ascii="Times New Roman" w:eastAsia="宋体" w:hAnsi="Times New Roman"/>
          <w:color w:val="000000"/>
          <w:sz w:val="20"/>
          <w:szCs w:val="20"/>
        </w:rPr>
        <w:t xml:space="preserve">rn District of Oklahoma, where trial is currently scheduled to begin in September 2022. In addition, there are over 200 state court cases pending as of August 23, 2021, some of which may be removed to federal court to seek MDL transfer. The case citations </w:t>
      </w:r>
      <w:r>
        <w:rPr>
          <w:rFonts w:ascii="Times New Roman" w:eastAsia="宋体" w:hAnsi="Times New Roman"/>
          <w:color w:val="000000"/>
          <w:sz w:val="20"/>
          <w:szCs w:val="20"/>
        </w:rPr>
        <w:t>for the state court cases are listed on Exhibit 99.1 to this Quarterly Report on Form 10-Q.</w:t>
      </w:r>
    </w:p>
    <w:p w14:paraId="442F83CE" w14:textId="77777777" w:rsidR="00CC25B5" w:rsidRDefault="00900968">
      <w:pPr>
        <w:spacing w:before="100"/>
      </w:pPr>
      <w:r>
        <w:rPr>
          <w:rFonts w:ascii="Times New Roman" w:eastAsia="宋体" w:hAnsi="Times New Roman"/>
          <w:b/>
          <w:bCs/>
          <w:color w:val="000000"/>
          <w:sz w:val="20"/>
          <w:szCs w:val="20"/>
        </w:rPr>
        <w:t xml:space="preserve">DOJ Opioid Civil Litigation: </w:t>
      </w:r>
      <w:r>
        <w:rPr>
          <w:rFonts w:ascii="Times New Roman" w:eastAsia="宋体" w:hAnsi="Times New Roman"/>
          <w:color w:val="000000"/>
          <w:sz w:val="20"/>
          <w:szCs w:val="20"/>
        </w:rPr>
        <w:t>On October 22, 2020, the Company filed a declaratory judgment action in the U.S. District Court for the Eastern District of Texas again</w:t>
      </w:r>
      <w:r>
        <w:rPr>
          <w:rFonts w:ascii="Times New Roman" w:eastAsia="宋体" w:hAnsi="Times New Roman"/>
          <w:color w:val="000000"/>
          <w:sz w:val="20"/>
          <w:szCs w:val="20"/>
        </w:rPr>
        <w:t>st the U.S. Department of Justice (the "DOJ") and the U.S. Drug Enforcement Administration, asking a federal court to clarify the roles and responsibilities of pharmacists and pharmacies as to the dispensing and distribution of opioids under the Controlled</w:t>
      </w:r>
      <w:r>
        <w:rPr>
          <w:rFonts w:ascii="Times New Roman" w:eastAsia="宋体" w:hAnsi="Times New Roman"/>
          <w:color w:val="000000"/>
          <w:sz w:val="20"/>
          <w:szCs w:val="20"/>
        </w:rPr>
        <w:t xml:space="preserve"> Substances Act (the "CSA"). The Company’s action, </w:t>
      </w:r>
      <w:r>
        <w:rPr>
          <w:rFonts w:ascii="Times New Roman" w:eastAsia="宋体" w:hAnsi="Times New Roman"/>
          <w:i/>
          <w:iCs/>
          <w:color w:val="000000"/>
          <w:sz w:val="20"/>
          <w:szCs w:val="20"/>
        </w:rPr>
        <w:t xml:space="preserve">Walmart Inc. v. U.S. Department of Justice et al., </w:t>
      </w:r>
      <w:r>
        <w:rPr>
          <w:rFonts w:ascii="Times New Roman" w:eastAsia="宋体" w:hAnsi="Times New Roman"/>
          <w:color w:val="000000"/>
          <w:sz w:val="20"/>
          <w:szCs w:val="20"/>
        </w:rPr>
        <w:t>USDC, Eastern Dist. of Texas, 10/22/20, was dismissed. The Company has appealed this decision to the fifth circuit and awaits the court's decision. A civi</w:t>
      </w:r>
      <w:r>
        <w:rPr>
          <w:rFonts w:ascii="Times New Roman" w:eastAsia="宋体" w:hAnsi="Times New Roman"/>
          <w:color w:val="000000"/>
          <w:sz w:val="20"/>
          <w:szCs w:val="20"/>
        </w:rPr>
        <w:t xml:space="preserve">l complaint pending in the U.S. District Court for the District of Delaware has been filed by the DOJ against the Company, in which the DOJ alleges violations of the CSA related to nationwide distribution and dispensing of opioids. </w:t>
      </w:r>
      <w:r>
        <w:rPr>
          <w:rFonts w:ascii="Times New Roman" w:eastAsia="宋体" w:hAnsi="Times New Roman"/>
          <w:i/>
          <w:iCs/>
          <w:color w:val="000000"/>
          <w:sz w:val="20"/>
          <w:szCs w:val="20"/>
        </w:rPr>
        <w:t>U.S. v. Walmart Inc., et</w:t>
      </w:r>
      <w:r>
        <w:rPr>
          <w:rFonts w:ascii="Times New Roman" w:eastAsia="宋体" w:hAnsi="Times New Roman"/>
          <w:i/>
          <w:iCs/>
          <w:color w:val="000000"/>
          <w:sz w:val="20"/>
          <w:szCs w:val="20"/>
        </w:rPr>
        <w:t xml:space="preserve"> a</w:t>
      </w:r>
      <w:r>
        <w:rPr>
          <w:rFonts w:ascii="Times New Roman" w:eastAsia="宋体" w:hAnsi="Times New Roman"/>
          <w:color w:val="000000"/>
          <w:sz w:val="20"/>
          <w:szCs w:val="20"/>
        </w:rPr>
        <w:t>l., USDC, Dist. of DE, 12/22/20. The Company filed a motion to dismiss the DOJ complaint on February 22, 2021. The DOJ filed its opposition brief on April 23, 2021 and the Company filed its reply brief on May 24, 2021.</w:t>
      </w:r>
    </w:p>
    <w:p w14:paraId="442F83CF" w14:textId="77777777" w:rsidR="00CC25B5" w:rsidRDefault="00900968">
      <w:pPr>
        <w:spacing w:before="100"/>
      </w:pPr>
      <w:r>
        <w:rPr>
          <w:rFonts w:ascii="Times New Roman" w:eastAsia="宋体" w:hAnsi="Times New Roman"/>
          <w:b/>
          <w:bCs/>
          <w:color w:val="000000"/>
          <w:sz w:val="20"/>
          <w:szCs w:val="20"/>
        </w:rPr>
        <w:t xml:space="preserve">Opioids Related Securities Class Actions and Derivative Litigation: </w:t>
      </w:r>
      <w:r>
        <w:rPr>
          <w:rFonts w:ascii="Times New Roman" w:eastAsia="宋体" w:hAnsi="Times New Roman"/>
          <w:color w:val="000000"/>
          <w:sz w:val="20"/>
          <w:szCs w:val="20"/>
        </w:rPr>
        <w:t>Two derivative complaints and two securities class action lawsuits drawing heavily on the allegations of the DOJ complaint have been filed in Delaware naming various current and former dir</w:t>
      </w:r>
      <w:r>
        <w:rPr>
          <w:rFonts w:ascii="Times New Roman" w:eastAsia="宋体" w:hAnsi="Times New Roman"/>
          <w:color w:val="000000"/>
          <w:sz w:val="20"/>
          <w:szCs w:val="20"/>
        </w:rPr>
        <w:t>ectors and certain officers as defendants. The plaintiffs in the derivative suits (in which the Company is a nominal defendant) allege, among other things, that the defendants breached their fiduciary duties in connection with oversight of opioids dispensi</w:t>
      </w:r>
      <w:r>
        <w:rPr>
          <w:rFonts w:ascii="Times New Roman" w:eastAsia="宋体" w:hAnsi="Times New Roman"/>
          <w:color w:val="000000"/>
          <w:sz w:val="20"/>
          <w:szCs w:val="20"/>
        </w:rPr>
        <w:t>ng and distribution; and that the defendants violated Section 14(a) of the Securities Exchange Act of 1934, as amended (the "Exchange Act"), and are liable for contribution under Section 10(b) of the Exchange Act in connection with the Company's disclosure</w:t>
      </w:r>
      <w:r>
        <w:rPr>
          <w:rFonts w:ascii="Times New Roman" w:eastAsia="宋体" w:hAnsi="Times New Roman"/>
          <w:color w:val="000000"/>
          <w:sz w:val="20"/>
          <w:szCs w:val="20"/>
        </w:rPr>
        <w:t>s about opioids. The securities class actions, alleging violations of Sections 10(b) and 20(a) of the Exchange Act regarding the Company’s disclosures with respect to opioids were purportedly filed on behalf of a class of investors who acquired Walmart sto</w:t>
      </w:r>
      <w:r>
        <w:rPr>
          <w:rFonts w:ascii="Times New Roman" w:eastAsia="宋体" w:hAnsi="Times New Roman"/>
          <w:color w:val="000000"/>
          <w:sz w:val="20"/>
          <w:szCs w:val="20"/>
        </w:rPr>
        <w:t xml:space="preserve">ck from March 30, 2016 through December 22, 2020. On May 11, 2021, the court consolidated the class actions and appointed a lead plaintiff and lead counsel. </w:t>
      </w:r>
    </w:p>
    <w:p w14:paraId="442F83D0" w14:textId="77777777" w:rsidR="00CC25B5" w:rsidRDefault="00900968">
      <w:pPr>
        <w:spacing w:before="100"/>
      </w:pPr>
      <w:r>
        <w:rPr>
          <w:rFonts w:ascii="Times New Roman" w:eastAsia="宋体" w:hAnsi="Times New Roman"/>
          <w:b/>
          <w:bCs/>
          <w:color w:val="000000"/>
          <w:sz w:val="20"/>
          <w:szCs w:val="20"/>
        </w:rPr>
        <w:t xml:space="preserve">Derivative Lawsuits: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Nguyen v. McMillon et al.,</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USDC, Dist. of DE, 4/16/21.</w:t>
      </w:r>
    </w:p>
    <w:p w14:paraId="442F83D1" w14:textId="77777777" w:rsidR="00CC25B5" w:rsidRDefault="00900968">
      <w:pPr>
        <w:spacing w:before="100"/>
      </w:pPr>
      <w:r>
        <w:rPr>
          <w:rFonts w:ascii="Times New Roman" w:eastAsia="宋体" w:hAnsi="Times New Roman"/>
          <w:b/>
          <w:bCs/>
          <w:color w:val="000000"/>
          <w:sz w:val="20"/>
          <w:szCs w:val="20"/>
        </w:rPr>
        <w:t>Securities Class Actions:</w:t>
      </w:r>
      <w:r>
        <w:rPr>
          <w:rFonts w:ascii="Times New Roman" w:eastAsia="宋体" w:hAnsi="Times New Roman"/>
          <w:i/>
          <w:iCs/>
          <w:color w:val="000000"/>
          <w:sz w:val="20"/>
          <w:szCs w:val="20"/>
        </w:rPr>
        <w:t xml:space="preserve"> Stanton v. Walmart Inc. et al.,</w:t>
      </w:r>
      <w:r>
        <w:rPr>
          <w:rFonts w:ascii="Times New Roman" w:eastAsia="宋体" w:hAnsi="Times New Roman"/>
          <w:color w:val="000000"/>
          <w:sz w:val="20"/>
          <w:szCs w:val="20"/>
        </w:rPr>
        <w:t xml:space="preserve"> USDC, Dist. of DE, 1/20/21 and</w:t>
      </w:r>
      <w:r>
        <w:rPr>
          <w:rFonts w:ascii="Times New Roman" w:eastAsia="宋体" w:hAnsi="Times New Roman"/>
          <w:i/>
          <w:iCs/>
          <w:color w:val="000000"/>
          <w:sz w:val="20"/>
          <w:szCs w:val="20"/>
        </w:rPr>
        <w:t xml:space="preserve"> Martin v. Walmart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Dist. of DE, 3/5/21, consolidated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w:t>
      </w:r>
      <w:r>
        <w:rPr>
          <w:rFonts w:ascii="Times New Roman" w:eastAsia="宋体" w:hAnsi="Times New Roman"/>
          <w:color w:val="000000"/>
          <w:sz w:val="20"/>
          <w:szCs w:val="20"/>
        </w:rPr>
        <w:t>11/21.</w:t>
      </w:r>
    </w:p>
    <w:p w14:paraId="442F83D2" w14:textId="77777777" w:rsidR="00CC25B5" w:rsidRDefault="00900968">
      <w:pPr>
        <w:jc w:val="center"/>
      </w:pPr>
      <w:r>
        <w:rPr>
          <w:rFonts w:ascii="Times New Roman" w:eastAsia="宋体" w:hAnsi="Times New Roman"/>
          <w:color w:val="000000"/>
          <w:sz w:val="20"/>
          <w:szCs w:val="20"/>
        </w:rPr>
        <w:t>27</w:t>
      </w:r>
    </w:p>
    <w:p w14:paraId="442F83D3" w14:textId="77777777" w:rsidR="00CC25B5" w:rsidRDefault="00900968">
      <w:r>
        <w:pict w14:anchorId="442F85E4">
          <v:rect id="_x0000_i1051" style="width:415.3pt;height:1.5pt" o:hralign="center" o:hrstd="t" o:hr="t" fillcolor="#a0a0a0" stroked="f"/>
        </w:pict>
      </w:r>
    </w:p>
    <w:p w14:paraId="442F83D4" w14:textId="77777777" w:rsidR="00CC25B5" w:rsidRDefault="00900968">
      <w:hyperlink r:id="rId84" w:anchor="ie1710166881948a18c44f48eaa2dcf00_7" w:history="1">
        <w:r>
          <w:rPr>
            <w:rStyle w:val="a5"/>
            <w:rFonts w:ascii="Times New Roman" w:eastAsia="宋体" w:hAnsi="Times New Roman"/>
            <w:sz w:val="20"/>
            <w:szCs w:val="20"/>
          </w:rPr>
          <w:t>Table of Contents</w:t>
        </w:r>
      </w:hyperlink>
    </w:p>
    <w:p w14:paraId="442F83D5" w14:textId="77777777" w:rsidR="00CC25B5" w:rsidRDefault="00900968">
      <w:pPr>
        <w:spacing w:before="100"/>
      </w:pPr>
      <w:r>
        <w:rPr>
          <w:rFonts w:ascii="Times New Roman" w:eastAsia="宋体" w:hAnsi="Times New Roman"/>
          <w:b/>
          <w:bCs/>
          <w:color w:val="000000"/>
          <w:sz w:val="20"/>
          <w:szCs w:val="20"/>
        </w:rPr>
        <w:t xml:space="preserve">II. CERTAIN OTHER MATTERS </w:t>
      </w:r>
    </w:p>
    <w:p w14:paraId="442F83D6" w14:textId="77777777" w:rsidR="00CC25B5" w:rsidRDefault="00900968">
      <w:pPr>
        <w:spacing w:before="100"/>
      </w:pPr>
      <w:r>
        <w:rPr>
          <w:rFonts w:ascii="Times New Roman" w:eastAsia="宋体" w:hAnsi="Times New Roman"/>
          <w:b/>
          <w:bCs/>
          <w:color w:val="000000"/>
          <w:sz w:val="20"/>
          <w:szCs w:val="20"/>
        </w:rPr>
        <w:t>ASDA Equal Value Claims</w:t>
      </w:r>
      <w:r>
        <w:rPr>
          <w:rFonts w:ascii="Times New Roman" w:eastAsia="宋体" w:hAnsi="Times New Roman"/>
          <w:color w:val="000000"/>
          <w:sz w:val="20"/>
          <w:szCs w:val="20"/>
        </w:rPr>
        <w:t>: Ms S Brierley &amp; Others</w:t>
      </w:r>
      <w:r>
        <w:rPr>
          <w:rFonts w:ascii="Times New Roman" w:eastAsia="宋体" w:hAnsi="Times New Roman"/>
          <w:color w:val="000000"/>
          <w:sz w:val="20"/>
          <w:szCs w:val="20"/>
        </w:rPr>
        <w:t xml:space="preserve"> v ASDA Stores Ltd (2406372/2008 &amp; Others - Manchester Employment Tribunal); ASDA Stores Ltd v Brierley &amp; Ors (A2/2016/0973 - United Kingdom Court of Appeal); ASDA Stores Ltd v Ms S Brierley &amp; Others (UKEAT/0059/16/DM - United Kingdom Employment Appeal Tri</w:t>
      </w:r>
      <w:r>
        <w:rPr>
          <w:rFonts w:ascii="Times New Roman" w:eastAsia="宋体" w:hAnsi="Times New Roman"/>
          <w:color w:val="000000"/>
          <w:sz w:val="20"/>
          <w:szCs w:val="20"/>
        </w:rPr>
        <w:t>bunal); and ASDA Stores Ltd v Ms S Brierley &amp; Others (UKEAT/0009/16/JOJ - United Kingdom Employment Appeal Tribunal).</w:t>
      </w:r>
    </w:p>
    <w:p w14:paraId="442F83D7" w14:textId="77777777" w:rsidR="00CC25B5" w:rsidRDefault="00900968">
      <w:pPr>
        <w:spacing w:before="100"/>
      </w:pPr>
      <w:r>
        <w:rPr>
          <w:rFonts w:ascii="Times New Roman" w:eastAsia="宋体" w:hAnsi="Times New Roman"/>
          <w:b/>
          <w:bCs/>
          <w:color w:val="000000"/>
          <w:sz w:val="20"/>
          <w:szCs w:val="20"/>
        </w:rPr>
        <w:t>Money Transfer Agent Services Proceedings:</w:t>
      </w:r>
      <w:r>
        <w:rPr>
          <w:rFonts w:ascii="Times New Roman" w:eastAsia="宋体" w:hAnsi="Times New Roman"/>
          <w:color w:val="000000"/>
          <w:sz w:val="20"/>
          <w:szCs w:val="20"/>
        </w:rPr>
        <w:t> The Company has received grand jury subpoenas issued by the United States Attorney’s Office for</w:t>
      </w:r>
      <w:r>
        <w:rPr>
          <w:rFonts w:ascii="Times New Roman" w:eastAsia="宋体" w:hAnsi="Times New Roman"/>
          <w:color w:val="000000"/>
          <w:sz w:val="20"/>
          <w:szCs w:val="20"/>
        </w:rPr>
        <w:t xml:space="preserve"> the Middle District of Pennsylvania seeking documents regarding the Company’s consumer fraud program and anti-money laundering compliance related to the Company’s money transfer services, where Walmart is an agent. The most recent subpoena was issued in A</w:t>
      </w:r>
      <w:r>
        <w:rPr>
          <w:rFonts w:ascii="Times New Roman" w:eastAsia="宋体" w:hAnsi="Times New Roman"/>
          <w:color w:val="000000"/>
          <w:sz w:val="20"/>
          <w:szCs w:val="20"/>
        </w:rPr>
        <w:t>ugust 2020. The Company has been responding to these subpoenas and is cooperating with the government’s investigation. The Company has also responded to civil investigative demands from the United States Federal Trade Commission (the "FTC") and is cooperat</w:t>
      </w:r>
      <w:r>
        <w:rPr>
          <w:rFonts w:ascii="Times New Roman" w:eastAsia="宋体" w:hAnsi="Times New Roman"/>
          <w:color w:val="000000"/>
          <w:sz w:val="20"/>
          <w:szCs w:val="20"/>
        </w:rPr>
        <w:t>ing with the FTC's investigation related to money transfers and the Company's anti-fraud program in its capacity as an agent. The Company is engaging in discussions with the FTC regarding a potential resolution of this matter, although there can be no assu</w:t>
      </w:r>
      <w:r>
        <w:rPr>
          <w:rFonts w:ascii="Times New Roman" w:eastAsia="宋体" w:hAnsi="Times New Roman"/>
          <w:color w:val="000000"/>
          <w:sz w:val="20"/>
          <w:szCs w:val="20"/>
        </w:rPr>
        <w:t>rance that the Company will reach any such resolution with the FTC. If there is no resolution of the matter, the FTC staff could request authority of the FTC to file a civil complaint against the Company seeking various forms of monetary and injunctive rel</w:t>
      </w:r>
      <w:r>
        <w:rPr>
          <w:rFonts w:ascii="Times New Roman" w:eastAsia="宋体" w:hAnsi="Times New Roman"/>
          <w:color w:val="000000"/>
          <w:sz w:val="20"/>
          <w:szCs w:val="20"/>
        </w:rPr>
        <w:t>ief. The Company is unable to predict the final outcome of the investigations, any discussions, or any related actions by the governmental entities regarding these matters. While the Company does not currently believe that the final outcome of these matter</w:t>
      </w:r>
      <w:r>
        <w:rPr>
          <w:rFonts w:ascii="Times New Roman" w:eastAsia="宋体" w:hAnsi="Times New Roman"/>
          <w:color w:val="000000"/>
          <w:sz w:val="20"/>
          <w:szCs w:val="20"/>
        </w:rPr>
        <w:t>s will have a material adverse effect on its business, financial condition, results of operations or cash flows, the Company can provide no assurance as to the scope and final outcome of these matters and whether its business, financial position, results o</w:t>
      </w:r>
      <w:r>
        <w:rPr>
          <w:rFonts w:ascii="Times New Roman" w:eastAsia="宋体" w:hAnsi="Times New Roman"/>
          <w:color w:val="000000"/>
          <w:sz w:val="20"/>
          <w:szCs w:val="20"/>
        </w:rPr>
        <w:t>f operations or cash flows will not be materially adversely affected.</w:t>
      </w:r>
    </w:p>
    <w:p w14:paraId="442F83D8" w14:textId="77777777" w:rsidR="00CC25B5" w:rsidRDefault="00900968">
      <w:pPr>
        <w:spacing w:before="100"/>
      </w:pPr>
      <w:r>
        <w:rPr>
          <w:rFonts w:ascii="Times New Roman" w:eastAsia="宋体" w:hAnsi="Times New Roman"/>
          <w:b/>
          <w:bCs/>
          <w:color w:val="000000"/>
          <w:sz w:val="20"/>
          <w:szCs w:val="20"/>
        </w:rPr>
        <w:t>Foreign Direct Investment Matters:</w:t>
      </w:r>
      <w:r>
        <w:rPr>
          <w:rFonts w:ascii="Times New Roman" w:eastAsia="宋体" w:hAnsi="Times New Roman"/>
          <w:color w:val="000000"/>
          <w:sz w:val="20"/>
          <w:szCs w:val="20"/>
        </w:rPr>
        <w:t xml:space="preserve"> In July 2021, the Directorate of Enforcement in India issued a show cause notice to Flipkart Private Limited and one of its subsidiaries ("Flipkart"), </w:t>
      </w:r>
      <w:r>
        <w:rPr>
          <w:rFonts w:ascii="Times New Roman" w:eastAsia="宋体" w:hAnsi="Times New Roman"/>
          <w:color w:val="000000"/>
          <w:sz w:val="20"/>
          <w:szCs w:val="20"/>
        </w:rPr>
        <w:t>and to unrelated companies and individuals, including certain current and former shareholders and directors of Flipkart. The notice requests the recipients to show cause as to why further proceedings under India's Foreign Direct Investment rules and regula</w:t>
      </w:r>
      <w:r>
        <w:rPr>
          <w:rFonts w:ascii="Times New Roman" w:eastAsia="宋体" w:hAnsi="Times New Roman"/>
          <w:color w:val="000000"/>
          <w:sz w:val="20"/>
          <w:szCs w:val="20"/>
        </w:rPr>
        <w:t>tions (the "Rules") should not be initiated against them based on alleged violations during the period from 2009 to 2015, prior to the Company's acquisition of a majority stake in Flipkart in 2018. The notice is an initial stage of proceedings under the Ru</w:t>
      </w:r>
      <w:r>
        <w:rPr>
          <w:rFonts w:ascii="Times New Roman" w:eastAsia="宋体" w:hAnsi="Times New Roman"/>
          <w:color w:val="000000"/>
          <w:sz w:val="20"/>
          <w:szCs w:val="20"/>
        </w:rPr>
        <w:t>les which could, depending upon the conclusions at the end of the initial stage, lead to a hearing to consider the merits of the allegations described in the notice. If a hearing is initiated and if it is determined that violations of the Rules occurred, t</w:t>
      </w:r>
      <w:r>
        <w:rPr>
          <w:rFonts w:ascii="Times New Roman" w:eastAsia="宋体" w:hAnsi="Times New Roman"/>
          <w:color w:val="000000"/>
          <w:sz w:val="20"/>
          <w:szCs w:val="20"/>
        </w:rPr>
        <w:t>he regulatory authority has the authority to impose monetary and/or non-monetary relief. Flipkart has begun the process of responding to the notice and, if the matter progresses to a consideration of the merits of the allegations described in the notice is</w:t>
      </w:r>
      <w:r>
        <w:rPr>
          <w:rFonts w:ascii="Times New Roman" w:eastAsia="宋体" w:hAnsi="Times New Roman"/>
          <w:color w:val="000000"/>
          <w:sz w:val="20"/>
          <w:szCs w:val="20"/>
        </w:rPr>
        <w:t xml:space="preserve"> initiated, Flipkart intends to defend against the allegations vigorously. Due to the fact that this process is in an early stage, the Company is unable to predict whether the notice will lead to a hearing on the merits or, if it does, the final outcome of</w:t>
      </w:r>
      <w:r>
        <w:rPr>
          <w:rFonts w:ascii="Times New Roman" w:eastAsia="宋体" w:hAnsi="Times New Roman"/>
          <w:color w:val="000000"/>
          <w:sz w:val="20"/>
          <w:szCs w:val="20"/>
        </w:rPr>
        <w:t xml:space="preserve"> the resulting proceedings. While the Company does not currently believe that this matter will have a material adverse effect on its business, financial condition, results of operations or cash flows, the Company can provide no assurance as to the scope or</w:t>
      </w:r>
      <w:r>
        <w:rPr>
          <w:rFonts w:ascii="Times New Roman" w:eastAsia="宋体" w:hAnsi="Times New Roman"/>
          <w:color w:val="000000"/>
          <w:sz w:val="20"/>
          <w:szCs w:val="20"/>
        </w:rPr>
        <w:t xml:space="preserve"> outcome of any proceeding that might result from the notice, the amount of the proceeds the Company may receive in indemnification from individuals and entities that sold shares to the Company under the 2018 agreement pursuant to which the Company acquire</w:t>
      </w:r>
      <w:r>
        <w:rPr>
          <w:rFonts w:ascii="Times New Roman" w:eastAsia="宋体" w:hAnsi="Times New Roman"/>
          <w:color w:val="000000"/>
          <w:sz w:val="20"/>
          <w:szCs w:val="20"/>
        </w:rPr>
        <w:t>d its majority stake in Flipkart, or whether the Company's business, financial position, results of operations or cash flows will not be materially adversely affected.</w:t>
      </w:r>
    </w:p>
    <w:p w14:paraId="442F83D9" w14:textId="77777777" w:rsidR="00CC25B5" w:rsidRDefault="00900968">
      <w:pPr>
        <w:spacing w:before="18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Item 103 of SEC Regulation S-K requires disclosure of certai</w:t>
      </w:r>
      <w:r>
        <w:rPr>
          <w:rFonts w:ascii="Times New Roman" w:eastAsia="宋体" w:hAnsi="Times New Roman"/>
          <w:color w:val="000000"/>
          <w:sz w:val="20"/>
          <w:szCs w:val="20"/>
        </w:rPr>
        <w:t xml:space="preserve">n environmental matters when a governmental authority is a party to the proceedings and such proceedings involve potential monetary sanctions that the Company reasonably believes will exceed an applied threshold of $1 million. </w:t>
      </w:r>
    </w:p>
    <w:p w14:paraId="442F83DA" w14:textId="77777777" w:rsidR="00CC25B5" w:rsidRDefault="00900968">
      <w:pPr>
        <w:spacing w:before="100"/>
      </w:pPr>
      <w:r>
        <w:rPr>
          <w:rFonts w:ascii="Times New Roman" w:eastAsia="宋体" w:hAnsi="Times New Roman"/>
          <w:color w:val="000000"/>
          <w:sz w:val="20"/>
          <w:szCs w:val="20"/>
        </w:rPr>
        <w:t>In June 2021, the Company si</w:t>
      </w:r>
      <w:r>
        <w:rPr>
          <w:rFonts w:ascii="Times New Roman" w:eastAsia="宋体" w:hAnsi="Times New Roman"/>
          <w:color w:val="000000"/>
          <w:sz w:val="20"/>
          <w:szCs w:val="20"/>
        </w:rPr>
        <w:t xml:space="preserve">gned a tolling agreement with the State of California to toll the statute of limitations for potential claims regarding Walmart’s management of waste consumer products at its California facilities that are alleged to be hazardous. The Company is presently </w:t>
      </w:r>
      <w:r>
        <w:rPr>
          <w:rFonts w:ascii="Times New Roman" w:eastAsia="宋体" w:hAnsi="Times New Roman"/>
          <w:color w:val="000000"/>
          <w:sz w:val="20"/>
          <w:szCs w:val="20"/>
        </w:rPr>
        <w:t>engaged in settlement discussions. It is not presently known whether a settlement will be reached or enforcement action will ensue, but the potential for penalties or settlement costs could exceed $1 million. The Company does not believe that this matter w</w:t>
      </w:r>
      <w:r>
        <w:rPr>
          <w:rFonts w:ascii="Times New Roman" w:eastAsia="宋体" w:hAnsi="Times New Roman"/>
          <w:color w:val="000000"/>
          <w:sz w:val="20"/>
          <w:szCs w:val="20"/>
        </w:rPr>
        <w:t>ill have a material adverse effect on its business, financial position, results of operations, or cash flows.</w:t>
      </w:r>
    </w:p>
    <w:p w14:paraId="442F83DB" w14:textId="77777777" w:rsidR="00CC25B5" w:rsidRDefault="00900968">
      <w:pPr>
        <w:jc w:val="center"/>
      </w:pPr>
      <w:r>
        <w:rPr>
          <w:rFonts w:ascii="Times New Roman" w:eastAsia="宋体" w:hAnsi="Times New Roman"/>
          <w:color w:val="000000"/>
          <w:sz w:val="20"/>
          <w:szCs w:val="20"/>
        </w:rPr>
        <w:t>28</w:t>
      </w:r>
    </w:p>
    <w:p w14:paraId="442F83DC" w14:textId="77777777" w:rsidR="00CC25B5" w:rsidRDefault="00900968">
      <w:r>
        <w:pict w14:anchorId="442F85E5">
          <v:rect id="_x0000_i1052" style="width:415.3pt;height:1.5pt" o:hralign="center" o:hrstd="t" o:hr="t" fillcolor="#a0a0a0" stroked="f"/>
        </w:pict>
      </w:r>
    </w:p>
    <w:p w14:paraId="442F83DD" w14:textId="77777777" w:rsidR="00CC25B5" w:rsidRDefault="00900968">
      <w:hyperlink r:id="rId85" w:anchor="ie1710166881948a18c44f48eaa2dcf00_7" w:history="1">
        <w:r>
          <w:rPr>
            <w:rStyle w:val="a5"/>
            <w:rFonts w:ascii="Times New Roman" w:eastAsia="宋体" w:hAnsi="Times New Roman"/>
            <w:sz w:val="20"/>
            <w:szCs w:val="20"/>
          </w:rPr>
          <w:t>Table of Contents</w:t>
        </w:r>
      </w:hyperlink>
    </w:p>
    <w:p w14:paraId="442F83DE" w14:textId="77777777" w:rsidR="00CC25B5" w:rsidRDefault="00900968">
      <w:pPr>
        <w:spacing w:before="180" w:after="180"/>
      </w:pPr>
      <w:r>
        <w:rPr>
          <w:rFonts w:ascii="Times New Roman" w:eastAsia="宋体" w:hAnsi="Times New Roman"/>
          <w:b/>
          <w:bCs/>
          <w:color w:val="000000"/>
          <w:sz w:val="20"/>
          <w:szCs w:val="20"/>
        </w:rPr>
        <w:t>Item 1A. Risk Factors</w:t>
      </w:r>
    </w:p>
    <w:p w14:paraId="442F83DF" w14:textId="77777777" w:rsidR="00CC25B5" w:rsidRDefault="00900968">
      <w:r>
        <w:rPr>
          <w:rFonts w:ascii="Times New Roman" w:eastAsia="宋体" w:hAnsi="Times New Roman"/>
          <w:color w:val="000000"/>
          <w:sz w:val="20"/>
          <w:szCs w:val="20"/>
        </w:rPr>
        <w:t>In addition to the other information set forth in this report, y</w:t>
      </w:r>
      <w:r>
        <w:rPr>
          <w:rFonts w:ascii="Times New Roman" w:eastAsia="宋体" w:hAnsi="Times New Roman"/>
          <w:color w:val="000000"/>
          <w:sz w:val="20"/>
          <w:szCs w:val="20"/>
        </w:rPr>
        <w:t>ou should carefully consider the risk factors disclosed in Part I, Item 1A, under the caption "Risk Factors," of our Annual Report on Form 10-K for the fiscal year ended January 31, 2021 which risks could materially and adversely affect our business, resul</w:t>
      </w:r>
      <w:r>
        <w:rPr>
          <w:rFonts w:ascii="Times New Roman" w:eastAsia="宋体" w:hAnsi="Times New Roman"/>
          <w:color w:val="000000"/>
          <w:sz w:val="20"/>
          <w:szCs w:val="20"/>
        </w:rPr>
        <w:t>ts of operations, financial condition, and liquidity. No material change in the risk factors discussed in such Form 10-K has occurred. Such risk factors do not identify all risks that we face because our business operations could also be affected by additi</w:t>
      </w:r>
      <w:r>
        <w:rPr>
          <w:rFonts w:ascii="Times New Roman" w:eastAsia="宋体" w:hAnsi="Times New Roman"/>
          <w:color w:val="000000"/>
          <w:sz w:val="20"/>
          <w:szCs w:val="20"/>
        </w:rPr>
        <w:t>onal factors that are not presently known to us or that we currently consider to be immaterial to our operations. Our business operations could also be affected by additional factors that apply to all companies operating in the U.S. and globally. </w:t>
      </w:r>
    </w:p>
    <w:p w14:paraId="442F83E0" w14:textId="77777777" w:rsidR="00CC25B5" w:rsidRDefault="00900968">
      <w:pPr>
        <w:spacing w:before="240"/>
      </w:pPr>
      <w:r>
        <w:rPr>
          <w:rFonts w:ascii="Times New Roman" w:eastAsia="宋体" w:hAnsi="Times New Roman"/>
          <w:b/>
          <w:bCs/>
          <w:color w:val="000000"/>
          <w:sz w:val="20"/>
          <w:szCs w:val="20"/>
        </w:rPr>
        <w:t xml:space="preserve">Item 2. </w:t>
      </w:r>
      <w:r>
        <w:rPr>
          <w:rFonts w:ascii="Times New Roman" w:eastAsia="宋体" w:hAnsi="Times New Roman"/>
          <w:b/>
          <w:bCs/>
          <w:color w:val="000000"/>
          <w:sz w:val="20"/>
          <w:szCs w:val="20"/>
        </w:rPr>
        <w:t>Unregistered Sales of Equity Securities and Use of Proceeds</w:t>
      </w:r>
    </w:p>
    <w:p w14:paraId="442F83E1" w14:textId="77777777" w:rsidR="00CC25B5" w:rsidRDefault="00900968">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w:t>
      </w:r>
      <w:r>
        <w:rPr>
          <w:rFonts w:ascii="Times New Roman" w:eastAsia="宋体" w:hAnsi="Times New Roman"/>
          <w:color w:val="000000"/>
          <w:sz w:val="20"/>
          <w:szCs w:val="20"/>
        </w:rPr>
        <w:t>1 were made under the plan in effect at the beginning of fiscal 2022. On February 18, 2021, the Board of Directors approved a new $20.0 billion share repurchase program which has no expiration date or other restrictions limiting the period over which the C</w:t>
      </w:r>
      <w:r>
        <w:rPr>
          <w:rFonts w:ascii="Times New Roman" w:eastAsia="宋体" w:hAnsi="Times New Roman"/>
          <w:color w:val="000000"/>
          <w:sz w:val="20"/>
          <w:szCs w:val="20"/>
        </w:rPr>
        <w:t xml:space="preserve">ompany can make repurchases, and beginning February 22, 2021, replaced the previous share repurchase program. As of July 31, 2021, authorization for $15.2 billion of share repurchases remained under the share repurchase program. Any repurchased shares are </w:t>
      </w:r>
      <w:r>
        <w:rPr>
          <w:rFonts w:ascii="Times New Roman" w:eastAsia="宋体" w:hAnsi="Times New Roman"/>
          <w:color w:val="000000"/>
          <w:sz w:val="20"/>
          <w:szCs w:val="20"/>
        </w:rPr>
        <w:t xml:space="preserve">constructively retired and returned to an unissued status. </w:t>
      </w:r>
    </w:p>
    <w:p w14:paraId="442F83E2" w14:textId="77777777" w:rsidR="00CC25B5" w:rsidRDefault="00900968">
      <w:pPr>
        <w:spacing w:before="100"/>
      </w:pPr>
      <w:r>
        <w:rPr>
          <w:rFonts w:ascii="Times New Roman" w:eastAsia="宋体" w:hAnsi="Times New Roman"/>
          <w:color w:val="000000"/>
          <w:sz w:val="20"/>
          <w:szCs w:val="20"/>
        </w:rPr>
        <w:t>The Company regularly reviews its share repurchase activity and considers several factors in determining when to execute share repurchases, including, among other things, current cash needs, capac</w:t>
      </w:r>
      <w:r>
        <w:rPr>
          <w:rFonts w:ascii="Times New Roman" w:eastAsia="宋体" w:hAnsi="Times New Roman"/>
          <w:color w:val="000000"/>
          <w:sz w:val="20"/>
          <w:szCs w:val="20"/>
        </w:rPr>
        <w:t>ity for leverage, cost of borrowings and the market price of its common stock. Share repurchase activity under our share repurchase program, on a trade date basis, for the three months ended July 31, 2021, was as follows:</w:t>
      </w:r>
    </w:p>
    <w:tbl>
      <w:tblPr>
        <w:tblW w:w="4978" w:type="pct"/>
        <w:tblCellMar>
          <w:top w:w="15" w:type="dxa"/>
          <w:left w:w="15" w:type="dxa"/>
          <w:bottom w:w="15" w:type="dxa"/>
          <w:right w:w="15" w:type="dxa"/>
        </w:tblCellMar>
        <w:tblLook w:val="04A0" w:firstRow="1" w:lastRow="0" w:firstColumn="1" w:lastColumn="0" w:noHBand="0" w:noVBand="1"/>
      </w:tblPr>
      <w:tblGrid>
        <w:gridCol w:w="50"/>
        <w:gridCol w:w="3009"/>
        <w:gridCol w:w="36"/>
        <w:gridCol w:w="36"/>
        <w:gridCol w:w="36"/>
        <w:gridCol w:w="36"/>
        <w:gridCol w:w="58"/>
        <w:gridCol w:w="975"/>
        <w:gridCol w:w="36"/>
        <w:gridCol w:w="36"/>
        <w:gridCol w:w="36"/>
        <w:gridCol w:w="36"/>
        <w:gridCol w:w="101"/>
        <w:gridCol w:w="789"/>
        <w:gridCol w:w="36"/>
        <w:gridCol w:w="36"/>
        <w:gridCol w:w="36"/>
        <w:gridCol w:w="36"/>
        <w:gridCol w:w="48"/>
        <w:gridCol w:w="1277"/>
        <w:gridCol w:w="36"/>
        <w:gridCol w:w="36"/>
        <w:gridCol w:w="36"/>
        <w:gridCol w:w="36"/>
        <w:gridCol w:w="101"/>
        <w:gridCol w:w="1279"/>
        <w:gridCol w:w="36"/>
      </w:tblGrid>
      <w:tr w:rsidR="00CC25B5" w14:paraId="442F83FE" w14:textId="77777777">
        <w:tc>
          <w:tcPr>
            <w:tcW w:w="50" w:type="pct"/>
            <w:shd w:val="clear" w:color="auto" w:fill="auto"/>
            <w:vAlign w:val="bottom"/>
          </w:tcPr>
          <w:p w14:paraId="442F83E3" w14:textId="77777777" w:rsidR="00CC25B5" w:rsidRDefault="00CC25B5">
            <w:pPr>
              <w:rPr>
                <w:rFonts w:ascii="宋体"/>
              </w:rPr>
            </w:pPr>
          </w:p>
        </w:tc>
        <w:tc>
          <w:tcPr>
            <w:tcW w:w="1831" w:type="pct"/>
            <w:shd w:val="clear" w:color="auto" w:fill="auto"/>
            <w:vAlign w:val="bottom"/>
          </w:tcPr>
          <w:p w14:paraId="442F83E4" w14:textId="77777777" w:rsidR="00CC25B5" w:rsidRDefault="00CC25B5">
            <w:pPr>
              <w:rPr>
                <w:rFonts w:ascii="宋体"/>
              </w:rPr>
            </w:pPr>
          </w:p>
        </w:tc>
        <w:tc>
          <w:tcPr>
            <w:tcW w:w="5" w:type="pct"/>
            <w:shd w:val="clear" w:color="auto" w:fill="auto"/>
            <w:vAlign w:val="bottom"/>
          </w:tcPr>
          <w:p w14:paraId="442F83E5" w14:textId="77777777" w:rsidR="00CC25B5" w:rsidRDefault="00CC25B5">
            <w:pPr>
              <w:rPr>
                <w:rFonts w:ascii="宋体"/>
              </w:rPr>
            </w:pPr>
          </w:p>
        </w:tc>
        <w:tc>
          <w:tcPr>
            <w:tcW w:w="5" w:type="pct"/>
            <w:shd w:val="clear" w:color="auto" w:fill="auto"/>
            <w:vAlign w:val="bottom"/>
          </w:tcPr>
          <w:p w14:paraId="442F83E6" w14:textId="77777777" w:rsidR="00CC25B5" w:rsidRDefault="00CC25B5">
            <w:pPr>
              <w:rPr>
                <w:rFonts w:ascii="宋体"/>
              </w:rPr>
            </w:pPr>
          </w:p>
        </w:tc>
        <w:tc>
          <w:tcPr>
            <w:tcW w:w="26" w:type="pct"/>
            <w:shd w:val="clear" w:color="auto" w:fill="auto"/>
            <w:vAlign w:val="bottom"/>
          </w:tcPr>
          <w:p w14:paraId="442F83E7" w14:textId="77777777" w:rsidR="00CC25B5" w:rsidRDefault="00CC25B5">
            <w:pPr>
              <w:rPr>
                <w:rFonts w:ascii="宋体"/>
              </w:rPr>
            </w:pPr>
          </w:p>
        </w:tc>
        <w:tc>
          <w:tcPr>
            <w:tcW w:w="5" w:type="pct"/>
            <w:shd w:val="clear" w:color="auto" w:fill="auto"/>
            <w:vAlign w:val="bottom"/>
          </w:tcPr>
          <w:p w14:paraId="442F83E8" w14:textId="77777777" w:rsidR="00CC25B5" w:rsidRDefault="00CC25B5">
            <w:pPr>
              <w:rPr>
                <w:rFonts w:ascii="宋体"/>
              </w:rPr>
            </w:pPr>
          </w:p>
        </w:tc>
        <w:tc>
          <w:tcPr>
            <w:tcW w:w="50" w:type="pct"/>
            <w:shd w:val="clear" w:color="auto" w:fill="auto"/>
            <w:vAlign w:val="bottom"/>
          </w:tcPr>
          <w:p w14:paraId="442F83E9" w14:textId="77777777" w:rsidR="00CC25B5" w:rsidRDefault="00CC25B5">
            <w:pPr>
              <w:rPr>
                <w:rFonts w:ascii="宋体"/>
              </w:rPr>
            </w:pPr>
          </w:p>
        </w:tc>
        <w:tc>
          <w:tcPr>
            <w:tcW w:w="627" w:type="pct"/>
            <w:shd w:val="clear" w:color="auto" w:fill="auto"/>
            <w:vAlign w:val="bottom"/>
          </w:tcPr>
          <w:p w14:paraId="442F83EA" w14:textId="77777777" w:rsidR="00CC25B5" w:rsidRDefault="00CC25B5">
            <w:pPr>
              <w:rPr>
                <w:rFonts w:ascii="宋体"/>
              </w:rPr>
            </w:pPr>
          </w:p>
        </w:tc>
        <w:tc>
          <w:tcPr>
            <w:tcW w:w="5" w:type="pct"/>
            <w:shd w:val="clear" w:color="auto" w:fill="auto"/>
            <w:vAlign w:val="bottom"/>
          </w:tcPr>
          <w:p w14:paraId="442F83EB" w14:textId="77777777" w:rsidR="00CC25B5" w:rsidRDefault="00CC25B5">
            <w:pPr>
              <w:rPr>
                <w:rFonts w:ascii="宋体"/>
              </w:rPr>
            </w:pPr>
          </w:p>
        </w:tc>
        <w:tc>
          <w:tcPr>
            <w:tcW w:w="5" w:type="pct"/>
            <w:shd w:val="clear" w:color="auto" w:fill="auto"/>
            <w:vAlign w:val="bottom"/>
          </w:tcPr>
          <w:p w14:paraId="442F83EC" w14:textId="77777777" w:rsidR="00CC25B5" w:rsidRDefault="00CC25B5">
            <w:pPr>
              <w:rPr>
                <w:rFonts w:ascii="宋体"/>
              </w:rPr>
            </w:pPr>
          </w:p>
        </w:tc>
        <w:tc>
          <w:tcPr>
            <w:tcW w:w="26" w:type="pct"/>
            <w:shd w:val="clear" w:color="auto" w:fill="auto"/>
            <w:vAlign w:val="bottom"/>
          </w:tcPr>
          <w:p w14:paraId="442F83ED" w14:textId="77777777" w:rsidR="00CC25B5" w:rsidRDefault="00CC25B5">
            <w:pPr>
              <w:rPr>
                <w:rFonts w:ascii="宋体"/>
              </w:rPr>
            </w:pPr>
          </w:p>
        </w:tc>
        <w:tc>
          <w:tcPr>
            <w:tcW w:w="5" w:type="pct"/>
            <w:shd w:val="clear" w:color="auto" w:fill="auto"/>
            <w:vAlign w:val="bottom"/>
          </w:tcPr>
          <w:p w14:paraId="442F83EE" w14:textId="77777777" w:rsidR="00CC25B5" w:rsidRDefault="00CC25B5">
            <w:pPr>
              <w:rPr>
                <w:rFonts w:ascii="宋体"/>
              </w:rPr>
            </w:pPr>
          </w:p>
        </w:tc>
        <w:tc>
          <w:tcPr>
            <w:tcW w:w="50" w:type="pct"/>
            <w:shd w:val="clear" w:color="auto" w:fill="auto"/>
            <w:vAlign w:val="bottom"/>
          </w:tcPr>
          <w:p w14:paraId="442F83EF" w14:textId="77777777" w:rsidR="00CC25B5" w:rsidRDefault="00CC25B5">
            <w:pPr>
              <w:rPr>
                <w:rFonts w:ascii="宋体"/>
              </w:rPr>
            </w:pPr>
          </w:p>
        </w:tc>
        <w:tc>
          <w:tcPr>
            <w:tcW w:w="510" w:type="pct"/>
            <w:shd w:val="clear" w:color="auto" w:fill="auto"/>
            <w:vAlign w:val="bottom"/>
          </w:tcPr>
          <w:p w14:paraId="442F83F0" w14:textId="77777777" w:rsidR="00CC25B5" w:rsidRDefault="00CC25B5">
            <w:pPr>
              <w:rPr>
                <w:rFonts w:ascii="宋体"/>
              </w:rPr>
            </w:pPr>
          </w:p>
        </w:tc>
        <w:tc>
          <w:tcPr>
            <w:tcW w:w="5" w:type="pct"/>
            <w:shd w:val="clear" w:color="auto" w:fill="auto"/>
            <w:vAlign w:val="bottom"/>
          </w:tcPr>
          <w:p w14:paraId="442F83F1" w14:textId="77777777" w:rsidR="00CC25B5" w:rsidRDefault="00CC25B5">
            <w:pPr>
              <w:rPr>
                <w:rFonts w:ascii="宋体"/>
              </w:rPr>
            </w:pPr>
          </w:p>
        </w:tc>
        <w:tc>
          <w:tcPr>
            <w:tcW w:w="5" w:type="pct"/>
            <w:shd w:val="clear" w:color="auto" w:fill="auto"/>
            <w:vAlign w:val="bottom"/>
          </w:tcPr>
          <w:p w14:paraId="442F83F2" w14:textId="77777777" w:rsidR="00CC25B5" w:rsidRDefault="00CC25B5">
            <w:pPr>
              <w:rPr>
                <w:rFonts w:ascii="宋体"/>
              </w:rPr>
            </w:pPr>
          </w:p>
        </w:tc>
        <w:tc>
          <w:tcPr>
            <w:tcW w:w="26" w:type="pct"/>
            <w:shd w:val="clear" w:color="auto" w:fill="auto"/>
            <w:vAlign w:val="bottom"/>
          </w:tcPr>
          <w:p w14:paraId="442F83F3" w14:textId="77777777" w:rsidR="00CC25B5" w:rsidRDefault="00CC25B5">
            <w:pPr>
              <w:rPr>
                <w:rFonts w:ascii="宋体"/>
              </w:rPr>
            </w:pPr>
          </w:p>
        </w:tc>
        <w:tc>
          <w:tcPr>
            <w:tcW w:w="5" w:type="pct"/>
            <w:shd w:val="clear" w:color="auto" w:fill="auto"/>
            <w:vAlign w:val="bottom"/>
          </w:tcPr>
          <w:p w14:paraId="442F83F4" w14:textId="77777777" w:rsidR="00CC25B5" w:rsidRDefault="00CC25B5">
            <w:pPr>
              <w:rPr>
                <w:rFonts w:ascii="宋体"/>
              </w:rPr>
            </w:pPr>
          </w:p>
        </w:tc>
        <w:tc>
          <w:tcPr>
            <w:tcW w:w="50" w:type="pct"/>
            <w:shd w:val="clear" w:color="auto" w:fill="auto"/>
            <w:vAlign w:val="bottom"/>
          </w:tcPr>
          <w:p w14:paraId="442F83F5" w14:textId="77777777" w:rsidR="00CC25B5" w:rsidRDefault="00CC25B5">
            <w:pPr>
              <w:rPr>
                <w:rFonts w:ascii="宋体"/>
              </w:rPr>
            </w:pPr>
          </w:p>
        </w:tc>
        <w:tc>
          <w:tcPr>
            <w:tcW w:w="803" w:type="pct"/>
            <w:shd w:val="clear" w:color="auto" w:fill="auto"/>
            <w:vAlign w:val="bottom"/>
          </w:tcPr>
          <w:p w14:paraId="442F83F6" w14:textId="77777777" w:rsidR="00CC25B5" w:rsidRDefault="00CC25B5">
            <w:pPr>
              <w:rPr>
                <w:rFonts w:ascii="宋体"/>
              </w:rPr>
            </w:pPr>
          </w:p>
        </w:tc>
        <w:tc>
          <w:tcPr>
            <w:tcW w:w="5" w:type="pct"/>
            <w:shd w:val="clear" w:color="auto" w:fill="auto"/>
            <w:vAlign w:val="bottom"/>
          </w:tcPr>
          <w:p w14:paraId="442F83F7" w14:textId="77777777" w:rsidR="00CC25B5" w:rsidRDefault="00CC25B5">
            <w:pPr>
              <w:rPr>
                <w:rFonts w:ascii="宋体"/>
              </w:rPr>
            </w:pPr>
          </w:p>
        </w:tc>
        <w:tc>
          <w:tcPr>
            <w:tcW w:w="5" w:type="pct"/>
            <w:shd w:val="clear" w:color="auto" w:fill="auto"/>
            <w:vAlign w:val="bottom"/>
          </w:tcPr>
          <w:p w14:paraId="442F83F8" w14:textId="77777777" w:rsidR="00CC25B5" w:rsidRDefault="00CC25B5">
            <w:pPr>
              <w:rPr>
                <w:rFonts w:ascii="宋体"/>
              </w:rPr>
            </w:pPr>
          </w:p>
        </w:tc>
        <w:tc>
          <w:tcPr>
            <w:tcW w:w="26" w:type="pct"/>
            <w:shd w:val="clear" w:color="auto" w:fill="auto"/>
            <w:vAlign w:val="bottom"/>
          </w:tcPr>
          <w:p w14:paraId="442F83F9" w14:textId="77777777" w:rsidR="00CC25B5" w:rsidRDefault="00CC25B5">
            <w:pPr>
              <w:rPr>
                <w:rFonts w:ascii="宋体"/>
              </w:rPr>
            </w:pPr>
          </w:p>
        </w:tc>
        <w:tc>
          <w:tcPr>
            <w:tcW w:w="5" w:type="pct"/>
            <w:shd w:val="clear" w:color="auto" w:fill="auto"/>
            <w:vAlign w:val="bottom"/>
          </w:tcPr>
          <w:p w14:paraId="442F83FA" w14:textId="77777777" w:rsidR="00CC25B5" w:rsidRDefault="00CC25B5">
            <w:pPr>
              <w:rPr>
                <w:rFonts w:ascii="宋体"/>
              </w:rPr>
            </w:pPr>
          </w:p>
        </w:tc>
        <w:tc>
          <w:tcPr>
            <w:tcW w:w="50" w:type="pct"/>
            <w:shd w:val="clear" w:color="auto" w:fill="auto"/>
            <w:vAlign w:val="bottom"/>
          </w:tcPr>
          <w:p w14:paraId="442F83FB" w14:textId="77777777" w:rsidR="00CC25B5" w:rsidRDefault="00CC25B5">
            <w:pPr>
              <w:rPr>
                <w:rFonts w:ascii="宋体"/>
              </w:rPr>
            </w:pPr>
          </w:p>
        </w:tc>
        <w:tc>
          <w:tcPr>
            <w:tcW w:w="804" w:type="pct"/>
            <w:shd w:val="clear" w:color="auto" w:fill="auto"/>
            <w:vAlign w:val="bottom"/>
          </w:tcPr>
          <w:p w14:paraId="442F83FC" w14:textId="77777777" w:rsidR="00CC25B5" w:rsidRDefault="00CC25B5">
            <w:pPr>
              <w:rPr>
                <w:rFonts w:ascii="宋体"/>
              </w:rPr>
            </w:pPr>
          </w:p>
        </w:tc>
        <w:tc>
          <w:tcPr>
            <w:tcW w:w="5" w:type="pct"/>
            <w:shd w:val="clear" w:color="auto" w:fill="auto"/>
            <w:vAlign w:val="bottom"/>
          </w:tcPr>
          <w:p w14:paraId="442F83FD" w14:textId="77777777" w:rsidR="00CC25B5" w:rsidRDefault="00CC25B5">
            <w:pPr>
              <w:rPr>
                <w:rFonts w:ascii="宋体"/>
              </w:rPr>
            </w:pPr>
          </w:p>
        </w:tc>
      </w:tr>
      <w:tr w:rsidR="00CC25B5" w14:paraId="442F840D" w14:textId="77777777">
        <w:tc>
          <w:tcPr>
            <w:tcW w:w="0" w:type="auto"/>
            <w:gridSpan w:val="3"/>
            <w:shd w:val="clear" w:color="auto" w:fill="auto"/>
            <w:tcMar>
              <w:top w:w="40" w:type="dxa"/>
              <w:left w:w="20" w:type="dxa"/>
              <w:bottom w:w="40" w:type="dxa"/>
              <w:right w:w="20" w:type="dxa"/>
            </w:tcMar>
            <w:vAlign w:val="bottom"/>
          </w:tcPr>
          <w:p w14:paraId="442F83FF" w14:textId="77777777" w:rsidR="00CC25B5" w:rsidRDefault="00900968">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vAlign w:val="bottom"/>
          </w:tcPr>
          <w:p w14:paraId="442F8400"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401" w14:textId="77777777" w:rsidR="00CC25B5" w:rsidRDefault="00900968">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442F8402"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403" w14:textId="77777777" w:rsidR="00CC25B5" w:rsidRDefault="00900968">
            <w:pPr>
              <w:jc w:val="center"/>
              <w:textAlignment w:val="bottom"/>
            </w:pPr>
            <w:r>
              <w:rPr>
                <w:rFonts w:ascii="Times New Roman" w:eastAsia="宋体" w:hAnsi="Times New Roman"/>
                <w:b/>
                <w:bCs/>
                <w:color w:val="000000"/>
                <w:sz w:val="16"/>
                <w:szCs w:val="16"/>
              </w:rPr>
              <w:t>Average</w:t>
            </w:r>
            <w:r>
              <w:rPr>
                <w:rFonts w:ascii="Times New Roman" w:eastAsia="宋体" w:hAnsi="Times New Roman"/>
                <w:b/>
                <w:bCs/>
                <w:color w:val="000000"/>
                <w:sz w:val="16"/>
                <w:szCs w:val="16"/>
              </w:rPr>
              <w:br/>
              <w:t>Price Paid</w:t>
            </w:r>
            <w:r>
              <w:rPr>
                <w:rFonts w:ascii="Times New Roman" w:eastAsia="宋体" w:hAnsi="Times New Roman"/>
                <w:b/>
                <w:bCs/>
                <w:color w:val="000000"/>
                <w:sz w:val="16"/>
                <w:szCs w:val="16"/>
              </w:rPr>
              <w:br/>
              <w:t>per Share</w:t>
            </w:r>
          </w:p>
        </w:tc>
        <w:tc>
          <w:tcPr>
            <w:tcW w:w="0" w:type="auto"/>
            <w:gridSpan w:val="3"/>
            <w:shd w:val="clear" w:color="auto" w:fill="auto"/>
            <w:tcMar>
              <w:top w:w="0" w:type="dxa"/>
              <w:left w:w="20" w:type="dxa"/>
              <w:bottom w:w="0" w:type="dxa"/>
              <w:right w:w="20" w:type="dxa"/>
            </w:tcMar>
            <w:vAlign w:val="bottom"/>
          </w:tcPr>
          <w:p w14:paraId="442F8404"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405" w14:textId="77777777" w:rsidR="00CC25B5" w:rsidRDefault="00900968">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442F8406"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407" w14:textId="77777777" w:rsidR="00CC25B5" w:rsidRDefault="00900968">
            <w:pPr>
              <w:jc w:val="center"/>
              <w:textAlignment w:val="bottom"/>
            </w:pPr>
            <w:r>
              <w:rPr>
                <w:rFonts w:ascii="Times New Roman" w:eastAsia="宋体" w:hAnsi="Times New Roman"/>
                <w:b/>
                <w:bCs/>
                <w:color w:val="000000"/>
                <w:sz w:val="16"/>
                <w:szCs w:val="16"/>
              </w:rPr>
              <w:t>Approximate Dollar </w:t>
            </w:r>
          </w:p>
          <w:p w14:paraId="442F8408" w14:textId="77777777" w:rsidR="00CC25B5" w:rsidRDefault="00900968">
            <w:pPr>
              <w:jc w:val="center"/>
              <w:textAlignment w:val="bottom"/>
            </w:pPr>
            <w:r>
              <w:rPr>
                <w:rFonts w:ascii="Times New Roman" w:eastAsia="宋体" w:hAnsi="Times New Roman"/>
                <w:b/>
                <w:bCs/>
                <w:color w:val="000000"/>
                <w:sz w:val="16"/>
                <w:szCs w:val="16"/>
              </w:rPr>
              <w:t>Value of Shares that</w:t>
            </w:r>
          </w:p>
          <w:p w14:paraId="442F8409" w14:textId="77777777" w:rsidR="00CC25B5" w:rsidRDefault="00900968">
            <w:pPr>
              <w:jc w:val="center"/>
              <w:textAlignment w:val="bottom"/>
            </w:pPr>
            <w:r>
              <w:rPr>
                <w:rFonts w:ascii="Times New Roman" w:eastAsia="宋体" w:hAnsi="Times New Roman"/>
                <w:b/>
                <w:bCs/>
                <w:color w:val="000000"/>
                <w:sz w:val="16"/>
                <w:szCs w:val="16"/>
              </w:rPr>
              <w:t>May Yet Be</w:t>
            </w:r>
          </w:p>
          <w:p w14:paraId="442F840A" w14:textId="77777777" w:rsidR="00CC25B5" w:rsidRDefault="00900968">
            <w:pPr>
              <w:jc w:val="center"/>
              <w:textAlignment w:val="bottom"/>
            </w:pPr>
            <w:r>
              <w:rPr>
                <w:rFonts w:ascii="Times New Roman" w:eastAsia="宋体" w:hAnsi="Times New Roman"/>
                <w:b/>
                <w:bCs/>
                <w:color w:val="000000"/>
                <w:sz w:val="16"/>
                <w:szCs w:val="16"/>
              </w:rPr>
              <w:t>Purchased Under the</w:t>
            </w:r>
          </w:p>
          <w:p w14:paraId="442F840B" w14:textId="77777777" w:rsidR="00CC25B5" w:rsidRDefault="00900968">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442F840C" w14:textId="77777777" w:rsidR="00CC25B5" w:rsidRDefault="00900968">
            <w:pPr>
              <w:jc w:val="center"/>
              <w:textAlignment w:val="bottom"/>
            </w:pPr>
            <w:r>
              <w:rPr>
                <w:rFonts w:ascii="Times New Roman" w:eastAsia="宋体" w:hAnsi="Times New Roman"/>
                <w:b/>
                <w:bCs/>
                <w:color w:val="000000"/>
                <w:sz w:val="16"/>
                <w:szCs w:val="16"/>
              </w:rPr>
              <w:t>(billions)</w:t>
            </w:r>
          </w:p>
        </w:tc>
      </w:tr>
      <w:tr w:rsidR="00CC25B5" w14:paraId="442F841D"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42F840E" w14:textId="77777777" w:rsidR="00CC25B5" w:rsidRDefault="00900968">
            <w:pPr>
              <w:textAlignment w:val="center"/>
            </w:pPr>
            <w:r>
              <w:rPr>
                <w:rFonts w:ascii="Times New Roman" w:eastAsia="宋体" w:hAnsi="Times New Roman"/>
                <w:color w:val="000000"/>
                <w:sz w:val="16"/>
                <w:szCs w:val="16"/>
              </w:rPr>
              <w:t>May 1 - 31, 2021</w:t>
            </w:r>
          </w:p>
        </w:tc>
        <w:tc>
          <w:tcPr>
            <w:tcW w:w="0" w:type="auto"/>
            <w:gridSpan w:val="3"/>
            <w:shd w:val="clear" w:color="auto" w:fill="CCEEFF"/>
            <w:tcMar>
              <w:top w:w="0" w:type="dxa"/>
              <w:left w:w="20" w:type="dxa"/>
              <w:bottom w:w="0" w:type="dxa"/>
              <w:right w:w="20" w:type="dxa"/>
            </w:tcMar>
            <w:vAlign w:val="bottom"/>
          </w:tcPr>
          <w:p w14:paraId="442F840F"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8410" w14:textId="77777777" w:rsidR="00CC25B5" w:rsidRDefault="00900968">
            <w:pPr>
              <w:jc w:val="right"/>
              <w:textAlignment w:val="center"/>
            </w:pPr>
            <w:r>
              <w:rPr>
                <w:rFonts w:ascii="Times New Roman" w:eastAsia="宋体" w:hAnsi="Times New Roman"/>
                <w:color w:val="000000"/>
                <w:sz w:val="16"/>
                <w:szCs w:val="16"/>
              </w:rPr>
              <w:t>5,141,955 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411"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412"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413"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414" w14:textId="77777777" w:rsidR="00CC25B5" w:rsidRDefault="00900968">
            <w:pPr>
              <w:jc w:val="right"/>
              <w:textAlignment w:val="center"/>
            </w:pPr>
            <w:r>
              <w:rPr>
                <w:rFonts w:ascii="Times New Roman" w:eastAsia="宋体" w:hAnsi="Times New Roman"/>
                <w:color w:val="000000"/>
                <w:sz w:val="16"/>
                <w:szCs w:val="16"/>
              </w:rPr>
              <w:t>140.73 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41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416" w14:textId="77777777" w:rsidR="00CC25B5" w:rsidRDefault="00CC25B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42F8417" w14:textId="77777777" w:rsidR="00CC25B5" w:rsidRDefault="00900968">
            <w:pPr>
              <w:jc w:val="right"/>
              <w:textAlignment w:val="center"/>
            </w:pPr>
            <w:r>
              <w:rPr>
                <w:rFonts w:ascii="Times New Roman" w:eastAsia="宋体" w:hAnsi="Times New Roman"/>
                <w:color w:val="000000"/>
                <w:sz w:val="16"/>
                <w:szCs w:val="16"/>
              </w:rPr>
              <w:t>5,141,955 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418"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419" w14:textId="77777777" w:rsidR="00CC25B5" w:rsidRDefault="00CC25B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42F841A" w14:textId="77777777" w:rsidR="00CC25B5" w:rsidRDefault="00900968">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42F841B" w14:textId="77777777" w:rsidR="00CC25B5" w:rsidRDefault="00900968">
            <w:pPr>
              <w:jc w:val="right"/>
              <w:textAlignment w:val="center"/>
            </w:pPr>
            <w:r>
              <w:rPr>
                <w:rFonts w:ascii="Times New Roman" w:eastAsia="宋体" w:hAnsi="Times New Roman"/>
                <w:color w:val="000000"/>
                <w:sz w:val="16"/>
                <w:szCs w:val="16"/>
              </w:rPr>
              <w:t>16.9 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42F841C" w14:textId="77777777" w:rsidR="00CC25B5" w:rsidRDefault="00CC25B5">
            <w:pPr>
              <w:jc w:val="right"/>
              <w:rPr>
                <w:rFonts w:ascii="宋体"/>
              </w:rPr>
            </w:pPr>
          </w:p>
        </w:tc>
      </w:tr>
      <w:tr w:rsidR="00CC25B5" w14:paraId="442F842B" w14:textId="77777777">
        <w:tc>
          <w:tcPr>
            <w:tcW w:w="0" w:type="auto"/>
            <w:gridSpan w:val="3"/>
            <w:shd w:val="clear" w:color="auto" w:fill="FFFFFF"/>
            <w:tcMar>
              <w:top w:w="40" w:type="dxa"/>
              <w:left w:w="20" w:type="dxa"/>
              <w:bottom w:w="40" w:type="dxa"/>
              <w:right w:w="20" w:type="dxa"/>
            </w:tcMar>
            <w:vAlign w:val="center"/>
          </w:tcPr>
          <w:p w14:paraId="442F841E" w14:textId="77777777" w:rsidR="00CC25B5" w:rsidRDefault="00900968">
            <w:pPr>
              <w:textAlignment w:val="center"/>
            </w:pPr>
            <w:r>
              <w:rPr>
                <w:rFonts w:ascii="Times New Roman" w:eastAsia="宋体" w:hAnsi="Times New Roman"/>
                <w:color w:val="000000"/>
                <w:sz w:val="16"/>
                <w:szCs w:val="16"/>
              </w:rPr>
              <w:t>June 1 - 30, 2021</w:t>
            </w:r>
          </w:p>
        </w:tc>
        <w:tc>
          <w:tcPr>
            <w:tcW w:w="0" w:type="auto"/>
            <w:gridSpan w:val="3"/>
            <w:shd w:val="clear" w:color="auto" w:fill="FFFFFF"/>
            <w:tcMar>
              <w:top w:w="0" w:type="dxa"/>
              <w:left w:w="20" w:type="dxa"/>
              <w:bottom w:w="0" w:type="dxa"/>
              <w:right w:w="20" w:type="dxa"/>
            </w:tcMar>
            <w:vAlign w:val="bottom"/>
          </w:tcPr>
          <w:p w14:paraId="442F841F"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420" w14:textId="77777777" w:rsidR="00CC25B5" w:rsidRDefault="00900968">
            <w:pPr>
              <w:jc w:val="right"/>
              <w:textAlignment w:val="center"/>
            </w:pPr>
            <w:r>
              <w:rPr>
                <w:rFonts w:ascii="Times New Roman" w:eastAsia="宋体" w:hAnsi="Times New Roman"/>
                <w:color w:val="000000"/>
                <w:sz w:val="16"/>
                <w:szCs w:val="16"/>
              </w:rPr>
              <w:t>6,521,995 </w:t>
            </w:r>
          </w:p>
        </w:tc>
        <w:tc>
          <w:tcPr>
            <w:tcW w:w="0" w:type="auto"/>
            <w:shd w:val="clear" w:color="auto" w:fill="FFFFFF"/>
            <w:tcMar>
              <w:top w:w="40" w:type="dxa"/>
              <w:left w:w="0" w:type="dxa"/>
              <w:bottom w:w="40" w:type="dxa"/>
              <w:right w:w="20" w:type="dxa"/>
            </w:tcMar>
            <w:vAlign w:val="center"/>
          </w:tcPr>
          <w:p w14:paraId="442F8421"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422"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423" w14:textId="77777777" w:rsidR="00CC25B5" w:rsidRDefault="00900968">
            <w:pPr>
              <w:jc w:val="right"/>
              <w:textAlignment w:val="center"/>
            </w:pPr>
            <w:r>
              <w:rPr>
                <w:rFonts w:ascii="Times New Roman" w:eastAsia="宋体" w:hAnsi="Times New Roman"/>
                <w:color w:val="000000"/>
                <w:sz w:val="16"/>
                <w:szCs w:val="16"/>
              </w:rPr>
              <w:t>138.89 </w:t>
            </w:r>
          </w:p>
        </w:tc>
        <w:tc>
          <w:tcPr>
            <w:tcW w:w="0" w:type="auto"/>
            <w:shd w:val="clear" w:color="auto" w:fill="FFFFFF"/>
            <w:tcMar>
              <w:top w:w="40" w:type="dxa"/>
              <w:left w:w="0" w:type="dxa"/>
              <w:bottom w:w="40" w:type="dxa"/>
              <w:right w:w="20" w:type="dxa"/>
            </w:tcMar>
            <w:vAlign w:val="center"/>
          </w:tcPr>
          <w:p w14:paraId="442F8424"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425"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426" w14:textId="77777777" w:rsidR="00CC25B5" w:rsidRDefault="00900968">
            <w:pPr>
              <w:jc w:val="right"/>
              <w:textAlignment w:val="center"/>
            </w:pPr>
            <w:r>
              <w:rPr>
                <w:rFonts w:ascii="Times New Roman" w:eastAsia="宋体" w:hAnsi="Times New Roman"/>
                <w:color w:val="000000"/>
                <w:sz w:val="16"/>
                <w:szCs w:val="16"/>
              </w:rPr>
              <w:t>6,521,995 </w:t>
            </w:r>
          </w:p>
        </w:tc>
        <w:tc>
          <w:tcPr>
            <w:tcW w:w="0" w:type="auto"/>
            <w:shd w:val="clear" w:color="auto" w:fill="FFFFFF"/>
            <w:tcMar>
              <w:top w:w="40" w:type="dxa"/>
              <w:left w:w="0" w:type="dxa"/>
              <w:bottom w:w="40" w:type="dxa"/>
              <w:right w:w="20" w:type="dxa"/>
            </w:tcMar>
            <w:vAlign w:val="center"/>
          </w:tcPr>
          <w:p w14:paraId="442F8427"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428" w14:textId="77777777" w:rsidR="00CC25B5" w:rsidRDefault="00CC25B5">
            <w:pPr>
              <w:rPr>
                <w:rFonts w:ascii="宋体"/>
              </w:rPr>
            </w:pPr>
          </w:p>
        </w:tc>
        <w:tc>
          <w:tcPr>
            <w:tcW w:w="0" w:type="auto"/>
            <w:gridSpan w:val="2"/>
            <w:shd w:val="clear" w:color="auto" w:fill="FFFFFF"/>
            <w:tcMar>
              <w:top w:w="40" w:type="dxa"/>
              <w:left w:w="20" w:type="dxa"/>
              <w:bottom w:w="40" w:type="dxa"/>
              <w:right w:w="0" w:type="dxa"/>
            </w:tcMar>
            <w:vAlign w:val="center"/>
          </w:tcPr>
          <w:p w14:paraId="442F8429" w14:textId="77777777" w:rsidR="00CC25B5" w:rsidRDefault="00900968">
            <w:pPr>
              <w:jc w:val="right"/>
              <w:textAlignment w:val="center"/>
            </w:pPr>
            <w:r>
              <w:rPr>
                <w:rFonts w:ascii="Times New Roman" w:eastAsia="宋体" w:hAnsi="Times New Roman"/>
                <w:color w:val="000000"/>
                <w:sz w:val="16"/>
                <w:szCs w:val="16"/>
              </w:rPr>
              <w:t>16.0 </w:t>
            </w:r>
          </w:p>
        </w:tc>
        <w:tc>
          <w:tcPr>
            <w:tcW w:w="0" w:type="auto"/>
            <w:shd w:val="clear" w:color="auto" w:fill="FFFFFF"/>
            <w:tcMar>
              <w:top w:w="40" w:type="dxa"/>
              <w:left w:w="0" w:type="dxa"/>
              <w:bottom w:w="40" w:type="dxa"/>
              <w:right w:w="20" w:type="dxa"/>
            </w:tcMar>
            <w:vAlign w:val="center"/>
          </w:tcPr>
          <w:p w14:paraId="442F842A" w14:textId="77777777" w:rsidR="00CC25B5" w:rsidRDefault="00CC25B5">
            <w:pPr>
              <w:jc w:val="right"/>
              <w:rPr>
                <w:rFonts w:ascii="宋体"/>
              </w:rPr>
            </w:pPr>
          </w:p>
        </w:tc>
      </w:tr>
      <w:tr w:rsidR="00CC25B5" w14:paraId="442F8439" w14:textId="77777777">
        <w:tc>
          <w:tcPr>
            <w:tcW w:w="0" w:type="auto"/>
            <w:gridSpan w:val="3"/>
            <w:shd w:val="clear" w:color="auto" w:fill="CCEEFF"/>
            <w:tcMar>
              <w:top w:w="40" w:type="dxa"/>
              <w:left w:w="20" w:type="dxa"/>
              <w:bottom w:w="40" w:type="dxa"/>
              <w:right w:w="20" w:type="dxa"/>
            </w:tcMar>
            <w:vAlign w:val="center"/>
          </w:tcPr>
          <w:p w14:paraId="442F842C" w14:textId="77777777" w:rsidR="00CC25B5" w:rsidRDefault="00900968">
            <w:pPr>
              <w:textAlignment w:val="center"/>
            </w:pPr>
            <w:r>
              <w:rPr>
                <w:rFonts w:ascii="Times New Roman" w:eastAsia="宋体" w:hAnsi="Times New Roman"/>
                <w:color w:val="000000"/>
                <w:sz w:val="16"/>
                <w:szCs w:val="16"/>
              </w:rPr>
              <w:t>July 1 - 31, 2021</w:t>
            </w:r>
          </w:p>
        </w:tc>
        <w:tc>
          <w:tcPr>
            <w:tcW w:w="0" w:type="auto"/>
            <w:gridSpan w:val="3"/>
            <w:shd w:val="clear" w:color="auto" w:fill="CCEEFF"/>
            <w:tcMar>
              <w:top w:w="0" w:type="dxa"/>
              <w:left w:w="20" w:type="dxa"/>
              <w:bottom w:w="0" w:type="dxa"/>
              <w:right w:w="20" w:type="dxa"/>
            </w:tcMar>
            <w:vAlign w:val="bottom"/>
          </w:tcPr>
          <w:p w14:paraId="442F842D"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42E" w14:textId="77777777" w:rsidR="00CC25B5" w:rsidRDefault="00900968">
            <w:pPr>
              <w:jc w:val="right"/>
              <w:textAlignment w:val="center"/>
            </w:pPr>
            <w:r>
              <w:rPr>
                <w:rFonts w:ascii="Times New Roman" w:eastAsia="宋体" w:hAnsi="Times New Roman"/>
                <w:color w:val="000000"/>
                <w:sz w:val="16"/>
                <w:szCs w:val="16"/>
              </w:rPr>
              <w:t>5,242,319 </w:t>
            </w:r>
          </w:p>
        </w:tc>
        <w:tc>
          <w:tcPr>
            <w:tcW w:w="0" w:type="auto"/>
            <w:shd w:val="clear" w:color="auto" w:fill="CCEEFF"/>
            <w:tcMar>
              <w:top w:w="40" w:type="dxa"/>
              <w:left w:w="0" w:type="dxa"/>
              <w:bottom w:w="40" w:type="dxa"/>
              <w:right w:w="20" w:type="dxa"/>
            </w:tcMar>
            <w:vAlign w:val="center"/>
          </w:tcPr>
          <w:p w14:paraId="442F842F"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430"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431" w14:textId="77777777" w:rsidR="00CC25B5" w:rsidRDefault="00900968">
            <w:pPr>
              <w:jc w:val="right"/>
              <w:textAlignment w:val="center"/>
            </w:pPr>
            <w:r>
              <w:rPr>
                <w:rFonts w:ascii="Times New Roman" w:eastAsia="宋体" w:hAnsi="Times New Roman"/>
                <w:color w:val="000000"/>
                <w:sz w:val="16"/>
                <w:szCs w:val="16"/>
              </w:rPr>
              <w:t>141.11 </w:t>
            </w:r>
          </w:p>
        </w:tc>
        <w:tc>
          <w:tcPr>
            <w:tcW w:w="0" w:type="auto"/>
            <w:shd w:val="clear" w:color="auto" w:fill="CCEEFF"/>
            <w:tcMar>
              <w:top w:w="40" w:type="dxa"/>
              <w:left w:w="0" w:type="dxa"/>
              <w:bottom w:w="40" w:type="dxa"/>
              <w:right w:w="20" w:type="dxa"/>
            </w:tcMar>
            <w:vAlign w:val="center"/>
          </w:tcPr>
          <w:p w14:paraId="442F8432"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433"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434" w14:textId="77777777" w:rsidR="00CC25B5" w:rsidRDefault="00900968">
            <w:pPr>
              <w:jc w:val="right"/>
              <w:textAlignment w:val="center"/>
            </w:pPr>
            <w:r>
              <w:rPr>
                <w:rFonts w:ascii="Times New Roman" w:eastAsia="宋体" w:hAnsi="Times New Roman"/>
                <w:color w:val="000000"/>
                <w:sz w:val="16"/>
                <w:szCs w:val="16"/>
              </w:rPr>
              <w:t>5,242,319 </w:t>
            </w:r>
          </w:p>
        </w:tc>
        <w:tc>
          <w:tcPr>
            <w:tcW w:w="0" w:type="auto"/>
            <w:shd w:val="clear" w:color="auto" w:fill="CCEEFF"/>
            <w:tcMar>
              <w:top w:w="40" w:type="dxa"/>
              <w:left w:w="0" w:type="dxa"/>
              <w:bottom w:w="40" w:type="dxa"/>
              <w:right w:w="20" w:type="dxa"/>
            </w:tcMar>
            <w:vAlign w:val="center"/>
          </w:tcPr>
          <w:p w14:paraId="442F8435" w14:textId="77777777" w:rsidR="00CC25B5" w:rsidRDefault="00CC25B5">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F8436" w14:textId="77777777" w:rsidR="00CC25B5" w:rsidRDefault="00CC25B5">
            <w:pPr>
              <w:rPr>
                <w:rFonts w:ascii="宋体"/>
              </w:rPr>
            </w:pPr>
          </w:p>
        </w:tc>
        <w:tc>
          <w:tcPr>
            <w:tcW w:w="0" w:type="auto"/>
            <w:gridSpan w:val="2"/>
            <w:shd w:val="clear" w:color="auto" w:fill="CCEEFF"/>
            <w:tcMar>
              <w:top w:w="40" w:type="dxa"/>
              <w:left w:w="20" w:type="dxa"/>
              <w:bottom w:w="40" w:type="dxa"/>
              <w:right w:w="0" w:type="dxa"/>
            </w:tcMar>
            <w:vAlign w:val="center"/>
          </w:tcPr>
          <w:p w14:paraId="442F8437" w14:textId="77777777" w:rsidR="00CC25B5" w:rsidRDefault="00900968">
            <w:pPr>
              <w:jc w:val="right"/>
              <w:textAlignment w:val="center"/>
            </w:pPr>
            <w:r>
              <w:rPr>
                <w:rFonts w:ascii="Times New Roman" w:eastAsia="宋体" w:hAnsi="Times New Roman"/>
                <w:color w:val="000000"/>
                <w:sz w:val="16"/>
                <w:szCs w:val="16"/>
              </w:rPr>
              <w:t>15.2 </w:t>
            </w:r>
          </w:p>
        </w:tc>
        <w:tc>
          <w:tcPr>
            <w:tcW w:w="0" w:type="auto"/>
            <w:shd w:val="clear" w:color="auto" w:fill="CCEEFF"/>
            <w:tcMar>
              <w:top w:w="40" w:type="dxa"/>
              <w:left w:w="0" w:type="dxa"/>
              <w:bottom w:w="40" w:type="dxa"/>
              <w:right w:w="20" w:type="dxa"/>
            </w:tcMar>
            <w:vAlign w:val="center"/>
          </w:tcPr>
          <w:p w14:paraId="442F8438" w14:textId="77777777" w:rsidR="00CC25B5" w:rsidRDefault="00CC25B5">
            <w:pPr>
              <w:jc w:val="right"/>
              <w:rPr>
                <w:rFonts w:ascii="宋体"/>
              </w:rPr>
            </w:pPr>
          </w:p>
        </w:tc>
      </w:tr>
      <w:tr w:rsidR="00CC25B5" w14:paraId="442F8445" w14:textId="77777777">
        <w:tc>
          <w:tcPr>
            <w:tcW w:w="0" w:type="auto"/>
            <w:gridSpan w:val="3"/>
            <w:shd w:val="clear" w:color="auto" w:fill="FFFFFF"/>
            <w:tcMar>
              <w:top w:w="40" w:type="dxa"/>
              <w:left w:w="20" w:type="dxa"/>
              <w:bottom w:w="40" w:type="dxa"/>
              <w:right w:w="20" w:type="dxa"/>
            </w:tcMar>
            <w:vAlign w:val="center"/>
          </w:tcPr>
          <w:p w14:paraId="442F843A" w14:textId="77777777" w:rsidR="00CC25B5" w:rsidRDefault="00900968">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442F843B" w14:textId="77777777" w:rsidR="00CC25B5" w:rsidRDefault="00CC25B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843C" w14:textId="77777777" w:rsidR="00CC25B5" w:rsidRDefault="00900968">
            <w:pPr>
              <w:jc w:val="right"/>
              <w:textAlignment w:val="center"/>
            </w:pPr>
            <w:r>
              <w:rPr>
                <w:rFonts w:ascii="Times New Roman" w:eastAsia="宋体" w:hAnsi="Times New Roman"/>
                <w:color w:val="000000"/>
                <w:sz w:val="16"/>
                <w:szCs w:val="16"/>
              </w:rPr>
              <w:t>16,906,269 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843D"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43E"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43F"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440" w14:textId="77777777" w:rsidR="00CC25B5" w:rsidRDefault="00CC25B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42F8441" w14:textId="77777777" w:rsidR="00CC25B5" w:rsidRDefault="00900968">
            <w:pPr>
              <w:jc w:val="right"/>
              <w:textAlignment w:val="center"/>
            </w:pPr>
            <w:r>
              <w:rPr>
                <w:rFonts w:ascii="Times New Roman" w:eastAsia="宋体" w:hAnsi="Times New Roman"/>
                <w:color w:val="000000"/>
                <w:sz w:val="16"/>
                <w:szCs w:val="16"/>
              </w:rPr>
              <w:t>16,906,269 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42F8442" w14:textId="77777777" w:rsidR="00CC25B5" w:rsidRDefault="00CC25B5">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F8443" w14:textId="77777777" w:rsidR="00CC25B5" w:rsidRDefault="00CC25B5">
            <w:pPr>
              <w:rPr>
                <w:rFonts w:ascii="宋体"/>
              </w:rPr>
            </w:pPr>
          </w:p>
        </w:tc>
        <w:tc>
          <w:tcPr>
            <w:tcW w:w="0" w:type="auto"/>
            <w:gridSpan w:val="3"/>
            <w:shd w:val="clear" w:color="auto" w:fill="FFFFFF"/>
            <w:tcMar>
              <w:top w:w="0" w:type="dxa"/>
              <w:left w:w="20" w:type="dxa"/>
              <w:bottom w:w="0" w:type="dxa"/>
              <w:right w:w="20" w:type="dxa"/>
            </w:tcMar>
            <w:vAlign w:val="bottom"/>
          </w:tcPr>
          <w:p w14:paraId="442F8444" w14:textId="77777777" w:rsidR="00CC25B5" w:rsidRDefault="00CC25B5">
            <w:pPr>
              <w:rPr>
                <w:rFonts w:ascii="宋体"/>
              </w:rPr>
            </w:pPr>
          </w:p>
        </w:tc>
      </w:tr>
    </w:tbl>
    <w:p w14:paraId="442F8446" w14:textId="77777777" w:rsidR="00CC25B5" w:rsidRDefault="00900968">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approximate dollar value of shares that could have been purchased under the plan in effect at the end of the month.</w:t>
      </w:r>
    </w:p>
    <w:p w14:paraId="442F8447" w14:textId="77777777" w:rsidR="00CC25B5" w:rsidRDefault="00900968">
      <w:pPr>
        <w:spacing w:before="240"/>
      </w:pPr>
      <w:r>
        <w:rPr>
          <w:rFonts w:ascii="Times New Roman" w:eastAsia="宋体" w:hAnsi="Times New Roman"/>
          <w:b/>
          <w:bCs/>
          <w:color w:val="000000"/>
          <w:sz w:val="20"/>
          <w:szCs w:val="20"/>
        </w:rPr>
        <w:t>Item 5. Other Information</w:t>
      </w:r>
    </w:p>
    <w:p w14:paraId="442F8448" w14:textId="77777777" w:rsidR="00CC25B5" w:rsidRDefault="00900968">
      <w:pPr>
        <w:spacing w:before="180"/>
      </w:pPr>
      <w:r>
        <w:rPr>
          <w:rFonts w:ascii="Times New Roman" w:eastAsia="宋体" w:hAnsi="Times New Roman"/>
          <w:b/>
          <w:bCs/>
          <w:i/>
          <w:iCs/>
          <w:color w:val="000000"/>
          <w:sz w:val="20"/>
          <w:szCs w:val="20"/>
        </w:rPr>
        <w:t>Cautionary Statement Regarding Forward-Looking Statements</w:t>
      </w:r>
    </w:p>
    <w:p w14:paraId="442F8449" w14:textId="77777777" w:rsidR="00CC25B5" w:rsidRDefault="00900968">
      <w:pPr>
        <w:spacing w:before="100"/>
      </w:pPr>
      <w:r>
        <w:rPr>
          <w:rFonts w:ascii="Times New Roman" w:eastAsia="宋体" w:hAnsi="Times New Roman"/>
          <w:color w:val="000000"/>
          <w:sz w:val="20"/>
          <w:szCs w:val="20"/>
        </w:rPr>
        <w:t xml:space="preserve">This Quarterly Report on Form 10-Q </w:t>
      </w:r>
      <w:r>
        <w:rPr>
          <w:rFonts w:ascii="Times New Roman" w:eastAsia="宋体" w:hAnsi="Times New Roman"/>
          <w:color w:val="000000"/>
          <w:sz w:val="20"/>
          <w:szCs w:val="20"/>
        </w:rPr>
        <w:t>contains statements that Walmart believes are "forward-looking statements" within the meaning of the Private Securities Litigation Reform Act of 1995. Those forward-looking statements are intended to enjoy the protection of the safe harbor for forward-look</w:t>
      </w:r>
      <w:r>
        <w:rPr>
          <w:rFonts w:ascii="Times New Roman" w:eastAsia="宋体" w:hAnsi="Times New Roman"/>
          <w:color w:val="000000"/>
          <w:sz w:val="20"/>
          <w:szCs w:val="20"/>
        </w:rPr>
        <w:t>ing statements provided by that Act as well as protections afforded by other federal securities laws.</w:t>
      </w:r>
    </w:p>
    <w:p w14:paraId="442F844A" w14:textId="77777777" w:rsidR="00CC25B5" w:rsidRDefault="00900968">
      <w:pPr>
        <w:spacing w:before="180"/>
      </w:pPr>
      <w:r>
        <w:rPr>
          <w:rFonts w:ascii="Times New Roman" w:eastAsia="宋体" w:hAnsi="Times New Roman"/>
          <w:b/>
          <w:bCs/>
          <w:i/>
          <w:iCs/>
          <w:color w:val="000000"/>
          <w:sz w:val="20"/>
          <w:szCs w:val="20"/>
        </w:rPr>
        <w:t>Forward-looking Statements</w:t>
      </w:r>
    </w:p>
    <w:p w14:paraId="442F844B" w14:textId="77777777" w:rsidR="00CC25B5" w:rsidRDefault="00900968">
      <w:pPr>
        <w:spacing w:before="100"/>
      </w:pPr>
      <w:r>
        <w:rPr>
          <w:rFonts w:ascii="Times New Roman" w:eastAsia="宋体" w:hAnsi="Times New Roman"/>
          <w:color w:val="000000"/>
          <w:sz w:val="20"/>
          <w:szCs w:val="20"/>
        </w:rPr>
        <w:t xml:space="preserve">The forward-looking statements in this report include, among other things: </w:t>
      </w:r>
    </w:p>
    <w:p w14:paraId="442F844C" w14:textId="77777777" w:rsidR="00CC25B5" w:rsidRDefault="00900968">
      <w:pPr>
        <w:spacing w:before="100"/>
        <w:ind w:hanging="360"/>
      </w:pPr>
      <w:r>
        <w:rPr>
          <w:rFonts w:ascii="Times New Roman" w:eastAsia="宋体" w:hAnsi="Times New Roman"/>
          <w:color w:val="000000"/>
          <w:sz w:val="20"/>
          <w:szCs w:val="20"/>
        </w:rPr>
        <w:t xml:space="preserve">•statements in </w:t>
      </w:r>
      <w:hyperlink r:id="rId86" w:anchor="ie1710166881948a18c44f48eaa2dcf00_58"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those Condensed Consolidated Financial Statements regarding the possible outcome of, and future effect on Walmart's financial con</w:t>
      </w:r>
      <w:r>
        <w:rPr>
          <w:rFonts w:ascii="Times New Roman" w:eastAsia="宋体" w:hAnsi="Times New Roman"/>
          <w:color w:val="000000"/>
          <w:sz w:val="20"/>
          <w:szCs w:val="20"/>
        </w:rPr>
        <w:t>dition and results of operations of, certain litigation and other proceedings to which Walmart is a party, the possible outcome of, and future effect on Walmart's business of, certain other matters to which Walmart is subject, including the Company's Opioi</w:t>
      </w:r>
      <w:r>
        <w:rPr>
          <w:rFonts w:ascii="Times New Roman" w:eastAsia="宋体" w:hAnsi="Times New Roman"/>
          <w:color w:val="000000"/>
          <w:sz w:val="20"/>
          <w:szCs w:val="20"/>
        </w:rPr>
        <w:t>ds Litigation as well as Walmart's ongoing indemnification obligation for the Asda Equal Value Claims and the liabilities, losses, expenses and costs that Walmart may incur in connection with such matters;</w:t>
      </w:r>
    </w:p>
    <w:p w14:paraId="442F844D" w14:textId="77777777" w:rsidR="00CC25B5" w:rsidRDefault="00900968">
      <w:pPr>
        <w:spacing w:before="100"/>
        <w:ind w:hanging="360"/>
      </w:pPr>
      <w:r>
        <w:rPr>
          <w:rFonts w:ascii="Times New Roman" w:eastAsia="宋体" w:hAnsi="Times New Roman"/>
          <w:color w:val="000000"/>
          <w:sz w:val="20"/>
          <w:szCs w:val="20"/>
        </w:rPr>
        <w:t>•in Part I, Item 2 "</w:t>
      </w:r>
      <w:hyperlink r:id="rId87" w:anchor="ie1710166881948a18c44f48eaa2dcf00_64"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color w:val="000000"/>
          <w:sz w:val="20"/>
          <w:szCs w:val="20"/>
        </w:rPr>
        <w:t>": statements regarding future changes to our bu</w:t>
      </w:r>
      <w:r>
        <w:rPr>
          <w:rFonts w:ascii="Times New Roman" w:eastAsia="宋体" w:hAnsi="Times New Roman"/>
          <w:color w:val="000000"/>
          <w:sz w:val="20"/>
          <w:szCs w:val="20"/>
        </w:rPr>
        <w:t>siness and our expectations about the potential impacts on our business, financial position, results of operations or cash flows as a result of the COVID-19 pandemic; statements under the caption "</w:t>
      </w:r>
      <w:hyperlink r:id="rId88" w:anchor="ie1710166881948a18c44f48eaa2dcf00_67" w:history="1">
        <w:r>
          <w:rPr>
            <w:rStyle w:val="a5"/>
            <w:rFonts w:ascii="Times New Roman" w:eastAsia="宋体" w:hAnsi="Times New Roman"/>
            <w:sz w:val="20"/>
            <w:szCs w:val="20"/>
          </w:rPr>
          <w:t>Overview</w:t>
        </w:r>
      </w:hyperlink>
      <w:r>
        <w:rPr>
          <w:rFonts w:ascii="Times New Roman" w:eastAsia="宋体" w:hAnsi="Times New Roman"/>
          <w:color w:val="000000"/>
          <w:sz w:val="20"/>
          <w:szCs w:val="20"/>
        </w:rPr>
        <w:t>" relating to the possible impact of volatility in currency exchange rates on the results, including net sales and operating income, of Walmart and the Wa</w:t>
      </w:r>
      <w:r>
        <w:rPr>
          <w:rFonts w:ascii="Times New Roman" w:eastAsia="宋体" w:hAnsi="Times New Roman"/>
          <w:color w:val="000000"/>
          <w:sz w:val="20"/>
          <w:szCs w:val="20"/>
        </w:rPr>
        <w:t>lmart International segment; statements under the caption "</w:t>
      </w:r>
      <w:hyperlink r:id="rId89" w:anchor="ie1710166881948a18c44f48eaa2dcf00_73" w:history="1">
        <w:r>
          <w:rPr>
            <w:rStyle w:val="a5"/>
            <w:rFonts w:ascii="Times New Roman" w:eastAsia="宋体" w:hAnsi="Times New Roman"/>
            <w:sz w:val="20"/>
            <w:szCs w:val="20"/>
          </w:rPr>
          <w:t>Company Performance Metrics - Strong, Efficient</w:t>
        </w:r>
        <w:r>
          <w:rPr>
            <w:rStyle w:val="a5"/>
            <w:rFonts w:ascii="Times New Roman" w:eastAsia="宋体" w:hAnsi="Times New Roman"/>
            <w:sz w:val="20"/>
            <w:szCs w:val="20"/>
          </w:rPr>
          <w:t xml:space="preserve"> Growth</w:t>
        </w:r>
      </w:hyperlink>
      <w:r>
        <w:rPr>
          <w:rFonts w:ascii="Times New Roman" w:eastAsia="宋体" w:hAnsi="Times New Roman"/>
          <w:color w:val="000000"/>
          <w:sz w:val="20"/>
          <w:szCs w:val="20"/>
        </w:rPr>
        <w:t>" regarding the focus of our investments and the impact of such investments; statements under the caption "</w:t>
      </w:r>
      <w:hyperlink r:id="rId90" w:anchor="ie1710166881948a18c44f48eaa2dcf00_79" w:history="1">
        <w:r>
          <w:rPr>
            <w:rStyle w:val="a5"/>
            <w:rFonts w:ascii="Times New Roman" w:eastAsia="宋体" w:hAnsi="Times New Roman"/>
            <w:sz w:val="20"/>
            <w:szCs w:val="20"/>
          </w:rPr>
          <w:t>Company Performance Metrics – Strategic Capital Allocation</w:t>
        </w:r>
      </w:hyperlink>
      <w:r>
        <w:rPr>
          <w:rFonts w:ascii="Times New Roman" w:eastAsia="宋体" w:hAnsi="Times New Roman"/>
          <w:color w:val="000000"/>
          <w:sz w:val="20"/>
          <w:szCs w:val="20"/>
        </w:rPr>
        <w:t>" 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caption "</w:t>
      </w:r>
      <w:hyperlink r:id="rId91" w:anchor="ie1710166881948a18c44f48eaa2dcf00_70" w:history="1">
        <w:r>
          <w:rPr>
            <w:rStyle w:val="a5"/>
            <w:rFonts w:ascii="Times New Roman" w:eastAsia="宋体" w:hAnsi="Times New Roman"/>
            <w:sz w:val="20"/>
            <w:szCs w:val="20"/>
          </w:rPr>
          <w:t>Company Performance Metrics</w:t>
        </w:r>
      </w:hyperlink>
      <w:r>
        <w:rPr>
          <w:rFonts w:ascii="Times New Roman" w:eastAsia="宋体" w:hAnsi="Times New Roman"/>
          <w:color w:val="000000"/>
          <w:sz w:val="20"/>
          <w:szCs w:val="20"/>
        </w:rPr>
        <w:t xml:space="preserve"> - </w:t>
      </w:r>
      <w:hyperlink r:id="rId92" w:anchor="ie1710166881948a18c44f48eaa2dcf00_82" w:history="1">
        <w:r>
          <w:rPr>
            <w:rStyle w:val="a5"/>
            <w:rFonts w:ascii="Times New Roman" w:eastAsia="宋体" w:hAnsi="Times New Roman"/>
            <w:sz w:val="20"/>
            <w:szCs w:val="20"/>
          </w:rPr>
          <w:t>Returns</w:t>
        </w:r>
      </w:hyperlink>
      <w:r>
        <w:rPr>
          <w:rFonts w:ascii="Times New Roman" w:eastAsia="宋体" w:hAnsi="Times New Roman"/>
          <w:color w:val="000000"/>
          <w:sz w:val="20"/>
          <w:szCs w:val="20"/>
        </w:rPr>
        <w:t xml:space="preserve">" regarding our belief that returns on capital will improve as we execute on our strategic framework; </w:t>
      </w:r>
    </w:p>
    <w:p w14:paraId="442F844E" w14:textId="77777777" w:rsidR="00CC25B5" w:rsidRDefault="00900968">
      <w:pPr>
        <w:jc w:val="center"/>
      </w:pPr>
      <w:r>
        <w:rPr>
          <w:rFonts w:ascii="Times New Roman" w:eastAsia="宋体" w:hAnsi="Times New Roman"/>
          <w:color w:val="000000"/>
          <w:sz w:val="20"/>
          <w:szCs w:val="20"/>
        </w:rPr>
        <w:t>29</w:t>
      </w:r>
    </w:p>
    <w:p w14:paraId="442F844F" w14:textId="77777777" w:rsidR="00CC25B5" w:rsidRDefault="00900968">
      <w:r>
        <w:pict w14:anchorId="442F85E6">
          <v:rect id="_x0000_i1053" style="width:415.3pt;height:1.5pt" o:hralign="center" o:hrstd="t" o:hr="t" fillcolor="#a0a0a0" stroked="f"/>
        </w:pict>
      </w:r>
    </w:p>
    <w:p w14:paraId="442F8450" w14:textId="77777777" w:rsidR="00CC25B5" w:rsidRDefault="00900968">
      <w:hyperlink r:id="rId93" w:anchor="ie1710166881948a18c44f48eaa2dcf00_7" w:history="1">
        <w:r>
          <w:rPr>
            <w:rStyle w:val="a5"/>
            <w:rFonts w:ascii="Times New Roman" w:eastAsia="宋体" w:hAnsi="Times New Roman"/>
            <w:sz w:val="20"/>
            <w:szCs w:val="20"/>
          </w:rPr>
          <w:t>Table of Contents</w:t>
        </w:r>
      </w:hyperlink>
    </w:p>
    <w:p w14:paraId="442F8451" w14:textId="77777777" w:rsidR="00CC25B5" w:rsidRDefault="00900968">
      <w:pPr>
        <w:spacing w:before="100"/>
      </w:pPr>
      <w:r>
        <w:rPr>
          <w:rFonts w:ascii="Times New Roman" w:eastAsia="宋体" w:hAnsi="Times New Roman"/>
          <w:color w:val="000000"/>
          <w:sz w:val="20"/>
          <w:szCs w:val="20"/>
        </w:rPr>
        <w:t>statements under the caption "</w:t>
      </w:r>
      <w:hyperlink r:id="rId94" w:anchor="ie1710166881948a18c44f48eaa2dcf00_88" w:history="1">
        <w:r>
          <w:rPr>
            <w:rStyle w:val="a5"/>
            <w:rFonts w:ascii="Times New Roman" w:eastAsia="宋体" w:hAnsi="Times New Roman"/>
            <w:sz w:val="20"/>
            <w:szCs w:val="20"/>
          </w:rPr>
          <w:t>Results of Operations - Consolidated Results of Operations</w:t>
        </w:r>
      </w:hyperlink>
      <w:r>
        <w:rPr>
          <w:rFonts w:ascii="Times New Roman" w:eastAsia="宋体" w:hAnsi="Times New Roman"/>
          <w:color w:val="000000"/>
          <w:sz w:val="20"/>
          <w:szCs w:val="20"/>
        </w:rPr>
        <w:t>" regarding the possibility of fluctuations in Walmart's effective income tax rate from quarter to qu</w:t>
      </w:r>
      <w:r>
        <w:rPr>
          <w:rFonts w:ascii="Times New Roman" w:eastAsia="宋体" w:hAnsi="Times New Roman"/>
          <w:color w:val="000000"/>
          <w:sz w:val="20"/>
          <w:szCs w:val="20"/>
        </w:rPr>
        <w:t>arter and the factors that may cause those fluctuations; a statement under the caption "</w:t>
      </w:r>
      <w:hyperlink r:id="rId95" w:anchor="ie1710166881948a18c44f48eaa2dcf00_97" w:history="1">
        <w:r>
          <w:rPr>
            <w:rStyle w:val="a5"/>
            <w:rFonts w:ascii="Times New Roman" w:eastAsia="宋体" w:hAnsi="Times New Roman"/>
            <w:sz w:val="20"/>
            <w:szCs w:val="20"/>
          </w:rPr>
          <w:t>Results of Operati</w:t>
        </w:r>
        <w:r>
          <w:rPr>
            <w:rStyle w:val="a5"/>
            <w:rFonts w:ascii="Times New Roman" w:eastAsia="宋体" w:hAnsi="Times New Roman"/>
            <w:sz w:val="20"/>
            <w:szCs w:val="20"/>
          </w:rPr>
          <w:t>ons - Sam's Club Segment</w:t>
        </w:r>
      </w:hyperlink>
      <w:r>
        <w:rPr>
          <w:rFonts w:ascii="Times New Roman" w:eastAsia="宋体" w:hAnsi="Times New Roman"/>
          <w:color w:val="000000"/>
          <w:sz w:val="20"/>
          <w:szCs w:val="20"/>
        </w:rPr>
        <w:t>" relating to the possible continuing impact of volatility in fuel prices on the future operating results of the Sam's Club segment; a statement under the caption "</w:t>
      </w:r>
      <w:hyperlink r:id="rId96" w:anchor="ie1710166881948a18c44f48eaa2dcf00_100" w:history="1">
        <w:r>
          <w:rPr>
            <w:rStyle w:val="a5"/>
            <w:rFonts w:ascii="Times New Roman" w:eastAsia="宋体" w:hAnsi="Times New Roman"/>
            <w:sz w:val="20"/>
            <w:szCs w:val="20"/>
          </w:rPr>
          <w:t>Liquidity and Capital Resources - Liquidity</w:t>
        </w:r>
      </w:hyperlink>
      <w:r>
        <w:rPr>
          <w:rFonts w:ascii="Times New Roman" w:eastAsia="宋体" w:hAnsi="Times New Roman"/>
          <w:color w:val="000000"/>
          <w:sz w:val="20"/>
          <w:szCs w:val="20"/>
        </w:rPr>
        <w:t>" that Walmart's sources of liquidity will be adequate to fund its operations, finance its global investment and expansion a</w:t>
      </w:r>
      <w:r>
        <w:rPr>
          <w:rFonts w:ascii="Times New Roman" w:eastAsia="宋体" w:hAnsi="Times New Roman"/>
          <w:color w:val="000000"/>
          <w:sz w:val="20"/>
          <w:szCs w:val="20"/>
        </w:rPr>
        <w:t>ctivities, pay dividends and fund share repurchases; statements under the caption "</w:t>
      </w:r>
      <w:hyperlink r:id="rId97" w:anchor="ie1710166881948a18c44f48eaa2dcf00_100" w:history="1">
        <w:r>
          <w:rPr>
            <w:rStyle w:val="a5"/>
            <w:rFonts w:ascii="Times New Roman" w:eastAsia="宋体" w:hAnsi="Times New Roman"/>
            <w:sz w:val="20"/>
            <w:szCs w:val="20"/>
          </w:rPr>
          <w:t xml:space="preserve">Liquidity and Capital </w:t>
        </w:r>
        <w:r>
          <w:rPr>
            <w:rStyle w:val="a5"/>
            <w:rFonts w:ascii="Times New Roman" w:eastAsia="宋体" w:hAnsi="Times New Roman"/>
            <w:sz w:val="20"/>
            <w:szCs w:val="20"/>
          </w:rPr>
          <w:t>Resources - Liquidity - Net Cash Provided by Operating Activities - Cash Equivalents and Working Capital Deficit</w:t>
        </w:r>
      </w:hyperlink>
      <w:r>
        <w:rPr>
          <w:rFonts w:ascii="Times New Roman" w:eastAsia="宋体" w:hAnsi="Times New Roman"/>
          <w:color w:val="000000"/>
          <w:sz w:val="20"/>
          <w:szCs w:val="20"/>
        </w:rPr>
        <w:t>" regarding management's expectation that cash in market will be utilized to fund Flipkart's operations; a statement under the caption "</w:t>
      </w:r>
      <w:hyperlink r:id="rId98" w:anchor="ie1710166881948a18c44f48eaa2dcf00_100" w:history="1">
        <w:r>
          <w:rPr>
            <w:rStyle w:val="a5"/>
            <w:rFonts w:ascii="Times New Roman" w:eastAsia="宋体" w:hAnsi="Times New Roman"/>
            <w:sz w:val="20"/>
            <w:szCs w:val="20"/>
          </w:rPr>
          <w:t>Liquidity and Capital Resources Liquidity - Net Cash Used in</w:t>
        </w:r>
      </w:hyperlink>
      <w:hyperlink r:id="rId99" w:anchor="ie1710166881948a18c44f48eaa2dcf00_100" w:history="1">
        <w:r>
          <w:rPr>
            <w:rStyle w:val="a5"/>
            <w:rFonts w:ascii="Times New Roman" w:eastAsia="宋体" w:hAnsi="Times New Roman"/>
            <w:sz w:val="20"/>
            <w:szCs w:val="20"/>
          </w:rPr>
          <w:t xml:space="preserve"> </w:t>
        </w:r>
      </w:hyperlink>
      <w:hyperlink r:id="rId100" w:anchor="ie1710166881948a18c44f48eaa2dcf00_100" w:history="1">
        <w:r>
          <w:rPr>
            <w:rStyle w:val="a5"/>
            <w:rFonts w:ascii="Times New Roman" w:eastAsia="宋体" w:hAnsi="Times New Roman"/>
            <w:sz w:val="20"/>
            <w:szCs w:val="20"/>
          </w:rPr>
          <w:t>Financing Activities - Dividends</w:t>
        </w:r>
      </w:hyperlink>
      <w:r>
        <w:rPr>
          <w:rFonts w:ascii="Times New Roman" w:eastAsia="宋体" w:hAnsi="Times New Roman"/>
          <w:color w:val="000000"/>
          <w:sz w:val="20"/>
          <w:szCs w:val="20"/>
        </w:rPr>
        <w:t>" regarding the payment of dividends in fiscal 2022; a statement under the caption "</w:t>
      </w:r>
      <w:hyperlink r:id="rId101" w:anchor="ie1710166881948a18c44f48eaa2dcf00_100" w:history="1">
        <w:r>
          <w:rPr>
            <w:rStyle w:val="a5"/>
            <w:rFonts w:ascii="Times New Roman" w:eastAsia="宋体" w:hAnsi="Times New Roman"/>
            <w:sz w:val="20"/>
            <w:szCs w:val="20"/>
          </w:rPr>
          <w:t>Liquidity and Capital Resources Liquidity - Net Cash Used in</w:t>
        </w:r>
      </w:hyperlink>
      <w:hyperlink r:id="rId102" w:anchor="ie1710166881948a18c44f48eaa2dcf00_100" w:history="1">
        <w:r>
          <w:rPr>
            <w:rStyle w:val="a5"/>
            <w:rFonts w:ascii="Times New Roman" w:eastAsia="宋体" w:hAnsi="Times New Roman"/>
            <w:sz w:val="20"/>
            <w:szCs w:val="20"/>
          </w:rPr>
          <w:t xml:space="preserve"> </w:t>
        </w:r>
      </w:hyperlink>
      <w:hyperlink r:id="rId103" w:anchor="ie1710166881948a18c44f48eaa2dcf00_100" w:history="1">
        <w:r>
          <w:rPr>
            <w:rStyle w:val="a5"/>
            <w:rFonts w:ascii="Times New Roman" w:eastAsia="宋体" w:hAnsi="Times New Roman"/>
            <w:sz w:val="20"/>
            <w:szCs w:val="20"/>
          </w:rPr>
          <w:t>Financing Activities - Company Share Repurchase Program</w:t>
        </w:r>
      </w:hyperlink>
      <w:r>
        <w:rPr>
          <w:rFonts w:ascii="Times New Roman" w:eastAsia="宋体" w:hAnsi="Times New Roman"/>
          <w:color w:val="000000"/>
          <w:sz w:val="20"/>
          <w:szCs w:val="20"/>
        </w:rPr>
        <w:t xml:space="preserve">" regarding funding of our share repurchase program; </w:t>
      </w:r>
      <w:r>
        <w:rPr>
          <w:rFonts w:ascii="Times New Roman" w:eastAsia="宋体" w:hAnsi="Times New Roman"/>
          <w:color w:val="000000"/>
          <w:sz w:val="20"/>
          <w:szCs w:val="20"/>
        </w:rPr>
        <w:t>statements under the caption "</w:t>
      </w:r>
      <w:hyperlink r:id="rId104" w:anchor="ie1710166881948a18c44f48eaa2dcf00_100" w:history="1">
        <w:r>
          <w:rPr>
            <w:rStyle w:val="a5"/>
            <w:rFonts w:ascii="Times New Roman" w:eastAsia="宋体" w:hAnsi="Times New Roman"/>
            <w:sz w:val="20"/>
            <w:szCs w:val="20"/>
          </w:rPr>
          <w:t>Liquidity and Capital Resources - Capital Resources</w:t>
        </w:r>
      </w:hyperlink>
      <w:r>
        <w:rPr>
          <w:rFonts w:ascii="Times New Roman" w:eastAsia="宋体" w:hAnsi="Times New Roman"/>
          <w:color w:val="000000"/>
          <w:sz w:val="20"/>
          <w:szCs w:val="20"/>
        </w:rPr>
        <w:t>" regarding managemen</w:t>
      </w:r>
      <w:r>
        <w:rPr>
          <w:rFonts w:ascii="Times New Roman" w:eastAsia="宋体" w:hAnsi="Times New Roman"/>
          <w:color w:val="000000"/>
          <w:sz w:val="20"/>
          <w:szCs w:val="20"/>
        </w:rPr>
        <w:t>t's expectations regarding the Company's cash flows from operations, current cash position and access to capital markets continuing to be sufficient to meet its anticipated operating cash needs, the Company's commercial paper and long-term debt ratings con</w:t>
      </w:r>
      <w:r>
        <w:rPr>
          <w:rFonts w:ascii="Times New Roman" w:eastAsia="宋体" w:hAnsi="Times New Roman"/>
          <w:color w:val="000000"/>
          <w:sz w:val="20"/>
          <w:szCs w:val="20"/>
        </w:rPr>
        <w:t>tinuing to enable it to refinance its debts at favorable rates, factors that could affect its credit ratings, and the effect that lower credit ratings would have on its access to capital and credit markets and borrowing costs; and statements under the capt</w:t>
      </w:r>
      <w:r>
        <w:rPr>
          <w:rFonts w:ascii="Times New Roman" w:eastAsia="宋体" w:hAnsi="Times New Roman"/>
          <w:color w:val="000000"/>
          <w:sz w:val="20"/>
          <w:szCs w:val="20"/>
        </w:rPr>
        <w:t>ion "</w:t>
      </w:r>
      <w:hyperlink r:id="rId105" w:anchor="ie1710166881948a18c44f48eaa2dcf00_103" w:history="1">
        <w:r>
          <w:rPr>
            <w:rStyle w:val="a5"/>
            <w:rFonts w:ascii="Times New Roman" w:eastAsia="宋体" w:hAnsi="Times New Roman"/>
            <w:sz w:val="20"/>
            <w:szCs w:val="20"/>
          </w:rPr>
          <w:t>Other Matters</w:t>
        </w:r>
      </w:hyperlink>
      <w:r>
        <w:rPr>
          <w:rFonts w:ascii="Times New Roman" w:eastAsia="宋体" w:hAnsi="Times New Roman"/>
          <w:color w:val="000000"/>
          <w:sz w:val="20"/>
          <w:szCs w:val="20"/>
        </w:rPr>
        <w:t>"</w:t>
      </w:r>
      <w:r>
        <w:rPr>
          <w:rFonts w:ascii="Times New Roman" w:eastAsia="宋体" w:hAnsi="Times New Roman"/>
          <w:b/>
          <w:bCs/>
          <w:color w:val="0000FF"/>
          <w:sz w:val="20"/>
          <w:szCs w:val="20"/>
        </w:rPr>
        <w:t xml:space="preserve"> </w:t>
      </w:r>
      <w:r>
        <w:rPr>
          <w:rFonts w:ascii="Times New Roman" w:eastAsia="宋体" w:hAnsi="Times New Roman"/>
          <w:color w:val="000000"/>
          <w:sz w:val="20"/>
          <w:szCs w:val="20"/>
        </w:rPr>
        <w:t xml:space="preserve">regarding the contingent liabilities of the Company that may or may not result in </w:t>
      </w:r>
      <w:r>
        <w:rPr>
          <w:rFonts w:ascii="Times New Roman" w:eastAsia="宋体" w:hAnsi="Times New Roman"/>
          <w:color w:val="000000"/>
          <w:sz w:val="20"/>
          <w:szCs w:val="20"/>
        </w:rPr>
        <w:t>the incurrence of a material liability by the Company;</w:t>
      </w:r>
    </w:p>
    <w:p w14:paraId="442F8452" w14:textId="77777777" w:rsidR="00CC25B5" w:rsidRDefault="00900968">
      <w:pPr>
        <w:spacing w:before="100"/>
        <w:ind w:hanging="360"/>
      </w:pPr>
      <w:r>
        <w:rPr>
          <w:rFonts w:ascii="Times New Roman" w:eastAsia="宋体" w:hAnsi="Times New Roman"/>
          <w:color w:val="000000"/>
          <w:sz w:val="20"/>
          <w:szCs w:val="20"/>
        </w:rPr>
        <w:t>•in Part I, Item 4 "</w:t>
      </w:r>
      <w:hyperlink r:id="rId106" w:anchor="ie1710166881948a18c44f48eaa2dcf00_109" w:history="1">
        <w:r>
          <w:rPr>
            <w:rStyle w:val="a5"/>
            <w:rFonts w:ascii="Times New Roman" w:eastAsia="宋体" w:hAnsi="Times New Roman"/>
            <w:sz w:val="20"/>
            <w:szCs w:val="20"/>
          </w:rPr>
          <w:t>Controls and Procedures</w:t>
        </w:r>
      </w:hyperlink>
      <w:r>
        <w:rPr>
          <w:rFonts w:ascii="Times New Roman" w:eastAsia="宋体" w:hAnsi="Times New Roman"/>
          <w:color w:val="000000"/>
          <w:sz w:val="20"/>
          <w:szCs w:val="20"/>
        </w:rPr>
        <w:t>": t</w:t>
      </w:r>
      <w:r>
        <w:rPr>
          <w:rFonts w:ascii="Times New Roman" w:eastAsia="宋体" w:hAnsi="Times New Roman"/>
          <w:color w:val="000000"/>
          <w:sz w:val="20"/>
          <w:szCs w:val="20"/>
        </w:rPr>
        <w:t>he statements regarding the effect of changes to systems and processes on our internal control over financial reporting; and</w:t>
      </w:r>
    </w:p>
    <w:p w14:paraId="442F8453" w14:textId="77777777" w:rsidR="00CC25B5" w:rsidRDefault="00900968">
      <w:pPr>
        <w:spacing w:before="100"/>
        <w:ind w:hanging="360"/>
      </w:pPr>
      <w:r>
        <w:rPr>
          <w:rFonts w:ascii="Times New Roman" w:eastAsia="宋体" w:hAnsi="Times New Roman"/>
          <w:color w:val="000000"/>
          <w:sz w:val="20"/>
          <w:szCs w:val="20"/>
        </w:rPr>
        <w:t>•in Part II, Item 1 "</w:t>
      </w:r>
      <w:hyperlink r:id="rId107" w:anchor="ie1710166881948a18c44f48eaa2dcf00_115" w:history="1">
        <w:r>
          <w:rPr>
            <w:rStyle w:val="a5"/>
            <w:rFonts w:ascii="Times New Roman" w:eastAsia="宋体" w:hAnsi="Times New Roman"/>
            <w:sz w:val="20"/>
            <w:szCs w:val="20"/>
          </w:rPr>
          <w:t>Legal Proceedings</w:t>
        </w:r>
      </w:hyperlink>
      <w:r>
        <w:rPr>
          <w:rFonts w:ascii="Times New Roman" w:eastAsia="宋体" w:hAnsi="Times New Roman"/>
          <w:color w:val="000000"/>
          <w:sz w:val="20"/>
          <w:szCs w:val="20"/>
        </w:rPr>
        <w:t>": statements regarding the effect that possible losses or the range of possible losses that might be incurred in connection with the legal proceedings and other matters discussed therein may hav</w:t>
      </w:r>
      <w:r>
        <w:rPr>
          <w:rFonts w:ascii="Times New Roman" w:eastAsia="宋体" w:hAnsi="Times New Roman"/>
          <w:color w:val="000000"/>
          <w:sz w:val="20"/>
          <w:szCs w:val="20"/>
        </w:rPr>
        <w:t>e on our financial condition or results of operations.</w:t>
      </w:r>
    </w:p>
    <w:p w14:paraId="442F8454" w14:textId="77777777" w:rsidR="00CC25B5" w:rsidRDefault="00CC25B5">
      <w:pPr>
        <w:spacing w:before="100"/>
      </w:pPr>
    </w:p>
    <w:p w14:paraId="442F8455" w14:textId="77777777" w:rsidR="00CC25B5" w:rsidRDefault="00900968">
      <w:pPr>
        <w:jc w:val="center"/>
      </w:pPr>
      <w:r>
        <w:rPr>
          <w:rFonts w:ascii="Times New Roman" w:eastAsia="宋体" w:hAnsi="Times New Roman"/>
          <w:color w:val="000000"/>
          <w:sz w:val="20"/>
          <w:szCs w:val="20"/>
        </w:rPr>
        <w:t>30</w:t>
      </w:r>
    </w:p>
    <w:p w14:paraId="442F8456" w14:textId="77777777" w:rsidR="00CC25B5" w:rsidRDefault="00900968">
      <w:r>
        <w:pict w14:anchorId="442F85E7">
          <v:rect id="_x0000_i1054" style="width:415.3pt;height:1.5pt" o:hralign="center" o:hrstd="t" o:hr="t" fillcolor="#a0a0a0" stroked="f"/>
        </w:pict>
      </w:r>
    </w:p>
    <w:p w14:paraId="442F8457" w14:textId="77777777" w:rsidR="00CC25B5" w:rsidRDefault="00900968">
      <w:hyperlink r:id="rId108" w:anchor="ie1710166881948a18c44f48eaa2dcf00_7" w:history="1">
        <w:r>
          <w:rPr>
            <w:rStyle w:val="a5"/>
            <w:rFonts w:ascii="Times New Roman" w:eastAsia="宋体" w:hAnsi="Times New Roman"/>
            <w:sz w:val="20"/>
            <w:szCs w:val="20"/>
          </w:rPr>
          <w:t>Table of Contents</w:t>
        </w:r>
      </w:hyperlink>
    </w:p>
    <w:p w14:paraId="442F8458" w14:textId="77777777" w:rsidR="00CC25B5" w:rsidRDefault="00900968">
      <w:pPr>
        <w:spacing w:before="180"/>
      </w:pPr>
      <w:r>
        <w:rPr>
          <w:rFonts w:ascii="Times New Roman" w:eastAsia="宋体" w:hAnsi="Times New Roman"/>
          <w:b/>
          <w:bCs/>
          <w:i/>
          <w:iCs/>
          <w:color w:val="000000"/>
          <w:sz w:val="20"/>
          <w:szCs w:val="20"/>
        </w:rPr>
        <w:t>Risks, Factors and Uncert</w:t>
      </w:r>
      <w:r>
        <w:rPr>
          <w:rFonts w:ascii="Times New Roman" w:eastAsia="宋体" w:hAnsi="Times New Roman"/>
          <w:b/>
          <w:bCs/>
          <w:i/>
          <w:iCs/>
          <w:color w:val="000000"/>
          <w:sz w:val="20"/>
          <w:szCs w:val="20"/>
        </w:rPr>
        <w:t>ainties Regarding Our Business</w:t>
      </w:r>
    </w:p>
    <w:p w14:paraId="442F8459" w14:textId="77777777" w:rsidR="00CC25B5" w:rsidRDefault="00900968">
      <w:pPr>
        <w:spacing w:before="100"/>
      </w:pPr>
      <w:r>
        <w:rPr>
          <w:rFonts w:ascii="Times New Roman" w:eastAsia="宋体" w:hAnsi="Times New Roman"/>
          <w:color w:val="000000"/>
          <w:sz w:val="20"/>
          <w:szCs w:val="20"/>
        </w:rPr>
        <w:t>These forward-looking statements are subject to risks, uncertainties and other factors, domestically and internationally, including:</w:t>
      </w:r>
    </w:p>
    <w:p w14:paraId="442F845A" w14:textId="77777777" w:rsidR="00CC25B5" w:rsidRDefault="00900968">
      <w:pPr>
        <w:spacing w:before="100" w:after="120"/>
        <w:ind w:firstLine="360"/>
        <w:jc w:val="both"/>
      </w:pPr>
      <w:r>
        <w:rPr>
          <w:rFonts w:ascii="Times New Roman" w:eastAsia="宋体" w:hAnsi="Times New Roman"/>
          <w:b/>
          <w:bCs/>
          <w:color w:val="000000"/>
          <w:sz w:val="20"/>
          <w:szCs w:val="20"/>
        </w:rPr>
        <w:t>Economic Factors</w:t>
      </w:r>
    </w:p>
    <w:p w14:paraId="442F845B" w14:textId="77777777" w:rsidR="00CC25B5" w:rsidRDefault="00900968">
      <w:pPr>
        <w:ind w:hanging="360"/>
      </w:pPr>
      <w:r>
        <w:rPr>
          <w:rFonts w:ascii="Times New Roman" w:eastAsia="宋体" w:hAnsi="Times New Roman"/>
          <w:color w:val="000000"/>
          <w:sz w:val="20"/>
          <w:szCs w:val="20"/>
        </w:rPr>
        <w:t xml:space="preserve">•economic, geo-political, capital markets and business </w:t>
      </w:r>
      <w:r>
        <w:rPr>
          <w:rFonts w:ascii="Times New Roman" w:eastAsia="宋体" w:hAnsi="Times New Roman"/>
          <w:color w:val="000000"/>
          <w:sz w:val="20"/>
          <w:szCs w:val="20"/>
        </w:rPr>
        <w:t>conditions, trends and events around the world and in the markets in which Walmart operates;</w:t>
      </w:r>
    </w:p>
    <w:p w14:paraId="442F845C" w14:textId="77777777" w:rsidR="00CC25B5" w:rsidRDefault="00900968">
      <w:pPr>
        <w:ind w:hanging="360"/>
      </w:pPr>
      <w:r>
        <w:rPr>
          <w:rFonts w:ascii="Times New Roman" w:eastAsia="宋体" w:hAnsi="Times New Roman"/>
          <w:color w:val="000000"/>
          <w:sz w:val="20"/>
          <w:szCs w:val="20"/>
        </w:rPr>
        <w:t>•currency exchange rate fluctuations;</w:t>
      </w:r>
    </w:p>
    <w:p w14:paraId="442F845D" w14:textId="77777777" w:rsidR="00CC25B5" w:rsidRDefault="00900968">
      <w:pPr>
        <w:ind w:hanging="360"/>
      </w:pPr>
      <w:r>
        <w:rPr>
          <w:rFonts w:ascii="Times New Roman" w:eastAsia="宋体" w:hAnsi="Times New Roman"/>
          <w:color w:val="000000"/>
          <w:sz w:val="20"/>
          <w:szCs w:val="20"/>
        </w:rPr>
        <w:t>•changes in market rates of interest;</w:t>
      </w:r>
    </w:p>
    <w:p w14:paraId="442F845E" w14:textId="77777777" w:rsidR="00CC25B5" w:rsidRDefault="00900968">
      <w:pPr>
        <w:ind w:hanging="360"/>
      </w:pPr>
      <w:r>
        <w:rPr>
          <w:rFonts w:ascii="Times New Roman" w:eastAsia="宋体" w:hAnsi="Times New Roman"/>
          <w:color w:val="000000"/>
          <w:sz w:val="20"/>
          <w:szCs w:val="20"/>
        </w:rPr>
        <w:t>•changes in market levels of wages;</w:t>
      </w:r>
    </w:p>
    <w:p w14:paraId="442F845F" w14:textId="77777777" w:rsidR="00CC25B5" w:rsidRDefault="00900968">
      <w:pPr>
        <w:ind w:hanging="360"/>
      </w:pPr>
      <w:r>
        <w:rPr>
          <w:rFonts w:ascii="Times New Roman" w:eastAsia="宋体" w:hAnsi="Times New Roman"/>
          <w:color w:val="000000"/>
          <w:sz w:val="20"/>
          <w:szCs w:val="20"/>
        </w:rPr>
        <w:t xml:space="preserve">•changes in the size of various markets, including </w:t>
      </w:r>
      <w:r>
        <w:rPr>
          <w:rFonts w:ascii="Times New Roman" w:eastAsia="宋体" w:hAnsi="Times New Roman"/>
          <w:color w:val="000000"/>
          <w:sz w:val="20"/>
          <w:szCs w:val="20"/>
        </w:rPr>
        <w:t>eCommerce markets;</w:t>
      </w:r>
    </w:p>
    <w:p w14:paraId="442F8460" w14:textId="77777777" w:rsidR="00CC25B5" w:rsidRDefault="00900968">
      <w:pPr>
        <w:ind w:hanging="360"/>
      </w:pPr>
      <w:r>
        <w:rPr>
          <w:rFonts w:ascii="Times New Roman" w:eastAsia="宋体" w:hAnsi="Times New Roman"/>
          <w:color w:val="000000"/>
          <w:sz w:val="20"/>
          <w:szCs w:val="20"/>
        </w:rPr>
        <w:t>•unemployment levels;</w:t>
      </w:r>
    </w:p>
    <w:p w14:paraId="442F8461" w14:textId="77777777" w:rsidR="00CC25B5" w:rsidRDefault="00900968">
      <w:pPr>
        <w:ind w:hanging="360"/>
      </w:pPr>
      <w:r>
        <w:rPr>
          <w:rFonts w:ascii="Times New Roman" w:eastAsia="宋体" w:hAnsi="Times New Roman"/>
          <w:color w:val="000000"/>
          <w:sz w:val="20"/>
          <w:szCs w:val="20"/>
        </w:rPr>
        <w:t>•inflation or deflation, generally and in certain product categories;</w:t>
      </w:r>
    </w:p>
    <w:p w14:paraId="442F8462" w14:textId="77777777" w:rsidR="00CC25B5" w:rsidRDefault="00900968">
      <w:pPr>
        <w:ind w:hanging="360"/>
      </w:pPr>
      <w:r>
        <w:rPr>
          <w:rFonts w:ascii="Times New Roman" w:eastAsia="宋体" w:hAnsi="Times New Roman"/>
          <w:color w:val="000000"/>
          <w:sz w:val="20"/>
          <w:szCs w:val="20"/>
        </w:rPr>
        <w:t>•transportation, energy and utility costs;</w:t>
      </w:r>
    </w:p>
    <w:p w14:paraId="442F8463" w14:textId="77777777" w:rsidR="00CC25B5" w:rsidRDefault="00900968">
      <w:pPr>
        <w:ind w:hanging="360"/>
      </w:pPr>
      <w:r>
        <w:rPr>
          <w:rFonts w:ascii="Times New Roman" w:eastAsia="宋体" w:hAnsi="Times New Roman"/>
          <w:color w:val="000000"/>
          <w:sz w:val="20"/>
          <w:szCs w:val="20"/>
        </w:rPr>
        <w:t>•commodity prices, including the prices of oil and natural gas;</w:t>
      </w:r>
    </w:p>
    <w:p w14:paraId="442F8464" w14:textId="77777777" w:rsidR="00CC25B5" w:rsidRDefault="00900968">
      <w:pPr>
        <w:ind w:hanging="360"/>
        <w:jc w:val="both"/>
      </w:pPr>
      <w:r>
        <w:rPr>
          <w:rFonts w:ascii="Times New Roman" w:eastAsia="宋体" w:hAnsi="Times New Roman"/>
          <w:color w:val="000000"/>
          <w:sz w:val="20"/>
          <w:szCs w:val="20"/>
        </w:rPr>
        <w:t>•consumer confidence, disposable incom</w:t>
      </w:r>
      <w:r>
        <w:rPr>
          <w:rFonts w:ascii="Times New Roman" w:eastAsia="宋体" w:hAnsi="Times New Roman"/>
          <w:color w:val="000000"/>
          <w:sz w:val="20"/>
          <w:szCs w:val="20"/>
        </w:rPr>
        <w:t>e, credit availability, spending levels, shopping patterns, debt levels, and demand for certain merchandise;</w:t>
      </w:r>
    </w:p>
    <w:p w14:paraId="442F8465" w14:textId="77777777" w:rsidR="00CC25B5" w:rsidRDefault="00900968">
      <w:pPr>
        <w:ind w:hanging="360"/>
        <w:jc w:val="both"/>
      </w:pPr>
      <w:r>
        <w:rPr>
          <w:rFonts w:ascii="Times New Roman" w:eastAsia="宋体" w:hAnsi="Times New Roman"/>
          <w:color w:val="000000"/>
          <w:sz w:val="20"/>
          <w:szCs w:val="20"/>
        </w:rPr>
        <w:t>•trends in consumer shopping habits around the world and in the markets in which Walmart operates;</w:t>
      </w:r>
    </w:p>
    <w:p w14:paraId="442F8466" w14:textId="77777777" w:rsidR="00CC25B5" w:rsidRDefault="00900968">
      <w:pPr>
        <w:ind w:hanging="360"/>
        <w:jc w:val="both"/>
      </w:pPr>
      <w:r>
        <w:rPr>
          <w:rFonts w:ascii="Times New Roman" w:eastAsia="宋体" w:hAnsi="Times New Roman"/>
          <w:color w:val="000000"/>
          <w:sz w:val="20"/>
          <w:szCs w:val="20"/>
        </w:rPr>
        <w:t>•consumer enrollment in health and drug insuranc</w:t>
      </w:r>
      <w:r>
        <w:rPr>
          <w:rFonts w:ascii="Times New Roman" w:eastAsia="宋体" w:hAnsi="Times New Roman"/>
          <w:color w:val="000000"/>
          <w:sz w:val="20"/>
          <w:szCs w:val="20"/>
        </w:rPr>
        <w:t>e programs and such programs' reimbursement rates and drug formularies; and</w:t>
      </w:r>
    </w:p>
    <w:p w14:paraId="442F8467" w14:textId="77777777" w:rsidR="00CC25B5" w:rsidRDefault="00900968">
      <w:pPr>
        <w:ind w:hanging="360"/>
        <w:jc w:val="both"/>
      </w:pPr>
      <w:r>
        <w:rPr>
          <w:rFonts w:ascii="Times New Roman" w:eastAsia="宋体" w:hAnsi="Times New Roman"/>
          <w:color w:val="000000"/>
          <w:sz w:val="20"/>
          <w:szCs w:val="20"/>
        </w:rPr>
        <w:t>•initiatives of competitors, competitors' entry into and expansion in Walmart's markets or lines of business, and competitive pressures.</w:t>
      </w:r>
    </w:p>
    <w:p w14:paraId="442F8468" w14:textId="77777777" w:rsidR="00CC25B5" w:rsidRDefault="00900968">
      <w:pPr>
        <w:spacing w:before="100" w:after="120"/>
        <w:ind w:firstLine="360"/>
        <w:jc w:val="both"/>
      </w:pPr>
      <w:r>
        <w:rPr>
          <w:rFonts w:ascii="Times New Roman" w:eastAsia="宋体" w:hAnsi="Times New Roman"/>
          <w:b/>
          <w:bCs/>
          <w:color w:val="000000"/>
          <w:sz w:val="20"/>
          <w:szCs w:val="20"/>
        </w:rPr>
        <w:t>Operating Factors</w:t>
      </w:r>
    </w:p>
    <w:p w14:paraId="442F8469" w14:textId="77777777" w:rsidR="00CC25B5" w:rsidRDefault="00900968">
      <w:pPr>
        <w:ind w:hanging="360"/>
      </w:pPr>
      <w:r>
        <w:rPr>
          <w:rFonts w:ascii="Times New Roman" w:eastAsia="宋体" w:hAnsi="Times New Roman"/>
          <w:color w:val="000000"/>
          <w:sz w:val="20"/>
          <w:szCs w:val="20"/>
        </w:rPr>
        <w:t xml:space="preserve">•the amount of </w:t>
      </w:r>
      <w:r>
        <w:rPr>
          <w:rFonts w:ascii="Times New Roman" w:eastAsia="宋体" w:hAnsi="Times New Roman"/>
          <w:color w:val="000000"/>
          <w:sz w:val="20"/>
          <w:szCs w:val="20"/>
        </w:rPr>
        <w:t>Walmart's net sales and operating expenses denominated in U.S. dollar and various foreign currencies;</w:t>
      </w:r>
    </w:p>
    <w:p w14:paraId="442F846A" w14:textId="77777777" w:rsidR="00CC25B5" w:rsidRDefault="00900968">
      <w:pPr>
        <w:ind w:hanging="360"/>
      </w:pPr>
      <w:r>
        <w:rPr>
          <w:rFonts w:ascii="Times New Roman" w:eastAsia="宋体" w:hAnsi="Times New Roman"/>
          <w:color w:val="000000"/>
          <w:sz w:val="20"/>
          <w:szCs w:val="20"/>
        </w:rPr>
        <w:t>•the financial performance of Walmart and each of its segments, including the amount of Walmart's cash flow during various periods;</w:t>
      </w:r>
    </w:p>
    <w:p w14:paraId="442F846B" w14:textId="77777777" w:rsidR="00CC25B5" w:rsidRDefault="00900968">
      <w:pPr>
        <w:ind w:hanging="360"/>
      </w:pPr>
      <w:r>
        <w:rPr>
          <w:rFonts w:ascii="Times New Roman" w:eastAsia="宋体" w:hAnsi="Times New Roman"/>
          <w:color w:val="000000"/>
          <w:sz w:val="20"/>
          <w:szCs w:val="20"/>
        </w:rPr>
        <w:t xml:space="preserve">•customer transaction </w:t>
      </w:r>
      <w:r>
        <w:rPr>
          <w:rFonts w:ascii="Times New Roman" w:eastAsia="宋体" w:hAnsi="Times New Roman"/>
          <w:color w:val="000000"/>
          <w:sz w:val="20"/>
          <w:szCs w:val="20"/>
        </w:rPr>
        <w:t>and average ticket in Walmart's stores and clubs and on its eCommerce platforms;</w:t>
      </w:r>
    </w:p>
    <w:p w14:paraId="442F846C" w14:textId="77777777" w:rsidR="00CC25B5" w:rsidRDefault="00900968">
      <w:pPr>
        <w:ind w:hanging="360"/>
      </w:pPr>
      <w:r>
        <w:rPr>
          <w:rFonts w:ascii="Times New Roman" w:eastAsia="宋体" w:hAnsi="Times New Roman"/>
          <w:color w:val="000000"/>
          <w:sz w:val="20"/>
          <w:szCs w:val="20"/>
        </w:rPr>
        <w:t>•the mix of merchandise Walmart sells and its customers purchase;</w:t>
      </w:r>
    </w:p>
    <w:p w14:paraId="442F846D" w14:textId="77777777" w:rsidR="00CC25B5" w:rsidRDefault="00900968">
      <w:pPr>
        <w:ind w:hanging="360"/>
      </w:pPr>
      <w:r>
        <w:rPr>
          <w:rFonts w:ascii="Times New Roman" w:eastAsia="宋体" w:hAnsi="Times New Roman"/>
          <w:color w:val="000000"/>
          <w:sz w:val="20"/>
          <w:szCs w:val="20"/>
        </w:rPr>
        <w:t>•the availability of goods from suppliers and the cost of goods acquired from suppliers;</w:t>
      </w:r>
    </w:p>
    <w:p w14:paraId="442F846E" w14:textId="77777777" w:rsidR="00CC25B5" w:rsidRDefault="00900968">
      <w:pPr>
        <w:ind w:hanging="360"/>
      </w:pPr>
      <w:r>
        <w:rPr>
          <w:rFonts w:ascii="Times New Roman" w:eastAsia="宋体" w:hAnsi="Times New Roman"/>
          <w:color w:val="000000"/>
          <w:sz w:val="20"/>
          <w:szCs w:val="20"/>
        </w:rPr>
        <w:t>•the effectiveness o</w:t>
      </w:r>
      <w:r>
        <w:rPr>
          <w:rFonts w:ascii="Times New Roman" w:eastAsia="宋体" w:hAnsi="Times New Roman"/>
          <w:color w:val="000000"/>
          <w:sz w:val="20"/>
          <w:szCs w:val="20"/>
        </w:rPr>
        <w:t>f the implementation and operation of Walmart's strategies, plans, programs and initiatives;</w:t>
      </w:r>
    </w:p>
    <w:p w14:paraId="442F846F" w14:textId="77777777" w:rsidR="00CC25B5" w:rsidRDefault="00900968">
      <w:pPr>
        <w:ind w:hanging="360"/>
      </w:pPr>
      <w:r>
        <w:rPr>
          <w:rFonts w:ascii="Times New Roman" w:eastAsia="宋体" w:hAnsi="Times New Roman"/>
          <w:color w:val="000000"/>
          <w:sz w:val="20"/>
          <w:szCs w:val="20"/>
        </w:rPr>
        <w:t>•COVID-19 related challenges, including reduced customer transactions and ticket, reduced store hours, shifts in demand from discretionary products, supply chain d</w:t>
      </w:r>
      <w:r>
        <w:rPr>
          <w:rFonts w:ascii="Times New Roman" w:eastAsia="宋体" w:hAnsi="Times New Roman"/>
          <w:color w:val="000000"/>
          <w:sz w:val="20"/>
          <w:szCs w:val="20"/>
        </w:rPr>
        <w:t>isruption and production and dissemination of global vaccines;</w:t>
      </w:r>
    </w:p>
    <w:p w14:paraId="442F8470" w14:textId="77777777" w:rsidR="00CC25B5" w:rsidRDefault="00900968">
      <w:pPr>
        <w:ind w:hanging="360"/>
      </w:pPr>
      <w:r>
        <w:rPr>
          <w:rFonts w:ascii="Times New Roman" w:eastAsia="宋体" w:hAnsi="Times New Roman"/>
          <w:color w:val="000000"/>
        </w:rPr>
        <w:t>•</w:t>
      </w:r>
      <w:r>
        <w:rPr>
          <w:rFonts w:ascii="Times New Roman" w:eastAsia="宋体" w:hAnsi="Times New Roman"/>
          <w:color w:val="000000"/>
          <w:sz w:val="20"/>
          <w:szCs w:val="20"/>
        </w:rPr>
        <w:t>the impact of acquisitions, divestitures, store or club closures, and other strategic decisions;</w:t>
      </w:r>
    </w:p>
    <w:p w14:paraId="442F8471" w14:textId="77777777" w:rsidR="00CC25B5" w:rsidRDefault="00900968">
      <w:pPr>
        <w:ind w:hanging="360"/>
      </w:pPr>
      <w:r>
        <w:rPr>
          <w:rFonts w:ascii="Times New Roman" w:eastAsia="宋体" w:hAnsi="Times New Roman"/>
          <w:color w:val="000000"/>
          <w:sz w:val="20"/>
          <w:szCs w:val="20"/>
        </w:rPr>
        <w:t>•Walmart's ability to successfully integrate acquired businesses;</w:t>
      </w:r>
    </w:p>
    <w:p w14:paraId="442F8472" w14:textId="77777777" w:rsidR="00CC25B5" w:rsidRDefault="00900968">
      <w:pPr>
        <w:ind w:hanging="360"/>
      </w:pPr>
      <w:r>
        <w:rPr>
          <w:rFonts w:ascii="Times New Roman" w:eastAsia="宋体" w:hAnsi="Times New Roman"/>
          <w:color w:val="000000"/>
          <w:sz w:val="20"/>
          <w:szCs w:val="20"/>
        </w:rPr>
        <w:t>•unexpected changes in Walmar</w:t>
      </w:r>
      <w:r>
        <w:rPr>
          <w:rFonts w:ascii="Times New Roman" w:eastAsia="宋体" w:hAnsi="Times New Roman"/>
          <w:color w:val="000000"/>
          <w:sz w:val="20"/>
          <w:szCs w:val="20"/>
        </w:rPr>
        <w:t>t's objectives and plans;</w:t>
      </w:r>
    </w:p>
    <w:p w14:paraId="442F8473" w14:textId="77777777" w:rsidR="00CC25B5" w:rsidRDefault="00900968">
      <w:pPr>
        <w:ind w:hanging="360"/>
      </w:pPr>
      <w:r>
        <w:rPr>
          <w:rFonts w:ascii="Times New Roman" w:eastAsia="宋体" w:hAnsi="Times New Roman"/>
          <w:color w:val="000000"/>
          <w:sz w:val="20"/>
          <w:szCs w:val="20"/>
        </w:rPr>
        <w:t>•the amount of shrinkage Walmart experiences;</w:t>
      </w:r>
    </w:p>
    <w:p w14:paraId="442F8474" w14:textId="77777777" w:rsidR="00CC25B5" w:rsidRDefault="00900968">
      <w:pPr>
        <w:ind w:hanging="360"/>
      </w:pPr>
      <w:r>
        <w:rPr>
          <w:rFonts w:ascii="Times New Roman" w:eastAsia="宋体" w:hAnsi="Times New Roman"/>
          <w:color w:val="000000"/>
          <w:sz w:val="20"/>
          <w:szCs w:val="20"/>
        </w:rPr>
        <w:t>•consumer acceptance of and response to Walmart's stores and clubs, eCommerce platforms, programs, merchandise offerings and delivery methods;</w:t>
      </w:r>
    </w:p>
    <w:p w14:paraId="442F8475" w14:textId="77777777" w:rsidR="00CC25B5" w:rsidRDefault="00900968">
      <w:pPr>
        <w:ind w:hanging="360"/>
      </w:pPr>
      <w:r>
        <w:rPr>
          <w:rFonts w:ascii="Times New Roman" w:eastAsia="宋体" w:hAnsi="Times New Roman"/>
          <w:color w:val="000000"/>
          <w:sz w:val="20"/>
          <w:szCs w:val="20"/>
        </w:rPr>
        <w:t>•Walmart's gross profit margins, includin</w:t>
      </w:r>
      <w:r>
        <w:rPr>
          <w:rFonts w:ascii="Times New Roman" w:eastAsia="宋体" w:hAnsi="Times New Roman"/>
          <w:color w:val="000000"/>
          <w:sz w:val="20"/>
          <w:szCs w:val="20"/>
        </w:rPr>
        <w:t>g pharmacy margins and margins of other product categories;</w:t>
      </w:r>
    </w:p>
    <w:p w14:paraId="442F8476" w14:textId="77777777" w:rsidR="00CC25B5" w:rsidRDefault="00900968">
      <w:pPr>
        <w:ind w:hanging="360"/>
      </w:pPr>
      <w:r>
        <w:rPr>
          <w:rFonts w:ascii="Times New Roman" w:eastAsia="宋体" w:hAnsi="Times New Roman"/>
          <w:color w:val="000000"/>
          <w:sz w:val="20"/>
          <w:szCs w:val="20"/>
        </w:rPr>
        <w:t>•the selling prices of gasoline and diesel fuel;</w:t>
      </w:r>
    </w:p>
    <w:p w14:paraId="442F8477" w14:textId="77777777" w:rsidR="00CC25B5" w:rsidRDefault="00900968">
      <w:pPr>
        <w:ind w:hanging="360"/>
      </w:pPr>
      <w:r>
        <w:rPr>
          <w:rFonts w:ascii="Times New Roman" w:eastAsia="宋体" w:hAnsi="Times New Roman"/>
          <w:color w:val="000000"/>
          <w:sz w:val="20"/>
          <w:szCs w:val="20"/>
        </w:rPr>
        <w:t>•disruption of seasonal buying patterns in Walmart's markets;</w:t>
      </w:r>
    </w:p>
    <w:p w14:paraId="442F8478" w14:textId="77777777" w:rsidR="00CC25B5" w:rsidRDefault="00900968">
      <w:pPr>
        <w:ind w:hanging="360"/>
      </w:pPr>
      <w:r>
        <w:rPr>
          <w:rFonts w:ascii="Times New Roman" w:eastAsia="宋体" w:hAnsi="Times New Roman"/>
          <w:color w:val="000000"/>
          <w:sz w:val="20"/>
          <w:szCs w:val="20"/>
        </w:rPr>
        <w:t>•disruptions in Walmart's supply chain and inventory management;</w:t>
      </w:r>
    </w:p>
    <w:p w14:paraId="442F8479" w14:textId="77777777" w:rsidR="00CC25B5" w:rsidRDefault="00900968">
      <w:pPr>
        <w:ind w:hanging="360"/>
      </w:pPr>
      <w:r>
        <w:rPr>
          <w:rFonts w:ascii="Times New Roman" w:eastAsia="宋体" w:hAnsi="Times New Roman"/>
          <w:color w:val="000000"/>
          <w:sz w:val="20"/>
          <w:szCs w:val="20"/>
        </w:rPr>
        <w:t>•cybersecurity event</w:t>
      </w:r>
      <w:r>
        <w:rPr>
          <w:rFonts w:ascii="Times New Roman" w:eastAsia="宋体" w:hAnsi="Times New Roman"/>
          <w:color w:val="000000"/>
          <w:sz w:val="20"/>
          <w:szCs w:val="20"/>
        </w:rPr>
        <w:t>s affecting Walmart and related costs and impact of any disruption in business;</w:t>
      </w:r>
    </w:p>
    <w:p w14:paraId="442F847A" w14:textId="77777777" w:rsidR="00CC25B5" w:rsidRDefault="00900968">
      <w:pPr>
        <w:ind w:hanging="360"/>
      </w:pPr>
      <w:r>
        <w:rPr>
          <w:rFonts w:ascii="Times New Roman" w:eastAsia="宋体" w:hAnsi="Times New Roman"/>
          <w:color w:val="000000"/>
          <w:sz w:val="20"/>
          <w:szCs w:val="20"/>
        </w:rPr>
        <w:t>•Walmart's labor costs, including healthcare and other benefit costs;</w:t>
      </w:r>
    </w:p>
    <w:p w14:paraId="442F847B" w14:textId="77777777" w:rsidR="00CC25B5" w:rsidRDefault="00900968">
      <w:pPr>
        <w:ind w:hanging="360"/>
      </w:pPr>
      <w:r>
        <w:rPr>
          <w:rFonts w:ascii="Times New Roman" w:eastAsia="宋体" w:hAnsi="Times New Roman"/>
          <w:color w:val="000000"/>
          <w:sz w:val="20"/>
          <w:szCs w:val="20"/>
        </w:rPr>
        <w:t>•Walmart's casualty and accident-related costs and insurance costs;</w:t>
      </w:r>
    </w:p>
    <w:p w14:paraId="442F847C" w14:textId="77777777" w:rsidR="00CC25B5" w:rsidRDefault="00900968">
      <w:pPr>
        <w:ind w:hanging="360"/>
      </w:pPr>
      <w:r>
        <w:rPr>
          <w:rFonts w:ascii="Times New Roman" w:eastAsia="宋体" w:hAnsi="Times New Roman"/>
          <w:color w:val="000000"/>
          <w:sz w:val="20"/>
          <w:szCs w:val="20"/>
        </w:rPr>
        <w:t>•the size of and turnover in Walmart's</w:t>
      </w:r>
      <w:r>
        <w:rPr>
          <w:rFonts w:ascii="Times New Roman" w:eastAsia="宋体" w:hAnsi="Times New Roman"/>
          <w:color w:val="000000"/>
          <w:sz w:val="20"/>
          <w:szCs w:val="20"/>
        </w:rPr>
        <w:t xml:space="preserve"> workforce and the number of associates at various pay levels within that workforce;</w:t>
      </w:r>
    </w:p>
    <w:p w14:paraId="442F847D" w14:textId="77777777" w:rsidR="00CC25B5" w:rsidRDefault="00900968">
      <w:pPr>
        <w:ind w:hanging="360"/>
      </w:pPr>
      <w:r>
        <w:rPr>
          <w:rFonts w:ascii="Times New Roman" w:eastAsia="宋体" w:hAnsi="Times New Roman"/>
          <w:color w:val="000000"/>
          <w:sz w:val="20"/>
          <w:szCs w:val="20"/>
        </w:rPr>
        <w:t>•the availability of necessary personnel to staff Walmart's stores, clubs and other facilities;</w:t>
      </w:r>
    </w:p>
    <w:p w14:paraId="442F847E" w14:textId="77777777" w:rsidR="00CC25B5" w:rsidRDefault="00900968">
      <w:pPr>
        <w:ind w:hanging="360"/>
      </w:pPr>
      <w:r>
        <w:rPr>
          <w:rFonts w:ascii="Times New Roman" w:eastAsia="宋体" w:hAnsi="Times New Roman"/>
          <w:color w:val="000000"/>
          <w:sz w:val="20"/>
          <w:szCs w:val="20"/>
        </w:rPr>
        <w:t>•delays in the opening of new, expanded, relocated or remodeled units;</w:t>
      </w:r>
    </w:p>
    <w:p w14:paraId="442F847F" w14:textId="77777777" w:rsidR="00CC25B5" w:rsidRDefault="00900968">
      <w:pPr>
        <w:ind w:hanging="360"/>
      </w:pPr>
      <w:r>
        <w:rPr>
          <w:rFonts w:ascii="Times New Roman" w:eastAsia="宋体" w:hAnsi="Times New Roman"/>
          <w:color w:val="000000"/>
          <w:sz w:val="20"/>
          <w:szCs w:val="20"/>
        </w:rPr>
        <w:t>•dev</w:t>
      </w:r>
      <w:r>
        <w:rPr>
          <w:rFonts w:ascii="Times New Roman" w:eastAsia="宋体" w:hAnsi="Times New Roman"/>
          <w:color w:val="000000"/>
          <w:sz w:val="20"/>
          <w:szCs w:val="20"/>
        </w:rPr>
        <w:t>elopments in, and the outcome of, legal and regulatory proceedings and investigations to which Walmart is a party or is subject, and the liabilities, obligations and expenses, if any, that Walmart may incur in connection therewith;</w:t>
      </w:r>
    </w:p>
    <w:p w14:paraId="442F8480" w14:textId="77777777" w:rsidR="00CC25B5" w:rsidRDefault="00900968">
      <w:pPr>
        <w:ind w:hanging="360"/>
      </w:pPr>
      <w:r>
        <w:rPr>
          <w:rFonts w:ascii="Times New Roman" w:eastAsia="宋体" w:hAnsi="Times New Roman"/>
          <w:color w:val="000000"/>
          <w:sz w:val="20"/>
          <w:szCs w:val="20"/>
        </w:rPr>
        <w:t xml:space="preserve">•changes in the </w:t>
      </w:r>
      <w:r>
        <w:rPr>
          <w:rFonts w:ascii="Times New Roman" w:eastAsia="宋体" w:hAnsi="Times New Roman"/>
          <w:color w:val="000000"/>
          <w:sz w:val="20"/>
          <w:szCs w:val="20"/>
        </w:rPr>
        <w:t>credit ratings assigned to the Company's commercial paper and debt securities by credit rating agencies;</w:t>
      </w:r>
    </w:p>
    <w:p w14:paraId="442F8481" w14:textId="77777777" w:rsidR="00CC25B5" w:rsidRDefault="00900968">
      <w:pPr>
        <w:ind w:hanging="360"/>
      </w:pPr>
      <w:r>
        <w:rPr>
          <w:rFonts w:ascii="Times New Roman" w:eastAsia="宋体" w:hAnsi="Times New Roman"/>
          <w:color w:val="000000"/>
          <w:sz w:val="20"/>
          <w:szCs w:val="20"/>
        </w:rPr>
        <w:t>•Walmart's effective tax rate; and</w:t>
      </w:r>
    </w:p>
    <w:p w14:paraId="442F8482" w14:textId="77777777" w:rsidR="00CC25B5" w:rsidRDefault="00900968">
      <w:pPr>
        <w:ind w:hanging="360"/>
      </w:pPr>
      <w:r>
        <w:rPr>
          <w:rFonts w:ascii="Times New Roman" w:eastAsia="宋体" w:hAnsi="Times New Roman"/>
          <w:color w:val="000000"/>
          <w:sz w:val="20"/>
          <w:szCs w:val="20"/>
        </w:rPr>
        <w:t>•unanticipated changes in accounting judgments and estimates.</w:t>
      </w:r>
    </w:p>
    <w:p w14:paraId="442F8483" w14:textId="77777777" w:rsidR="00CC25B5" w:rsidRDefault="00900968">
      <w:pPr>
        <w:jc w:val="center"/>
      </w:pPr>
      <w:r>
        <w:rPr>
          <w:rFonts w:ascii="Times New Roman" w:eastAsia="宋体" w:hAnsi="Times New Roman"/>
          <w:color w:val="000000"/>
          <w:sz w:val="20"/>
          <w:szCs w:val="20"/>
        </w:rPr>
        <w:t>31</w:t>
      </w:r>
    </w:p>
    <w:p w14:paraId="442F8484" w14:textId="77777777" w:rsidR="00CC25B5" w:rsidRDefault="00900968">
      <w:r>
        <w:pict w14:anchorId="442F85E8">
          <v:rect id="_x0000_i1055" style="width:415.3pt;height:1.5pt" o:hralign="center" o:hrstd="t" o:hr="t" fillcolor="#a0a0a0" stroked="f"/>
        </w:pict>
      </w:r>
    </w:p>
    <w:p w14:paraId="442F8485" w14:textId="77777777" w:rsidR="00CC25B5" w:rsidRDefault="00900968">
      <w:hyperlink r:id="rId109" w:anchor="ie1710166881948a18c44f48eaa2dcf00_7" w:history="1">
        <w:r>
          <w:rPr>
            <w:rStyle w:val="a5"/>
            <w:rFonts w:ascii="Times New Roman" w:eastAsia="宋体" w:hAnsi="Times New Roman"/>
            <w:sz w:val="20"/>
            <w:szCs w:val="20"/>
          </w:rPr>
          <w:t>Table of Contents</w:t>
        </w:r>
      </w:hyperlink>
    </w:p>
    <w:p w14:paraId="442F8486" w14:textId="77777777" w:rsidR="00CC25B5" w:rsidRDefault="00900968">
      <w:pPr>
        <w:spacing w:before="100" w:after="120"/>
        <w:ind w:firstLine="360"/>
      </w:pPr>
      <w:r>
        <w:rPr>
          <w:rFonts w:ascii="Times New Roman" w:eastAsia="宋体" w:hAnsi="Times New Roman"/>
          <w:b/>
          <w:bCs/>
          <w:color w:val="000000"/>
          <w:sz w:val="20"/>
          <w:szCs w:val="20"/>
        </w:rPr>
        <w:t>Regulatory and Other Factors</w:t>
      </w:r>
    </w:p>
    <w:p w14:paraId="442F8487" w14:textId="77777777" w:rsidR="00CC25B5" w:rsidRDefault="00900968">
      <w:pPr>
        <w:ind w:hanging="360"/>
      </w:pPr>
      <w:r>
        <w:rPr>
          <w:rFonts w:ascii="Times New Roman" w:eastAsia="宋体" w:hAnsi="Times New Roman"/>
          <w:color w:val="000000"/>
          <w:sz w:val="20"/>
          <w:szCs w:val="20"/>
        </w:rPr>
        <w:t>•changes in existing, tax, labor and other laws and chang</w:t>
      </w:r>
      <w:r>
        <w:rPr>
          <w:rFonts w:ascii="Times New Roman" w:eastAsia="宋体" w:hAnsi="Times New Roman"/>
          <w:color w:val="000000"/>
          <w:sz w:val="20"/>
          <w:szCs w:val="20"/>
        </w:rPr>
        <w:t>es in tax rates, including the enactment of laws and the adoption and interpretation of administrative rules and regulations;</w:t>
      </w:r>
    </w:p>
    <w:p w14:paraId="442F8488" w14:textId="77777777" w:rsidR="00CC25B5" w:rsidRDefault="00900968">
      <w:pPr>
        <w:ind w:hanging="360"/>
      </w:pPr>
      <w:r>
        <w:rPr>
          <w:rFonts w:ascii="Times New Roman" w:eastAsia="宋体" w:hAnsi="Times New Roman"/>
          <w:color w:val="000000"/>
          <w:sz w:val="20"/>
          <w:szCs w:val="20"/>
        </w:rPr>
        <w:t xml:space="preserve">•the imposition of new taxes on imports, new tariffs and changes in existing tariff rates; </w:t>
      </w:r>
    </w:p>
    <w:p w14:paraId="442F8489" w14:textId="77777777" w:rsidR="00CC25B5" w:rsidRDefault="00900968">
      <w:pPr>
        <w:ind w:hanging="360"/>
      </w:pPr>
      <w:r>
        <w:rPr>
          <w:rFonts w:ascii="Times New Roman" w:eastAsia="宋体" w:hAnsi="Times New Roman"/>
          <w:color w:val="000000"/>
          <w:sz w:val="20"/>
          <w:szCs w:val="20"/>
        </w:rPr>
        <w:t>•the imposition of new trade restricti</w:t>
      </w:r>
      <w:r>
        <w:rPr>
          <w:rFonts w:ascii="Times New Roman" w:eastAsia="宋体" w:hAnsi="Times New Roman"/>
          <w:color w:val="000000"/>
          <w:sz w:val="20"/>
          <w:szCs w:val="20"/>
        </w:rPr>
        <w:t>ons and changes in existing trade restrictions;</w:t>
      </w:r>
    </w:p>
    <w:p w14:paraId="442F848A" w14:textId="77777777" w:rsidR="00CC25B5" w:rsidRDefault="00900968">
      <w:pPr>
        <w:ind w:hanging="360"/>
      </w:pPr>
      <w:r>
        <w:rPr>
          <w:rFonts w:ascii="Times New Roman" w:eastAsia="宋体" w:hAnsi="Times New Roman"/>
          <w:color w:val="000000"/>
          <w:sz w:val="20"/>
          <w:szCs w:val="20"/>
        </w:rPr>
        <w:t>•adoption or creation of new, and modification of existing, governmental policies, programs, initiatives and actions in the markets in which Walmart operates and elsewhere and actions with respect to such pol</w:t>
      </w:r>
      <w:r>
        <w:rPr>
          <w:rFonts w:ascii="Times New Roman" w:eastAsia="宋体" w:hAnsi="Times New Roman"/>
          <w:color w:val="000000"/>
          <w:sz w:val="20"/>
          <w:szCs w:val="20"/>
        </w:rPr>
        <w:t>icies, programs and initiatives;</w:t>
      </w:r>
    </w:p>
    <w:p w14:paraId="442F848B" w14:textId="77777777" w:rsidR="00CC25B5" w:rsidRDefault="00900968">
      <w:pPr>
        <w:ind w:hanging="360"/>
      </w:pPr>
      <w:r>
        <w:rPr>
          <w:rFonts w:ascii="Times New Roman" w:eastAsia="宋体" w:hAnsi="Times New Roman"/>
          <w:color w:val="000000"/>
          <w:sz w:val="20"/>
          <w:szCs w:val="20"/>
        </w:rPr>
        <w:t>•changes in government-funded benefit programs and the extent and effectiveness of any further COVID-19 related stimulus packages;</w:t>
      </w:r>
    </w:p>
    <w:p w14:paraId="442F848C" w14:textId="77777777" w:rsidR="00CC25B5" w:rsidRDefault="00900968">
      <w:pPr>
        <w:ind w:hanging="360"/>
      </w:pPr>
      <w:r>
        <w:rPr>
          <w:rFonts w:ascii="Times New Roman" w:eastAsia="宋体" w:hAnsi="Times New Roman"/>
          <w:color w:val="000000"/>
          <w:sz w:val="20"/>
          <w:szCs w:val="20"/>
        </w:rPr>
        <w:t>•changes in currency control laws;</w:t>
      </w:r>
    </w:p>
    <w:p w14:paraId="442F848D" w14:textId="77777777" w:rsidR="00CC25B5" w:rsidRDefault="00900968">
      <w:pPr>
        <w:ind w:hanging="360"/>
      </w:pPr>
      <w:r>
        <w:rPr>
          <w:rFonts w:ascii="Times New Roman" w:eastAsia="宋体" w:hAnsi="Times New Roman"/>
          <w:color w:val="000000"/>
          <w:sz w:val="20"/>
          <w:szCs w:val="20"/>
        </w:rPr>
        <w:t>•changes in the level of public assistance payments;</w:t>
      </w:r>
    </w:p>
    <w:p w14:paraId="442F848E" w14:textId="77777777" w:rsidR="00CC25B5" w:rsidRDefault="00900968">
      <w:pPr>
        <w:ind w:hanging="360"/>
      </w:pPr>
      <w:r>
        <w:rPr>
          <w:rFonts w:ascii="Times New Roman" w:eastAsia="宋体" w:hAnsi="Times New Roman"/>
          <w:color w:val="000000"/>
          <w:sz w:val="20"/>
          <w:szCs w:val="20"/>
        </w:rPr>
        <w:t>•one</w:t>
      </w:r>
      <w:r>
        <w:rPr>
          <w:rFonts w:ascii="Times New Roman" w:eastAsia="宋体" w:hAnsi="Times New Roman"/>
          <w:color w:val="000000"/>
          <w:sz w:val="20"/>
          <w:szCs w:val="20"/>
        </w:rPr>
        <w:t xml:space="preserve"> or more prolonged federal government shutdowns;</w:t>
      </w:r>
    </w:p>
    <w:p w14:paraId="442F848F" w14:textId="77777777" w:rsidR="00CC25B5" w:rsidRDefault="00900968">
      <w:pPr>
        <w:ind w:hanging="360"/>
      </w:pPr>
      <w:r>
        <w:rPr>
          <w:rFonts w:ascii="Times New Roman" w:eastAsia="宋体" w:hAnsi="Times New Roman"/>
          <w:color w:val="000000"/>
          <w:sz w:val="20"/>
          <w:szCs w:val="20"/>
        </w:rPr>
        <w:t>•the timing of federal income tax refunds;</w:t>
      </w:r>
    </w:p>
    <w:p w14:paraId="442F8490" w14:textId="77777777" w:rsidR="00CC25B5" w:rsidRDefault="00900968">
      <w:pPr>
        <w:ind w:hanging="360"/>
      </w:pPr>
      <w:r>
        <w:rPr>
          <w:rFonts w:ascii="Times New Roman" w:eastAsia="宋体" w:hAnsi="Times New Roman"/>
          <w:color w:val="000000"/>
          <w:sz w:val="20"/>
          <w:szCs w:val="20"/>
        </w:rPr>
        <w:t>•natural disasters, changes in climate, catastrophic events and global health epidemics or pandemics, including COVID-19; and</w:t>
      </w:r>
    </w:p>
    <w:p w14:paraId="442F8491" w14:textId="77777777" w:rsidR="00CC25B5" w:rsidRDefault="00900968">
      <w:pPr>
        <w:ind w:hanging="360"/>
      </w:pPr>
      <w:r>
        <w:rPr>
          <w:rFonts w:ascii="Times New Roman" w:eastAsia="宋体" w:hAnsi="Times New Roman"/>
          <w:color w:val="000000"/>
          <w:sz w:val="20"/>
          <w:szCs w:val="20"/>
        </w:rPr>
        <w:t>•changes in generally accepted account</w:t>
      </w:r>
      <w:r>
        <w:rPr>
          <w:rFonts w:ascii="Times New Roman" w:eastAsia="宋体" w:hAnsi="Times New Roman"/>
          <w:color w:val="000000"/>
          <w:sz w:val="20"/>
          <w:szCs w:val="20"/>
        </w:rPr>
        <w:t>ing principles in the United States.</w:t>
      </w:r>
    </w:p>
    <w:p w14:paraId="442F8492" w14:textId="77777777" w:rsidR="00CC25B5" w:rsidRDefault="00900968">
      <w:pPr>
        <w:spacing w:before="180"/>
      </w:pPr>
      <w:r>
        <w:rPr>
          <w:rFonts w:ascii="Times New Roman" w:eastAsia="宋体" w:hAnsi="Times New Roman"/>
          <w:b/>
          <w:bCs/>
          <w:i/>
          <w:iCs/>
          <w:color w:val="000000"/>
          <w:sz w:val="20"/>
          <w:szCs w:val="20"/>
        </w:rPr>
        <w:t>Other Risk Factors; No Duty to Update</w:t>
      </w:r>
    </w:p>
    <w:p w14:paraId="442F8493" w14:textId="77777777" w:rsidR="00CC25B5" w:rsidRDefault="00900968">
      <w:pPr>
        <w:spacing w:before="100"/>
      </w:pPr>
      <w:r>
        <w:rPr>
          <w:rFonts w:ascii="Times New Roman" w:eastAsia="宋体" w:hAnsi="Times New Roman"/>
          <w:color w:val="000000"/>
          <w:sz w:val="20"/>
          <w:szCs w:val="20"/>
        </w:rPr>
        <w:t>This Quarterly Report on Form 10-Q should be read in conjunction with Walmart's Annual Report on Form 10-K for the fiscal year ended January 31, 2021 and all of Walmart's subsequent</w:t>
      </w:r>
      <w:r>
        <w:rPr>
          <w:rFonts w:ascii="Times New Roman" w:eastAsia="宋体" w:hAnsi="Times New Roman"/>
          <w:color w:val="000000"/>
          <w:sz w:val="20"/>
          <w:szCs w:val="20"/>
        </w:rPr>
        <w:t xml:space="preserve"> other filings with the Securities and Exchange Commission. Walmart urges investors to consider all of the risks, uncertainties and other factors disclosed in these filings carefully in evaluating the forward-looking statements contained in this Quarterly </w:t>
      </w:r>
      <w:r>
        <w:rPr>
          <w:rFonts w:ascii="Times New Roman" w:eastAsia="宋体" w:hAnsi="Times New Roman"/>
          <w:color w:val="000000"/>
          <w:sz w:val="20"/>
          <w:szCs w:val="20"/>
        </w:rPr>
        <w:t>Report on Form 10-Q. The Company cannot assure you that the results or developments anticipated by the Company and reflected or implied by any forward-looking statement contained in this Quarterly Report on Form 10-Q will be realized or, even if substantia</w:t>
      </w:r>
      <w:r>
        <w:rPr>
          <w:rFonts w:ascii="Times New Roman" w:eastAsia="宋体" w:hAnsi="Times New Roman"/>
          <w:color w:val="000000"/>
          <w:sz w:val="20"/>
          <w:szCs w:val="20"/>
        </w:rPr>
        <w:t>lly realized, that those results or developments will result in the forecasted or expected consequences for the Company or affect the Company, its operations or its financial performance as the Company has forecasted or expected. As a result of the matters</w:t>
      </w:r>
      <w:r>
        <w:rPr>
          <w:rFonts w:ascii="Times New Roman" w:eastAsia="宋体" w:hAnsi="Times New Roman"/>
          <w:color w:val="000000"/>
          <w:sz w:val="20"/>
          <w:szCs w:val="20"/>
        </w:rPr>
        <w:t xml:space="preserve"> discussed above and other matters, including changes in facts, assumptions not being realized or other factors, the actual results relating to the subject matter of any forward-looking statement in this Quarterly Report on Form 10-Q may differ materially </w:t>
      </w:r>
      <w:r>
        <w:rPr>
          <w:rFonts w:ascii="Times New Roman" w:eastAsia="宋体" w:hAnsi="Times New Roman"/>
          <w:color w:val="000000"/>
          <w:sz w:val="20"/>
          <w:szCs w:val="20"/>
        </w:rPr>
        <w:t>from the anticipated results expressed or implied in that forward-looking statement. The forward-looking statements included in this Quarterly Report on Form 10-Q are made only as of the date of this report, and Walmart undertakes no obligation to update a</w:t>
      </w:r>
      <w:r>
        <w:rPr>
          <w:rFonts w:ascii="Times New Roman" w:eastAsia="宋体" w:hAnsi="Times New Roman"/>
          <w:color w:val="000000"/>
          <w:sz w:val="20"/>
          <w:szCs w:val="20"/>
        </w:rPr>
        <w:t>ny such statements to reflect subsequent events or circumstances.</w:t>
      </w:r>
    </w:p>
    <w:p w14:paraId="442F8494" w14:textId="77777777" w:rsidR="00CC25B5" w:rsidRDefault="00900968">
      <w:pPr>
        <w:jc w:val="center"/>
      </w:pPr>
      <w:r>
        <w:rPr>
          <w:rFonts w:ascii="Times New Roman" w:eastAsia="宋体" w:hAnsi="Times New Roman"/>
          <w:color w:val="000000"/>
          <w:sz w:val="20"/>
          <w:szCs w:val="20"/>
        </w:rPr>
        <w:t>32</w:t>
      </w:r>
    </w:p>
    <w:p w14:paraId="442F8495" w14:textId="77777777" w:rsidR="00CC25B5" w:rsidRDefault="00900968">
      <w:r>
        <w:pict w14:anchorId="442F85E9">
          <v:rect id="_x0000_i1056" style="width:415.3pt;height:1.5pt" o:hralign="center" o:hrstd="t" o:hr="t" fillcolor="#a0a0a0" stroked="f"/>
        </w:pict>
      </w:r>
    </w:p>
    <w:p w14:paraId="442F8496" w14:textId="77777777" w:rsidR="00CC25B5" w:rsidRDefault="00900968">
      <w:hyperlink r:id="rId110" w:anchor="ie1710166881948a18c44f48eaa2dcf00_7" w:history="1">
        <w:r>
          <w:rPr>
            <w:rStyle w:val="a5"/>
            <w:rFonts w:ascii="Times New Roman" w:eastAsia="宋体" w:hAnsi="Times New Roman"/>
            <w:sz w:val="20"/>
            <w:szCs w:val="20"/>
          </w:rPr>
          <w:t>Table of Contents</w:t>
        </w:r>
      </w:hyperlink>
    </w:p>
    <w:p w14:paraId="442F8497" w14:textId="77777777" w:rsidR="00CC25B5" w:rsidRDefault="00900968">
      <w:pPr>
        <w:spacing w:before="180"/>
      </w:pPr>
      <w:r>
        <w:rPr>
          <w:rFonts w:ascii="Times New Roman" w:eastAsia="宋体" w:hAnsi="Times New Roman"/>
          <w:b/>
          <w:bCs/>
          <w:color w:val="000000"/>
          <w:sz w:val="20"/>
          <w:szCs w:val="20"/>
        </w:rPr>
        <w:t>Item 6. Exhibits</w:t>
      </w:r>
    </w:p>
    <w:p w14:paraId="442F8498" w14:textId="77777777" w:rsidR="00CC25B5" w:rsidRDefault="00900968">
      <w:pPr>
        <w:spacing w:before="180"/>
      </w:pPr>
      <w:r>
        <w:rPr>
          <w:rFonts w:ascii="Times New Roman" w:eastAsia="宋体" w:hAnsi="Times New Roman"/>
          <w:color w:val="000000"/>
          <w:sz w:val="20"/>
          <w:szCs w:val="20"/>
        </w:rPr>
        <w:t>The following documents are filed as an exhibit to this Quarterly Rep</w:t>
      </w:r>
      <w:r>
        <w:rPr>
          <w:rFonts w:ascii="Times New Roman" w:eastAsia="宋体" w:hAnsi="Times New Roman"/>
          <w:color w:val="000000"/>
          <w:sz w:val="20"/>
          <w:szCs w:val="20"/>
        </w:rPr>
        <w:t>ort on Form 10-Q:</w:t>
      </w:r>
    </w:p>
    <w:tbl>
      <w:tblPr>
        <w:tblW w:w="4993" w:type="pct"/>
        <w:tblCellMar>
          <w:top w:w="15" w:type="dxa"/>
          <w:left w:w="15" w:type="dxa"/>
          <w:bottom w:w="15" w:type="dxa"/>
          <w:right w:w="15" w:type="dxa"/>
        </w:tblCellMar>
        <w:tblLook w:val="04A0" w:firstRow="1" w:lastRow="0" w:firstColumn="1" w:lastColumn="0" w:noHBand="0" w:noVBand="1"/>
      </w:tblPr>
      <w:tblGrid>
        <w:gridCol w:w="85"/>
        <w:gridCol w:w="1425"/>
        <w:gridCol w:w="36"/>
        <w:gridCol w:w="36"/>
        <w:gridCol w:w="36"/>
        <w:gridCol w:w="36"/>
        <w:gridCol w:w="38"/>
        <w:gridCol w:w="6595"/>
        <w:gridCol w:w="37"/>
      </w:tblGrid>
      <w:tr w:rsidR="00CC25B5" w14:paraId="442F84A2" w14:textId="77777777">
        <w:tc>
          <w:tcPr>
            <w:tcW w:w="50" w:type="pct"/>
            <w:shd w:val="clear" w:color="auto" w:fill="auto"/>
            <w:vAlign w:val="bottom"/>
          </w:tcPr>
          <w:p w14:paraId="442F8499" w14:textId="77777777" w:rsidR="00CC25B5" w:rsidRDefault="00CC25B5">
            <w:pPr>
              <w:rPr>
                <w:rFonts w:ascii="宋体"/>
              </w:rPr>
            </w:pPr>
          </w:p>
        </w:tc>
        <w:tc>
          <w:tcPr>
            <w:tcW w:w="845" w:type="pct"/>
            <w:shd w:val="clear" w:color="auto" w:fill="auto"/>
            <w:vAlign w:val="bottom"/>
          </w:tcPr>
          <w:p w14:paraId="442F849A" w14:textId="77777777" w:rsidR="00CC25B5" w:rsidRDefault="00CC25B5">
            <w:pPr>
              <w:rPr>
                <w:rFonts w:ascii="宋体"/>
              </w:rPr>
            </w:pPr>
          </w:p>
        </w:tc>
        <w:tc>
          <w:tcPr>
            <w:tcW w:w="5" w:type="pct"/>
            <w:shd w:val="clear" w:color="auto" w:fill="auto"/>
            <w:vAlign w:val="bottom"/>
          </w:tcPr>
          <w:p w14:paraId="442F849B" w14:textId="77777777" w:rsidR="00CC25B5" w:rsidRDefault="00CC25B5">
            <w:pPr>
              <w:rPr>
                <w:rFonts w:ascii="宋体"/>
              </w:rPr>
            </w:pPr>
          </w:p>
        </w:tc>
        <w:tc>
          <w:tcPr>
            <w:tcW w:w="5" w:type="pct"/>
            <w:shd w:val="clear" w:color="auto" w:fill="auto"/>
            <w:vAlign w:val="bottom"/>
          </w:tcPr>
          <w:p w14:paraId="442F849C" w14:textId="77777777" w:rsidR="00CC25B5" w:rsidRDefault="00CC25B5">
            <w:pPr>
              <w:rPr>
                <w:rFonts w:ascii="宋体"/>
              </w:rPr>
            </w:pPr>
          </w:p>
        </w:tc>
        <w:tc>
          <w:tcPr>
            <w:tcW w:w="26" w:type="pct"/>
            <w:shd w:val="clear" w:color="auto" w:fill="auto"/>
            <w:vAlign w:val="bottom"/>
          </w:tcPr>
          <w:p w14:paraId="442F849D" w14:textId="77777777" w:rsidR="00CC25B5" w:rsidRDefault="00CC25B5">
            <w:pPr>
              <w:rPr>
                <w:rFonts w:ascii="宋体"/>
              </w:rPr>
            </w:pPr>
          </w:p>
        </w:tc>
        <w:tc>
          <w:tcPr>
            <w:tcW w:w="5" w:type="pct"/>
            <w:shd w:val="clear" w:color="auto" w:fill="auto"/>
            <w:vAlign w:val="bottom"/>
          </w:tcPr>
          <w:p w14:paraId="442F849E" w14:textId="77777777" w:rsidR="00CC25B5" w:rsidRDefault="00CC25B5">
            <w:pPr>
              <w:rPr>
                <w:rFonts w:ascii="宋体"/>
              </w:rPr>
            </w:pPr>
          </w:p>
        </w:tc>
        <w:tc>
          <w:tcPr>
            <w:tcW w:w="50" w:type="pct"/>
            <w:shd w:val="clear" w:color="auto" w:fill="auto"/>
            <w:vAlign w:val="bottom"/>
          </w:tcPr>
          <w:p w14:paraId="442F849F" w14:textId="77777777" w:rsidR="00CC25B5" w:rsidRDefault="00CC25B5">
            <w:pPr>
              <w:rPr>
                <w:rFonts w:ascii="宋体"/>
              </w:rPr>
            </w:pPr>
          </w:p>
        </w:tc>
        <w:tc>
          <w:tcPr>
            <w:tcW w:w="4008" w:type="pct"/>
            <w:shd w:val="clear" w:color="auto" w:fill="auto"/>
            <w:vAlign w:val="bottom"/>
          </w:tcPr>
          <w:p w14:paraId="442F84A0" w14:textId="77777777" w:rsidR="00CC25B5" w:rsidRDefault="00CC25B5">
            <w:pPr>
              <w:rPr>
                <w:rFonts w:ascii="宋体"/>
              </w:rPr>
            </w:pPr>
          </w:p>
        </w:tc>
        <w:tc>
          <w:tcPr>
            <w:tcW w:w="5" w:type="pct"/>
            <w:shd w:val="clear" w:color="auto" w:fill="auto"/>
            <w:vAlign w:val="bottom"/>
          </w:tcPr>
          <w:p w14:paraId="442F84A1" w14:textId="77777777" w:rsidR="00CC25B5" w:rsidRDefault="00CC25B5">
            <w:pPr>
              <w:rPr>
                <w:rFonts w:ascii="宋体"/>
              </w:rPr>
            </w:pPr>
          </w:p>
        </w:tc>
      </w:tr>
      <w:tr w:rsidR="00CC25B5" w14:paraId="442F84A6" w14:textId="77777777">
        <w:tc>
          <w:tcPr>
            <w:tcW w:w="0" w:type="auto"/>
            <w:gridSpan w:val="3"/>
            <w:shd w:val="clear" w:color="auto" w:fill="auto"/>
            <w:tcMar>
              <w:top w:w="40" w:type="dxa"/>
              <w:left w:w="20" w:type="dxa"/>
              <w:bottom w:w="40" w:type="dxa"/>
              <w:right w:w="20" w:type="dxa"/>
            </w:tcMar>
          </w:tcPr>
          <w:p w14:paraId="442F84A3" w14:textId="77777777" w:rsidR="00CC25B5" w:rsidRDefault="00900968">
            <w:pPr>
              <w:textAlignment w:val="top"/>
            </w:pPr>
            <w:r>
              <w:rPr>
                <w:rFonts w:ascii="Times New Roman" w:eastAsia="宋体" w:hAnsi="Times New Roman"/>
                <w:color w:val="000000"/>
                <w:sz w:val="20"/>
                <w:szCs w:val="20"/>
              </w:rPr>
              <w:t>Exhibit 3.1</w:t>
            </w:r>
          </w:p>
        </w:tc>
        <w:tc>
          <w:tcPr>
            <w:tcW w:w="0" w:type="auto"/>
            <w:gridSpan w:val="3"/>
            <w:shd w:val="clear" w:color="auto" w:fill="auto"/>
            <w:tcMar>
              <w:top w:w="0" w:type="dxa"/>
              <w:left w:w="20" w:type="dxa"/>
              <w:bottom w:w="0" w:type="dxa"/>
              <w:right w:w="20" w:type="dxa"/>
            </w:tcMar>
            <w:vAlign w:val="bottom"/>
          </w:tcPr>
          <w:p w14:paraId="442F84A4"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4A5" w14:textId="77777777" w:rsidR="00CC25B5" w:rsidRDefault="00900968">
            <w:pPr>
              <w:textAlignment w:val="top"/>
            </w:pPr>
            <w:hyperlink r:id="rId111" w:history="1">
              <w:r>
                <w:rPr>
                  <w:rStyle w:val="a5"/>
                  <w:rFonts w:ascii="Times New Roman" w:eastAsia="宋体" w:hAnsi="Times New Roman"/>
                  <w:sz w:val="20"/>
                  <w:szCs w:val="20"/>
                </w:rPr>
                <w:t xml:space="preserve">Restated Certificate of Incorporation of the Company dated February 1, 2018 is incorporated herein by </w:t>
              </w:r>
              <w:r>
                <w:rPr>
                  <w:rStyle w:val="a5"/>
                  <w:rFonts w:ascii="Times New Roman" w:eastAsia="宋体" w:hAnsi="Times New Roman"/>
                  <w:sz w:val="20"/>
                  <w:szCs w:val="20"/>
                </w:rPr>
                <w:t>reference to Exhibit 3.1 to the Report on Form 8-K that the Company filed on February 1, 2018 (File No. 001-06991)</w:t>
              </w:r>
            </w:hyperlink>
          </w:p>
        </w:tc>
      </w:tr>
      <w:tr w:rsidR="00CC25B5" w14:paraId="442F84AA" w14:textId="77777777">
        <w:trPr>
          <w:trHeight w:val="100"/>
        </w:trPr>
        <w:tc>
          <w:tcPr>
            <w:tcW w:w="0" w:type="auto"/>
            <w:gridSpan w:val="3"/>
            <w:shd w:val="clear" w:color="auto" w:fill="auto"/>
            <w:tcMar>
              <w:top w:w="0" w:type="dxa"/>
              <w:left w:w="20" w:type="dxa"/>
              <w:bottom w:w="0" w:type="dxa"/>
              <w:right w:w="20" w:type="dxa"/>
            </w:tcMar>
            <w:vAlign w:val="bottom"/>
          </w:tcPr>
          <w:p w14:paraId="442F84A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A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A9" w14:textId="77777777" w:rsidR="00CC25B5" w:rsidRDefault="00CC25B5">
            <w:pPr>
              <w:rPr>
                <w:rFonts w:ascii="宋体"/>
              </w:rPr>
            </w:pPr>
          </w:p>
        </w:tc>
      </w:tr>
      <w:tr w:rsidR="00CC25B5" w14:paraId="442F84AE" w14:textId="77777777">
        <w:tc>
          <w:tcPr>
            <w:tcW w:w="0" w:type="auto"/>
            <w:gridSpan w:val="3"/>
            <w:shd w:val="clear" w:color="auto" w:fill="auto"/>
            <w:tcMar>
              <w:top w:w="40" w:type="dxa"/>
              <w:left w:w="20" w:type="dxa"/>
              <w:bottom w:w="40" w:type="dxa"/>
              <w:right w:w="20" w:type="dxa"/>
            </w:tcMar>
          </w:tcPr>
          <w:p w14:paraId="442F84AB" w14:textId="77777777" w:rsidR="00CC25B5" w:rsidRDefault="00900968">
            <w:pPr>
              <w:textAlignment w:val="top"/>
            </w:pPr>
            <w:r>
              <w:rPr>
                <w:rFonts w:ascii="Times New Roman" w:eastAsia="宋体" w:hAnsi="Times New Roman"/>
                <w:color w:val="000000"/>
                <w:sz w:val="20"/>
                <w:szCs w:val="20"/>
              </w:rPr>
              <w:t>Exhibit 3.2</w:t>
            </w:r>
          </w:p>
        </w:tc>
        <w:tc>
          <w:tcPr>
            <w:tcW w:w="0" w:type="auto"/>
            <w:gridSpan w:val="3"/>
            <w:shd w:val="clear" w:color="auto" w:fill="auto"/>
            <w:tcMar>
              <w:top w:w="0" w:type="dxa"/>
              <w:left w:w="20" w:type="dxa"/>
              <w:bottom w:w="0" w:type="dxa"/>
              <w:right w:w="20" w:type="dxa"/>
            </w:tcMar>
            <w:vAlign w:val="bottom"/>
          </w:tcPr>
          <w:p w14:paraId="442F84AC"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4AD" w14:textId="77777777" w:rsidR="00CC25B5" w:rsidRDefault="00900968">
            <w:pPr>
              <w:textAlignment w:val="bottom"/>
            </w:pPr>
            <w:hyperlink r:id="rId112" w:history="1">
              <w:r>
                <w:rPr>
                  <w:rStyle w:val="a5"/>
                  <w:rFonts w:ascii="Times New Roman" w:eastAsia="宋体" w:hAnsi="Times New Roman"/>
                  <w:sz w:val="20"/>
                  <w:szCs w:val="20"/>
                </w:rPr>
                <w:t>Amended and Restated Bylaws of the Company dated July 23, 2019 are incorporated herein by reference to Exhibit 3.1 to the Report on Form 8-K that the Co</w:t>
              </w:r>
              <w:r>
                <w:rPr>
                  <w:rStyle w:val="a5"/>
                  <w:rFonts w:ascii="Times New Roman" w:eastAsia="宋体" w:hAnsi="Times New Roman"/>
                  <w:sz w:val="20"/>
                  <w:szCs w:val="20"/>
                </w:rPr>
                <w:t>mpany filed on July 26, 2019 (File No. 001-06991)</w:t>
              </w:r>
            </w:hyperlink>
          </w:p>
        </w:tc>
      </w:tr>
      <w:tr w:rsidR="00CC25B5" w14:paraId="442F84B2" w14:textId="77777777">
        <w:trPr>
          <w:trHeight w:val="100"/>
        </w:trPr>
        <w:tc>
          <w:tcPr>
            <w:tcW w:w="0" w:type="auto"/>
            <w:gridSpan w:val="3"/>
            <w:shd w:val="clear" w:color="auto" w:fill="auto"/>
            <w:tcMar>
              <w:top w:w="0" w:type="dxa"/>
              <w:left w:w="20" w:type="dxa"/>
              <w:bottom w:w="0" w:type="dxa"/>
              <w:right w:w="20" w:type="dxa"/>
            </w:tcMar>
            <w:vAlign w:val="bottom"/>
          </w:tcPr>
          <w:p w14:paraId="442F84A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B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B1" w14:textId="77777777" w:rsidR="00CC25B5" w:rsidRDefault="00CC25B5">
            <w:pPr>
              <w:rPr>
                <w:rFonts w:ascii="宋体"/>
              </w:rPr>
            </w:pPr>
          </w:p>
        </w:tc>
      </w:tr>
      <w:tr w:rsidR="00CC25B5" w14:paraId="442F84B6" w14:textId="77777777">
        <w:tc>
          <w:tcPr>
            <w:tcW w:w="0" w:type="auto"/>
            <w:gridSpan w:val="3"/>
            <w:shd w:val="clear" w:color="auto" w:fill="auto"/>
            <w:tcMar>
              <w:top w:w="40" w:type="dxa"/>
              <w:left w:w="20" w:type="dxa"/>
              <w:bottom w:w="40" w:type="dxa"/>
              <w:right w:w="20" w:type="dxa"/>
            </w:tcMar>
          </w:tcPr>
          <w:p w14:paraId="442F84B3" w14:textId="77777777" w:rsidR="00CC25B5" w:rsidRDefault="00900968">
            <w:pPr>
              <w:textAlignment w:val="top"/>
            </w:pPr>
            <w:r>
              <w:rPr>
                <w:rFonts w:ascii="Times New Roman" w:eastAsia="宋体" w:hAnsi="Times New Roman"/>
                <w:color w:val="000000"/>
                <w:sz w:val="20"/>
                <w:szCs w:val="20"/>
              </w:rPr>
              <w:t>Exhibit 10.1*</w:t>
            </w:r>
          </w:p>
        </w:tc>
        <w:tc>
          <w:tcPr>
            <w:tcW w:w="0" w:type="auto"/>
            <w:gridSpan w:val="3"/>
            <w:shd w:val="clear" w:color="auto" w:fill="auto"/>
            <w:tcMar>
              <w:top w:w="0" w:type="dxa"/>
              <w:left w:w="20" w:type="dxa"/>
              <w:bottom w:w="0" w:type="dxa"/>
              <w:right w:w="20" w:type="dxa"/>
            </w:tcMar>
            <w:vAlign w:val="bottom"/>
          </w:tcPr>
          <w:p w14:paraId="442F84B4"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4B5" w14:textId="77777777" w:rsidR="00CC25B5" w:rsidRDefault="00900968">
            <w:pPr>
              <w:textAlignment w:val="top"/>
            </w:pPr>
            <w:hyperlink r:id="rId113" w:history="1">
              <w:r>
                <w:rPr>
                  <w:rStyle w:val="a5"/>
                  <w:rFonts w:ascii="Times New Roman" w:eastAsia="宋体" w:hAnsi="Times New Roman"/>
                  <w:sz w:val="20"/>
                  <w:szCs w:val="20"/>
                </w:rPr>
                <w:t xml:space="preserve">Walmart Inc. </w:t>
              </w:r>
            </w:hyperlink>
            <w:hyperlink r:id="rId114" w:history="1">
              <w:r>
                <w:rPr>
                  <w:rStyle w:val="a5"/>
                  <w:rFonts w:ascii="Times New Roman" w:eastAsia="宋体" w:hAnsi="Times New Roman"/>
                  <w:sz w:val="20"/>
                  <w:szCs w:val="20"/>
                </w:rPr>
                <w:t xml:space="preserve">Deferred Compensation </w:t>
              </w:r>
            </w:hyperlink>
            <w:hyperlink r:id="rId115" w:history="1">
              <w:r>
                <w:rPr>
                  <w:rStyle w:val="a5"/>
                  <w:rFonts w:ascii="Times New Roman" w:eastAsia="宋体" w:hAnsi="Times New Roman"/>
                  <w:sz w:val="20"/>
                  <w:szCs w:val="20"/>
                </w:rPr>
                <w:t xml:space="preserve">Matching </w:t>
              </w:r>
            </w:hyperlink>
            <w:hyperlink r:id="rId116" w:history="1">
              <w:r>
                <w:rPr>
                  <w:rStyle w:val="a5"/>
                  <w:rFonts w:ascii="Times New Roman" w:eastAsia="宋体" w:hAnsi="Times New Roman"/>
                  <w:sz w:val="20"/>
                  <w:szCs w:val="20"/>
                </w:rPr>
                <w:t>Plan, as amended effective Febr</w:t>
              </w:r>
              <w:r>
                <w:rPr>
                  <w:rStyle w:val="a5"/>
                  <w:rFonts w:ascii="Times New Roman" w:eastAsia="宋体" w:hAnsi="Times New Roman"/>
                  <w:sz w:val="20"/>
                  <w:szCs w:val="20"/>
                </w:rPr>
                <w:t>uary 1, 2021</w:t>
              </w:r>
            </w:hyperlink>
          </w:p>
        </w:tc>
      </w:tr>
      <w:tr w:rsidR="00CC25B5" w14:paraId="442F84BA" w14:textId="77777777">
        <w:trPr>
          <w:trHeight w:val="100"/>
        </w:trPr>
        <w:tc>
          <w:tcPr>
            <w:tcW w:w="0" w:type="auto"/>
            <w:gridSpan w:val="3"/>
            <w:shd w:val="clear" w:color="auto" w:fill="auto"/>
            <w:tcMar>
              <w:top w:w="0" w:type="dxa"/>
              <w:left w:w="20" w:type="dxa"/>
              <w:bottom w:w="0" w:type="dxa"/>
              <w:right w:w="20" w:type="dxa"/>
            </w:tcMar>
            <w:vAlign w:val="bottom"/>
          </w:tcPr>
          <w:p w14:paraId="442F84B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B8"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B9" w14:textId="77777777" w:rsidR="00CC25B5" w:rsidRDefault="00CC25B5">
            <w:pPr>
              <w:rPr>
                <w:rFonts w:ascii="宋体"/>
              </w:rPr>
            </w:pPr>
          </w:p>
        </w:tc>
      </w:tr>
      <w:tr w:rsidR="00CC25B5" w14:paraId="442F84BE" w14:textId="77777777">
        <w:tc>
          <w:tcPr>
            <w:tcW w:w="0" w:type="auto"/>
            <w:gridSpan w:val="3"/>
            <w:shd w:val="clear" w:color="auto" w:fill="auto"/>
            <w:tcMar>
              <w:top w:w="40" w:type="dxa"/>
              <w:left w:w="20" w:type="dxa"/>
              <w:bottom w:w="40" w:type="dxa"/>
              <w:right w:w="20" w:type="dxa"/>
            </w:tcMar>
          </w:tcPr>
          <w:p w14:paraId="442F84BB" w14:textId="77777777" w:rsidR="00CC25B5" w:rsidRDefault="00900968">
            <w:pPr>
              <w:textAlignment w:val="top"/>
            </w:pPr>
            <w:r>
              <w:rPr>
                <w:rFonts w:ascii="Times New Roman" w:eastAsia="宋体" w:hAnsi="Times New Roman"/>
                <w:color w:val="000000"/>
                <w:sz w:val="20"/>
                <w:szCs w:val="20"/>
              </w:rPr>
              <w:t>Exhibit 31.1*</w:t>
            </w:r>
          </w:p>
        </w:tc>
        <w:tc>
          <w:tcPr>
            <w:tcW w:w="0" w:type="auto"/>
            <w:gridSpan w:val="3"/>
            <w:shd w:val="clear" w:color="auto" w:fill="auto"/>
            <w:tcMar>
              <w:top w:w="0" w:type="dxa"/>
              <w:left w:w="20" w:type="dxa"/>
              <w:bottom w:w="0" w:type="dxa"/>
              <w:right w:w="20" w:type="dxa"/>
            </w:tcMar>
            <w:vAlign w:val="bottom"/>
          </w:tcPr>
          <w:p w14:paraId="442F84BC"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4BD" w14:textId="77777777" w:rsidR="00CC25B5" w:rsidRDefault="00900968">
            <w:pPr>
              <w:textAlignment w:val="top"/>
            </w:pPr>
            <w:hyperlink r:id="rId117" w:history="1">
              <w:r>
                <w:rPr>
                  <w:rStyle w:val="a5"/>
                  <w:rFonts w:ascii="Times New Roman" w:eastAsia="宋体" w:hAnsi="Times New Roman"/>
                  <w:sz w:val="20"/>
                  <w:szCs w:val="20"/>
                </w:rPr>
                <w:t>Chief Executive Officer Section 302 Certification</w:t>
              </w:r>
            </w:hyperlink>
          </w:p>
        </w:tc>
      </w:tr>
      <w:tr w:rsidR="00CC25B5" w14:paraId="442F84C1" w14:textId="77777777">
        <w:trPr>
          <w:trHeight w:val="100"/>
        </w:trPr>
        <w:tc>
          <w:tcPr>
            <w:tcW w:w="0" w:type="auto"/>
            <w:gridSpan w:val="3"/>
            <w:shd w:val="clear" w:color="auto" w:fill="auto"/>
            <w:tcMar>
              <w:top w:w="0" w:type="dxa"/>
              <w:left w:w="20" w:type="dxa"/>
              <w:bottom w:w="0" w:type="dxa"/>
              <w:right w:w="20" w:type="dxa"/>
            </w:tcMar>
            <w:vAlign w:val="bottom"/>
          </w:tcPr>
          <w:p w14:paraId="442F84BF"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4C0" w14:textId="77777777" w:rsidR="00CC25B5" w:rsidRDefault="00CC25B5">
            <w:pPr>
              <w:rPr>
                <w:rFonts w:ascii="宋体"/>
              </w:rPr>
            </w:pPr>
          </w:p>
        </w:tc>
      </w:tr>
      <w:tr w:rsidR="00CC25B5" w14:paraId="442F84C5" w14:textId="77777777">
        <w:tc>
          <w:tcPr>
            <w:tcW w:w="0" w:type="auto"/>
            <w:gridSpan w:val="3"/>
            <w:shd w:val="clear" w:color="auto" w:fill="auto"/>
            <w:tcMar>
              <w:top w:w="40" w:type="dxa"/>
              <w:left w:w="20" w:type="dxa"/>
              <w:bottom w:w="40" w:type="dxa"/>
              <w:right w:w="20" w:type="dxa"/>
            </w:tcMar>
          </w:tcPr>
          <w:p w14:paraId="442F84C2" w14:textId="77777777" w:rsidR="00CC25B5" w:rsidRDefault="00900968">
            <w:pPr>
              <w:textAlignment w:val="top"/>
            </w:pPr>
            <w:r>
              <w:rPr>
                <w:rFonts w:ascii="Times New Roman" w:eastAsia="宋体" w:hAnsi="Times New Roman"/>
                <w:color w:val="000000"/>
                <w:sz w:val="20"/>
                <w:szCs w:val="20"/>
              </w:rPr>
              <w:t>Exhibit 31.2*</w:t>
            </w:r>
          </w:p>
        </w:tc>
        <w:tc>
          <w:tcPr>
            <w:tcW w:w="0" w:type="auto"/>
            <w:gridSpan w:val="3"/>
            <w:shd w:val="clear" w:color="auto" w:fill="auto"/>
            <w:tcMar>
              <w:top w:w="0" w:type="dxa"/>
              <w:left w:w="20" w:type="dxa"/>
              <w:bottom w:w="0" w:type="dxa"/>
              <w:right w:w="20" w:type="dxa"/>
            </w:tcMar>
            <w:vAlign w:val="bottom"/>
          </w:tcPr>
          <w:p w14:paraId="442F84C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4C4" w14:textId="77777777" w:rsidR="00CC25B5" w:rsidRDefault="00900968">
            <w:pPr>
              <w:textAlignment w:val="top"/>
            </w:pPr>
            <w:hyperlink r:id="rId118" w:history="1">
              <w:r>
                <w:rPr>
                  <w:rStyle w:val="a5"/>
                  <w:rFonts w:ascii="Times New Roman" w:eastAsia="宋体" w:hAnsi="Times New Roman"/>
                  <w:sz w:val="20"/>
                  <w:szCs w:val="20"/>
                </w:rPr>
                <w:t>Chief Financial Officer Section 302 Certification</w:t>
              </w:r>
            </w:hyperlink>
          </w:p>
        </w:tc>
      </w:tr>
      <w:tr w:rsidR="00CC25B5" w14:paraId="442F84C8" w14:textId="77777777">
        <w:trPr>
          <w:trHeight w:val="100"/>
        </w:trPr>
        <w:tc>
          <w:tcPr>
            <w:tcW w:w="0" w:type="auto"/>
            <w:gridSpan w:val="3"/>
            <w:shd w:val="clear" w:color="auto" w:fill="auto"/>
            <w:tcMar>
              <w:top w:w="0" w:type="dxa"/>
              <w:left w:w="20" w:type="dxa"/>
              <w:bottom w:w="0" w:type="dxa"/>
              <w:right w:w="20" w:type="dxa"/>
            </w:tcMar>
            <w:vAlign w:val="bottom"/>
          </w:tcPr>
          <w:p w14:paraId="442F84C6"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4C7" w14:textId="77777777" w:rsidR="00CC25B5" w:rsidRDefault="00CC25B5">
            <w:pPr>
              <w:rPr>
                <w:rFonts w:ascii="宋体"/>
              </w:rPr>
            </w:pPr>
          </w:p>
        </w:tc>
      </w:tr>
      <w:tr w:rsidR="00CC25B5" w14:paraId="442F84CC" w14:textId="77777777">
        <w:tc>
          <w:tcPr>
            <w:tcW w:w="0" w:type="auto"/>
            <w:gridSpan w:val="3"/>
            <w:shd w:val="clear" w:color="auto" w:fill="auto"/>
            <w:tcMar>
              <w:top w:w="40" w:type="dxa"/>
              <w:left w:w="20" w:type="dxa"/>
              <w:bottom w:w="40" w:type="dxa"/>
              <w:right w:w="20" w:type="dxa"/>
            </w:tcMar>
          </w:tcPr>
          <w:p w14:paraId="442F84C9" w14:textId="77777777" w:rsidR="00CC25B5" w:rsidRDefault="00900968">
            <w:pPr>
              <w:textAlignment w:val="top"/>
            </w:pPr>
            <w:r>
              <w:rPr>
                <w:rFonts w:ascii="Times New Roman" w:eastAsia="宋体" w:hAnsi="Times New Roman"/>
                <w:color w:val="000000"/>
                <w:sz w:val="20"/>
                <w:szCs w:val="20"/>
              </w:rPr>
              <w:t>Exhibit 32.1**</w:t>
            </w:r>
          </w:p>
        </w:tc>
        <w:tc>
          <w:tcPr>
            <w:tcW w:w="0" w:type="auto"/>
            <w:gridSpan w:val="3"/>
            <w:shd w:val="clear" w:color="auto" w:fill="auto"/>
            <w:tcMar>
              <w:top w:w="0" w:type="dxa"/>
              <w:left w:w="20" w:type="dxa"/>
              <w:bottom w:w="0" w:type="dxa"/>
              <w:right w:w="20" w:type="dxa"/>
            </w:tcMar>
            <w:vAlign w:val="bottom"/>
          </w:tcPr>
          <w:p w14:paraId="442F84CA"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4CB" w14:textId="77777777" w:rsidR="00CC25B5" w:rsidRDefault="00900968">
            <w:pPr>
              <w:textAlignment w:val="top"/>
            </w:pPr>
            <w:hyperlink r:id="rId119" w:history="1">
              <w:r>
                <w:rPr>
                  <w:rStyle w:val="a5"/>
                  <w:rFonts w:ascii="Times New Roman" w:eastAsia="宋体" w:hAnsi="Times New Roman"/>
                  <w:sz w:val="20"/>
                  <w:szCs w:val="20"/>
                </w:rPr>
                <w:t>Chief Executive Officer Section 906 Certification</w:t>
              </w:r>
            </w:hyperlink>
          </w:p>
        </w:tc>
      </w:tr>
      <w:tr w:rsidR="00CC25B5" w14:paraId="442F84CF" w14:textId="77777777">
        <w:trPr>
          <w:trHeight w:val="100"/>
        </w:trPr>
        <w:tc>
          <w:tcPr>
            <w:tcW w:w="0" w:type="auto"/>
            <w:gridSpan w:val="3"/>
            <w:shd w:val="clear" w:color="auto" w:fill="auto"/>
            <w:tcMar>
              <w:top w:w="0" w:type="dxa"/>
              <w:left w:w="20" w:type="dxa"/>
              <w:bottom w:w="0" w:type="dxa"/>
              <w:right w:w="20" w:type="dxa"/>
            </w:tcMar>
            <w:vAlign w:val="bottom"/>
          </w:tcPr>
          <w:p w14:paraId="442F84CD"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4CE" w14:textId="77777777" w:rsidR="00CC25B5" w:rsidRDefault="00CC25B5">
            <w:pPr>
              <w:rPr>
                <w:rFonts w:ascii="宋体"/>
              </w:rPr>
            </w:pPr>
          </w:p>
        </w:tc>
      </w:tr>
      <w:tr w:rsidR="00CC25B5" w14:paraId="442F84D3" w14:textId="77777777">
        <w:tc>
          <w:tcPr>
            <w:tcW w:w="0" w:type="auto"/>
            <w:gridSpan w:val="3"/>
            <w:shd w:val="clear" w:color="auto" w:fill="auto"/>
            <w:tcMar>
              <w:top w:w="40" w:type="dxa"/>
              <w:left w:w="20" w:type="dxa"/>
              <w:bottom w:w="40" w:type="dxa"/>
              <w:right w:w="20" w:type="dxa"/>
            </w:tcMar>
          </w:tcPr>
          <w:p w14:paraId="442F84D0" w14:textId="77777777" w:rsidR="00CC25B5" w:rsidRDefault="00900968">
            <w:pPr>
              <w:textAlignment w:val="top"/>
            </w:pPr>
            <w:r>
              <w:rPr>
                <w:rFonts w:ascii="Times New Roman" w:eastAsia="宋体" w:hAnsi="Times New Roman"/>
                <w:color w:val="000000"/>
                <w:sz w:val="20"/>
                <w:szCs w:val="20"/>
              </w:rPr>
              <w:t>Exhibit 32.2**</w:t>
            </w:r>
          </w:p>
        </w:tc>
        <w:tc>
          <w:tcPr>
            <w:tcW w:w="0" w:type="auto"/>
            <w:gridSpan w:val="3"/>
            <w:shd w:val="clear" w:color="auto" w:fill="auto"/>
            <w:tcMar>
              <w:top w:w="0" w:type="dxa"/>
              <w:left w:w="20" w:type="dxa"/>
              <w:bottom w:w="0" w:type="dxa"/>
              <w:right w:w="20" w:type="dxa"/>
            </w:tcMar>
            <w:vAlign w:val="bottom"/>
          </w:tcPr>
          <w:p w14:paraId="442F84D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4D2" w14:textId="77777777" w:rsidR="00CC25B5" w:rsidRDefault="00900968">
            <w:pPr>
              <w:textAlignment w:val="top"/>
            </w:pPr>
            <w:hyperlink r:id="rId120" w:history="1">
              <w:r>
                <w:rPr>
                  <w:rStyle w:val="a5"/>
                  <w:rFonts w:ascii="Times New Roman" w:eastAsia="宋体" w:hAnsi="Times New Roman"/>
                  <w:sz w:val="20"/>
                  <w:szCs w:val="20"/>
                </w:rPr>
                <w:t>Chief Financial Officer Section 906 Certification</w:t>
              </w:r>
            </w:hyperlink>
          </w:p>
        </w:tc>
      </w:tr>
      <w:tr w:rsidR="00CC25B5" w14:paraId="442F84D9" w14:textId="77777777">
        <w:trPr>
          <w:hidden/>
        </w:trPr>
        <w:tc>
          <w:tcPr>
            <w:tcW w:w="0" w:type="auto"/>
            <w:gridSpan w:val="3"/>
            <w:shd w:val="clear" w:color="auto" w:fill="auto"/>
            <w:vAlign w:val="bottom"/>
          </w:tcPr>
          <w:p w14:paraId="442F84D4" w14:textId="77777777" w:rsidR="00CC25B5" w:rsidRDefault="00CC25B5">
            <w:pPr>
              <w:rPr>
                <w:rFonts w:ascii="宋体"/>
                <w:vanish/>
              </w:rPr>
            </w:pPr>
          </w:p>
        </w:tc>
        <w:tc>
          <w:tcPr>
            <w:tcW w:w="0" w:type="auto"/>
            <w:gridSpan w:val="3"/>
            <w:shd w:val="clear" w:color="auto" w:fill="auto"/>
            <w:vAlign w:val="bottom"/>
          </w:tcPr>
          <w:p w14:paraId="442F84D5" w14:textId="77777777" w:rsidR="00CC25B5" w:rsidRDefault="00CC25B5">
            <w:pPr>
              <w:rPr>
                <w:rFonts w:ascii="宋体"/>
                <w:vanish/>
              </w:rPr>
            </w:pPr>
          </w:p>
        </w:tc>
        <w:tc>
          <w:tcPr>
            <w:tcW w:w="0" w:type="auto"/>
            <w:shd w:val="clear" w:color="auto" w:fill="auto"/>
            <w:vAlign w:val="bottom"/>
          </w:tcPr>
          <w:p w14:paraId="442F84D6" w14:textId="77777777" w:rsidR="00CC25B5" w:rsidRDefault="00CC25B5">
            <w:pPr>
              <w:rPr>
                <w:rFonts w:ascii="宋体"/>
              </w:rPr>
            </w:pPr>
          </w:p>
        </w:tc>
        <w:tc>
          <w:tcPr>
            <w:tcW w:w="0" w:type="auto"/>
            <w:shd w:val="clear" w:color="auto" w:fill="auto"/>
            <w:vAlign w:val="bottom"/>
          </w:tcPr>
          <w:p w14:paraId="442F84D7" w14:textId="77777777" w:rsidR="00CC25B5" w:rsidRDefault="00CC25B5">
            <w:pPr>
              <w:rPr>
                <w:rFonts w:ascii="宋体"/>
              </w:rPr>
            </w:pPr>
          </w:p>
        </w:tc>
        <w:tc>
          <w:tcPr>
            <w:tcW w:w="0" w:type="auto"/>
            <w:shd w:val="clear" w:color="auto" w:fill="auto"/>
            <w:vAlign w:val="bottom"/>
          </w:tcPr>
          <w:p w14:paraId="442F84D8" w14:textId="77777777" w:rsidR="00CC25B5" w:rsidRDefault="00CC25B5">
            <w:pPr>
              <w:rPr>
                <w:rFonts w:ascii="宋体"/>
              </w:rPr>
            </w:pPr>
          </w:p>
        </w:tc>
      </w:tr>
      <w:tr w:rsidR="00CC25B5" w14:paraId="442F84DD" w14:textId="77777777">
        <w:trPr>
          <w:hidden/>
        </w:trPr>
        <w:tc>
          <w:tcPr>
            <w:tcW w:w="0" w:type="auto"/>
            <w:gridSpan w:val="3"/>
            <w:shd w:val="clear" w:color="auto" w:fill="auto"/>
            <w:vAlign w:val="bottom"/>
          </w:tcPr>
          <w:p w14:paraId="442F84DA" w14:textId="77777777" w:rsidR="00CC25B5" w:rsidRDefault="00CC25B5">
            <w:pPr>
              <w:rPr>
                <w:rFonts w:ascii="宋体"/>
                <w:vanish/>
              </w:rPr>
            </w:pPr>
          </w:p>
        </w:tc>
        <w:tc>
          <w:tcPr>
            <w:tcW w:w="0" w:type="auto"/>
            <w:gridSpan w:val="3"/>
            <w:shd w:val="clear" w:color="auto" w:fill="auto"/>
            <w:vAlign w:val="bottom"/>
          </w:tcPr>
          <w:p w14:paraId="442F84DB" w14:textId="77777777" w:rsidR="00CC25B5" w:rsidRDefault="00CC25B5">
            <w:pPr>
              <w:rPr>
                <w:rFonts w:ascii="宋体"/>
                <w:vanish/>
              </w:rPr>
            </w:pPr>
          </w:p>
        </w:tc>
        <w:tc>
          <w:tcPr>
            <w:tcW w:w="0" w:type="auto"/>
            <w:gridSpan w:val="3"/>
            <w:shd w:val="clear" w:color="auto" w:fill="auto"/>
            <w:vAlign w:val="bottom"/>
          </w:tcPr>
          <w:p w14:paraId="442F84DC" w14:textId="77777777" w:rsidR="00CC25B5" w:rsidRDefault="00CC25B5">
            <w:pPr>
              <w:rPr>
                <w:rFonts w:ascii="宋体"/>
                <w:vanish/>
              </w:rPr>
            </w:pPr>
          </w:p>
        </w:tc>
      </w:tr>
      <w:tr w:rsidR="00CC25B5" w14:paraId="442F84E1" w14:textId="77777777">
        <w:trPr>
          <w:trHeight w:val="100"/>
        </w:trPr>
        <w:tc>
          <w:tcPr>
            <w:tcW w:w="0" w:type="auto"/>
            <w:gridSpan w:val="3"/>
            <w:shd w:val="clear" w:color="auto" w:fill="auto"/>
            <w:tcMar>
              <w:top w:w="0" w:type="dxa"/>
              <w:left w:w="20" w:type="dxa"/>
              <w:bottom w:w="0" w:type="dxa"/>
              <w:right w:w="20" w:type="dxa"/>
            </w:tcMar>
            <w:vAlign w:val="bottom"/>
          </w:tcPr>
          <w:p w14:paraId="442F84D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D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4E0" w14:textId="77777777" w:rsidR="00CC25B5" w:rsidRDefault="00CC25B5">
            <w:pPr>
              <w:rPr>
                <w:rFonts w:ascii="宋体"/>
              </w:rPr>
            </w:pPr>
          </w:p>
        </w:tc>
      </w:tr>
      <w:tr w:rsidR="00CC25B5" w14:paraId="442F84E5" w14:textId="77777777">
        <w:tc>
          <w:tcPr>
            <w:tcW w:w="0" w:type="auto"/>
            <w:gridSpan w:val="3"/>
            <w:shd w:val="clear" w:color="auto" w:fill="auto"/>
            <w:tcMar>
              <w:top w:w="40" w:type="dxa"/>
              <w:left w:w="20" w:type="dxa"/>
              <w:bottom w:w="40" w:type="dxa"/>
              <w:right w:w="20" w:type="dxa"/>
            </w:tcMar>
            <w:vAlign w:val="bottom"/>
          </w:tcPr>
          <w:p w14:paraId="442F84E2" w14:textId="77777777" w:rsidR="00CC25B5" w:rsidRDefault="00900968">
            <w:pPr>
              <w:textAlignment w:val="bottom"/>
            </w:pPr>
            <w:r>
              <w:rPr>
                <w:rFonts w:ascii="Times New Roman" w:eastAsia="宋体" w:hAnsi="Times New Roman"/>
                <w:color w:val="000000"/>
                <w:sz w:val="20"/>
                <w:szCs w:val="20"/>
              </w:rPr>
              <w:t>Exhibit 99.1*</w:t>
            </w:r>
          </w:p>
        </w:tc>
        <w:tc>
          <w:tcPr>
            <w:tcW w:w="0" w:type="auto"/>
            <w:gridSpan w:val="3"/>
            <w:shd w:val="clear" w:color="auto" w:fill="auto"/>
            <w:tcMar>
              <w:top w:w="0" w:type="dxa"/>
              <w:left w:w="20" w:type="dxa"/>
              <w:bottom w:w="0" w:type="dxa"/>
              <w:right w:w="20" w:type="dxa"/>
            </w:tcMar>
            <w:vAlign w:val="bottom"/>
          </w:tcPr>
          <w:p w14:paraId="442F84E3"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4E4" w14:textId="77777777" w:rsidR="00CC25B5" w:rsidRDefault="00900968">
            <w:pPr>
              <w:textAlignment w:val="bottom"/>
            </w:pPr>
            <w:hyperlink r:id="rId121" w:history="1">
              <w:r>
                <w:rPr>
                  <w:rStyle w:val="a5"/>
                  <w:rFonts w:ascii="Times New Roman" w:eastAsia="宋体" w:hAnsi="Times New Roman"/>
                  <w:sz w:val="20"/>
                  <w:szCs w:val="20"/>
                </w:rPr>
                <w:t>State Court Opioids Litigation Case Citations and Currently Scheduled Trial Dates</w:t>
              </w:r>
            </w:hyperlink>
          </w:p>
        </w:tc>
      </w:tr>
      <w:tr w:rsidR="00CC25B5" w14:paraId="442F84E8" w14:textId="77777777">
        <w:trPr>
          <w:trHeight w:val="100"/>
        </w:trPr>
        <w:tc>
          <w:tcPr>
            <w:tcW w:w="0" w:type="auto"/>
            <w:gridSpan w:val="3"/>
            <w:shd w:val="clear" w:color="auto" w:fill="auto"/>
            <w:tcMar>
              <w:top w:w="0" w:type="dxa"/>
              <w:left w:w="20" w:type="dxa"/>
              <w:bottom w:w="0" w:type="dxa"/>
              <w:right w:w="20" w:type="dxa"/>
            </w:tcMar>
            <w:vAlign w:val="bottom"/>
          </w:tcPr>
          <w:p w14:paraId="442F84E6"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4E7" w14:textId="77777777" w:rsidR="00CC25B5" w:rsidRDefault="00CC25B5">
            <w:pPr>
              <w:rPr>
                <w:rFonts w:ascii="宋体"/>
              </w:rPr>
            </w:pPr>
          </w:p>
        </w:tc>
      </w:tr>
      <w:tr w:rsidR="00CC25B5" w14:paraId="442F84EC" w14:textId="77777777">
        <w:trPr>
          <w:hidden/>
        </w:trPr>
        <w:tc>
          <w:tcPr>
            <w:tcW w:w="0" w:type="auto"/>
            <w:gridSpan w:val="3"/>
            <w:shd w:val="clear" w:color="auto" w:fill="auto"/>
            <w:vAlign w:val="bottom"/>
          </w:tcPr>
          <w:p w14:paraId="442F84E9" w14:textId="77777777" w:rsidR="00CC25B5" w:rsidRDefault="00CC25B5">
            <w:pPr>
              <w:rPr>
                <w:rFonts w:ascii="宋体"/>
                <w:vanish/>
              </w:rPr>
            </w:pPr>
          </w:p>
        </w:tc>
        <w:tc>
          <w:tcPr>
            <w:tcW w:w="0" w:type="auto"/>
            <w:gridSpan w:val="3"/>
            <w:shd w:val="clear" w:color="auto" w:fill="auto"/>
            <w:vAlign w:val="bottom"/>
          </w:tcPr>
          <w:p w14:paraId="442F84EA" w14:textId="77777777" w:rsidR="00CC25B5" w:rsidRDefault="00CC25B5">
            <w:pPr>
              <w:rPr>
                <w:rFonts w:ascii="宋体"/>
                <w:vanish/>
              </w:rPr>
            </w:pPr>
          </w:p>
        </w:tc>
        <w:tc>
          <w:tcPr>
            <w:tcW w:w="0" w:type="auto"/>
            <w:gridSpan w:val="3"/>
            <w:shd w:val="clear" w:color="auto" w:fill="auto"/>
            <w:vAlign w:val="bottom"/>
          </w:tcPr>
          <w:p w14:paraId="442F84EB" w14:textId="77777777" w:rsidR="00CC25B5" w:rsidRDefault="00CC25B5">
            <w:pPr>
              <w:rPr>
                <w:rFonts w:ascii="宋体"/>
                <w:vanish/>
              </w:rPr>
            </w:pPr>
          </w:p>
        </w:tc>
      </w:tr>
      <w:tr w:rsidR="00CC25B5" w14:paraId="442F84F0" w14:textId="77777777">
        <w:trPr>
          <w:hidden/>
        </w:trPr>
        <w:tc>
          <w:tcPr>
            <w:tcW w:w="0" w:type="auto"/>
            <w:gridSpan w:val="3"/>
            <w:shd w:val="clear" w:color="auto" w:fill="auto"/>
            <w:vAlign w:val="bottom"/>
          </w:tcPr>
          <w:p w14:paraId="442F84ED" w14:textId="77777777" w:rsidR="00CC25B5" w:rsidRDefault="00CC25B5">
            <w:pPr>
              <w:rPr>
                <w:rFonts w:ascii="宋体"/>
                <w:vanish/>
              </w:rPr>
            </w:pPr>
          </w:p>
        </w:tc>
        <w:tc>
          <w:tcPr>
            <w:tcW w:w="0" w:type="auto"/>
            <w:gridSpan w:val="3"/>
            <w:shd w:val="clear" w:color="auto" w:fill="auto"/>
            <w:vAlign w:val="bottom"/>
          </w:tcPr>
          <w:p w14:paraId="442F84EE" w14:textId="77777777" w:rsidR="00CC25B5" w:rsidRDefault="00CC25B5">
            <w:pPr>
              <w:rPr>
                <w:rFonts w:ascii="宋体"/>
                <w:vanish/>
              </w:rPr>
            </w:pPr>
          </w:p>
        </w:tc>
        <w:tc>
          <w:tcPr>
            <w:tcW w:w="0" w:type="auto"/>
            <w:gridSpan w:val="3"/>
            <w:shd w:val="clear" w:color="auto" w:fill="auto"/>
            <w:vAlign w:val="bottom"/>
          </w:tcPr>
          <w:p w14:paraId="442F84EF" w14:textId="77777777" w:rsidR="00CC25B5" w:rsidRDefault="00CC25B5">
            <w:pPr>
              <w:rPr>
                <w:rFonts w:ascii="宋体"/>
                <w:vanish/>
              </w:rPr>
            </w:pPr>
          </w:p>
        </w:tc>
      </w:tr>
      <w:tr w:rsidR="00CC25B5" w14:paraId="442F84F4" w14:textId="77777777">
        <w:trPr>
          <w:hidden/>
        </w:trPr>
        <w:tc>
          <w:tcPr>
            <w:tcW w:w="0" w:type="auto"/>
            <w:gridSpan w:val="3"/>
            <w:shd w:val="clear" w:color="auto" w:fill="auto"/>
            <w:vAlign w:val="bottom"/>
          </w:tcPr>
          <w:p w14:paraId="442F84F1" w14:textId="77777777" w:rsidR="00CC25B5" w:rsidRDefault="00CC25B5">
            <w:pPr>
              <w:rPr>
                <w:rFonts w:ascii="宋体"/>
                <w:vanish/>
              </w:rPr>
            </w:pPr>
          </w:p>
        </w:tc>
        <w:tc>
          <w:tcPr>
            <w:tcW w:w="0" w:type="auto"/>
            <w:gridSpan w:val="3"/>
            <w:shd w:val="clear" w:color="auto" w:fill="auto"/>
            <w:vAlign w:val="bottom"/>
          </w:tcPr>
          <w:p w14:paraId="442F84F2" w14:textId="77777777" w:rsidR="00CC25B5" w:rsidRDefault="00CC25B5">
            <w:pPr>
              <w:rPr>
                <w:rFonts w:ascii="宋体"/>
                <w:vanish/>
              </w:rPr>
            </w:pPr>
          </w:p>
        </w:tc>
        <w:tc>
          <w:tcPr>
            <w:tcW w:w="0" w:type="auto"/>
            <w:gridSpan w:val="3"/>
            <w:shd w:val="clear" w:color="auto" w:fill="auto"/>
            <w:vAlign w:val="bottom"/>
          </w:tcPr>
          <w:p w14:paraId="442F84F3" w14:textId="77777777" w:rsidR="00CC25B5" w:rsidRDefault="00CC25B5">
            <w:pPr>
              <w:rPr>
                <w:rFonts w:ascii="宋体"/>
                <w:vanish/>
              </w:rPr>
            </w:pPr>
          </w:p>
        </w:tc>
      </w:tr>
      <w:tr w:rsidR="00CC25B5" w14:paraId="442F84F8" w14:textId="77777777">
        <w:trPr>
          <w:hidden/>
        </w:trPr>
        <w:tc>
          <w:tcPr>
            <w:tcW w:w="0" w:type="auto"/>
            <w:gridSpan w:val="3"/>
            <w:shd w:val="clear" w:color="auto" w:fill="auto"/>
            <w:vAlign w:val="bottom"/>
          </w:tcPr>
          <w:p w14:paraId="442F84F5" w14:textId="77777777" w:rsidR="00CC25B5" w:rsidRDefault="00CC25B5">
            <w:pPr>
              <w:rPr>
                <w:rFonts w:ascii="宋体"/>
                <w:vanish/>
              </w:rPr>
            </w:pPr>
          </w:p>
        </w:tc>
        <w:tc>
          <w:tcPr>
            <w:tcW w:w="0" w:type="auto"/>
            <w:gridSpan w:val="3"/>
            <w:shd w:val="clear" w:color="auto" w:fill="auto"/>
            <w:vAlign w:val="bottom"/>
          </w:tcPr>
          <w:p w14:paraId="442F84F6" w14:textId="77777777" w:rsidR="00CC25B5" w:rsidRDefault="00CC25B5">
            <w:pPr>
              <w:rPr>
                <w:rFonts w:ascii="宋体"/>
                <w:vanish/>
              </w:rPr>
            </w:pPr>
          </w:p>
        </w:tc>
        <w:tc>
          <w:tcPr>
            <w:tcW w:w="0" w:type="auto"/>
            <w:gridSpan w:val="3"/>
            <w:shd w:val="clear" w:color="auto" w:fill="auto"/>
            <w:vAlign w:val="bottom"/>
          </w:tcPr>
          <w:p w14:paraId="442F84F7" w14:textId="77777777" w:rsidR="00CC25B5" w:rsidRDefault="00CC25B5">
            <w:pPr>
              <w:rPr>
                <w:rFonts w:ascii="宋体"/>
                <w:vanish/>
              </w:rPr>
            </w:pPr>
          </w:p>
        </w:tc>
      </w:tr>
      <w:tr w:rsidR="00CC25B5" w14:paraId="442F84FC" w14:textId="77777777">
        <w:trPr>
          <w:hidden/>
        </w:trPr>
        <w:tc>
          <w:tcPr>
            <w:tcW w:w="0" w:type="auto"/>
            <w:gridSpan w:val="3"/>
            <w:shd w:val="clear" w:color="auto" w:fill="auto"/>
            <w:vAlign w:val="bottom"/>
          </w:tcPr>
          <w:p w14:paraId="442F84F9" w14:textId="77777777" w:rsidR="00CC25B5" w:rsidRDefault="00CC25B5">
            <w:pPr>
              <w:rPr>
                <w:rFonts w:ascii="宋体"/>
                <w:vanish/>
              </w:rPr>
            </w:pPr>
          </w:p>
        </w:tc>
        <w:tc>
          <w:tcPr>
            <w:tcW w:w="0" w:type="auto"/>
            <w:gridSpan w:val="3"/>
            <w:shd w:val="clear" w:color="auto" w:fill="auto"/>
            <w:vAlign w:val="bottom"/>
          </w:tcPr>
          <w:p w14:paraId="442F84FA" w14:textId="77777777" w:rsidR="00CC25B5" w:rsidRDefault="00CC25B5">
            <w:pPr>
              <w:rPr>
                <w:rFonts w:ascii="宋体"/>
                <w:vanish/>
              </w:rPr>
            </w:pPr>
          </w:p>
        </w:tc>
        <w:tc>
          <w:tcPr>
            <w:tcW w:w="0" w:type="auto"/>
            <w:gridSpan w:val="3"/>
            <w:shd w:val="clear" w:color="auto" w:fill="auto"/>
            <w:vAlign w:val="bottom"/>
          </w:tcPr>
          <w:p w14:paraId="442F84FB" w14:textId="77777777" w:rsidR="00CC25B5" w:rsidRDefault="00CC25B5">
            <w:pPr>
              <w:rPr>
                <w:rFonts w:ascii="宋体"/>
                <w:vanish/>
              </w:rPr>
            </w:pPr>
          </w:p>
        </w:tc>
      </w:tr>
      <w:tr w:rsidR="00CC25B5" w14:paraId="442F8500" w14:textId="77777777">
        <w:trPr>
          <w:hidden/>
        </w:trPr>
        <w:tc>
          <w:tcPr>
            <w:tcW w:w="0" w:type="auto"/>
            <w:gridSpan w:val="3"/>
            <w:shd w:val="clear" w:color="auto" w:fill="auto"/>
            <w:vAlign w:val="bottom"/>
          </w:tcPr>
          <w:p w14:paraId="442F84FD" w14:textId="77777777" w:rsidR="00CC25B5" w:rsidRDefault="00CC25B5">
            <w:pPr>
              <w:rPr>
                <w:rFonts w:ascii="宋体"/>
                <w:vanish/>
              </w:rPr>
            </w:pPr>
          </w:p>
        </w:tc>
        <w:tc>
          <w:tcPr>
            <w:tcW w:w="0" w:type="auto"/>
            <w:gridSpan w:val="3"/>
            <w:shd w:val="clear" w:color="auto" w:fill="auto"/>
            <w:vAlign w:val="bottom"/>
          </w:tcPr>
          <w:p w14:paraId="442F84FE" w14:textId="77777777" w:rsidR="00CC25B5" w:rsidRDefault="00CC25B5">
            <w:pPr>
              <w:rPr>
                <w:rFonts w:ascii="宋体"/>
                <w:vanish/>
              </w:rPr>
            </w:pPr>
          </w:p>
        </w:tc>
        <w:tc>
          <w:tcPr>
            <w:tcW w:w="0" w:type="auto"/>
            <w:gridSpan w:val="3"/>
            <w:shd w:val="clear" w:color="auto" w:fill="auto"/>
            <w:vAlign w:val="bottom"/>
          </w:tcPr>
          <w:p w14:paraId="442F84FF" w14:textId="77777777" w:rsidR="00CC25B5" w:rsidRDefault="00CC25B5">
            <w:pPr>
              <w:rPr>
                <w:rFonts w:ascii="宋体"/>
                <w:vanish/>
              </w:rPr>
            </w:pPr>
          </w:p>
        </w:tc>
      </w:tr>
      <w:tr w:rsidR="00CC25B5" w14:paraId="442F8504" w14:textId="77777777">
        <w:trPr>
          <w:hidden/>
        </w:trPr>
        <w:tc>
          <w:tcPr>
            <w:tcW w:w="0" w:type="auto"/>
            <w:gridSpan w:val="3"/>
            <w:shd w:val="clear" w:color="auto" w:fill="auto"/>
            <w:vAlign w:val="bottom"/>
          </w:tcPr>
          <w:p w14:paraId="442F8501" w14:textId="77777777" w:rsidR="00CC25B5" w:rsidRDefault="00CC25B5">
            <w:pPr>
              <w:rPr>
                <w:rFonts w:ascii="宋体"/>
                <w:vanish/>
              </w:rPr>
            </w:pPr>
          </w:p>
        </w:tc>
        <w:tc>
          <w:tcPr>
            <w:tcW w:w="0" w:type="auto"/>
            <w:gridSpan w:val="3"/>
            <w:shd w:val="clear" w:color="auto" w:fill="auto"/>
            <w:vAlign w:val="bottom"/>
          </w:tcPr>
          <w:p w14:paraId="442F8502" w14:textId="77777777" w:rsidR="00CC25B5" w:rsidRDefault="00CC25B5">
            <w:pPr>
              <w:rPr>
                <w:rFonts w:ascii="宋体"/>
                <w:vanish/>
              </w:rPr>
            </w:pPr>
          </w:p>
        </w:tc>
        <w:tc>
          <w:tcPr>
            <w:tcW w:w="0" w:type="auto"/>
            <w:gridSpan w:val="3"/>
            <w:shd w:val="clear" w:color="auto" w:fill="auto"/>
            <w:vAlign w:val="bottom"/>
          </w:tcPr>
          <w:p w14:paraId="442F8503" w14:textId="77777777" w:rsidR="00CC25B5" w:rsidRDefault="00CC25B5">
            <w:pPr>
              <w:rPr>
                <w:rFonts w:ascii="宋体"/>
                <w:vanish/>
              </w:rPr>
            </w:pPr>
          </w:p>
        </w:tc>
      </w:tr>
      <w:tr w:rsidR="00CC25B5" w14:paraId="442F8508" w14:textId="77777777">
        <w:trPr>
          <w:hidden/>
        </w:trPr>
        <w:tc>
          <w:tcPr>
            <w:tcW w:w="0" w:type="auto"/>
            <w:gridSpan w:val="3"/>
            <w:shd w:val="clear" w:color="auto" w:fill="auto"/>
            <w:vAlign w:val="bottom"/>
          </w:tcPr>
          <w:p w14:paraId="442F8505" w14:textId="77777777" w:rsidR="00CC25B5" w:rsidRDefault="00CC25B5">
            <w:pPr>
              <w:rPr>
                <w:rFonts w:ascii="宋体"/>
                <w:vanish/>
              </w:rPr>
            </w:pPr>
          </w:p>
        </w:tc>
        <w:tc>
          <w:tcPr>
            <w:tcW w:w="0" w:type="auto"/>
            <w:gridSpan w:val="3"/>
            <w:shd w:val="clear" w:color="auto" w:fill="auto"/>
            <w:vAlign w:val="bottom"/>
          </w:tcPr>
          <w:p w14:paraId="442F8506" w14:textId="77777777" w:rsidR="00CC25B5" w:rsidRDefault="00CC25B5">
            <w:pPr>
              <w:rPr>
                <w:rFonts w:ascii="宋体"/>
                <w:vanish/>
              </w:rPr>
            </w:pPr>
          </w:p>
        </w:tc>
        <w:tc>
          <w:tcPr>
            <w:tcW w:w="0" w:type="auto"/>
            <w:gridSpan w:val="3"/>
            <w:shd w:val="clear" w:color="auto" w:fill="auto"/>
            <w:vAlign w:val="bottom"/>
          </w:tcPr>
          <w:p w14:paraId="442F8507" w14:textId="77777777" w:rsidR="00CC25B5" w:rsidRDefault="00CC25B5">
            <w:pPr>
              <w:rPr>
                <w:rFonts w:ascii="宋体"/>
                <w:vanish/>
              </w:rPr>
            </w:pPr>
          </w:p>
        </w:tc>
      </w:tr>
      <w:tr w:rsidR="00CC25B5" w14:paraId="442F850C" w14:textId="77777777">
        <w:tc>
          <w:tcPr>
            <w:tcW w:w="0" w:type="auto"/>
            <w:gridSpan w:val="3"/>
            <w:shd w:val="clear" w:color="auto" w:fill="auto"/>
            <w:tcMar>
              <w:top w:w="40" w:type="dxa"/>
              <w:left w:w="20" w:type="dxa"/>
              <w:bottom w:w="40" w:type="dxa"/>
              <w:right w:w="20" w:type="dxa"/>
            </w:tcMar>
          </w:tcPr>
          <w:p w14:paraId="442F8509" w14:textId="77777777" w:rsidR="00CC25B5" w:rsidRDefault="00900968">
            <w:pPr>
              <w:textAlignment w:val="top"/>
            </w:pPr>
            <w:r>
              <w:rPr>
                <w:rFonts w:ascii="Times New Roman" w:eastAsia="宋体" w:hAnsi="Times New Roman"/>
                <w:color w:val="000000"/>
                <w:sz w:val="20"/>
                <w:szCs w:val="20"/>
              </w:rPr>
              <w:t>Exhibit 101.INS*</w:t>
            </w:r>
          </w:p>
        </w:tc>
        <w:tc>
          <w:tcPr>
            <w:tcW w:w="0" w:type="auto"/>
            <w:gridSpan w:val="3"/>
            <w:shd w:val="clear" w:color="auto" w:fill="auto"/>
            <w:tcMar>
              <w:top w:w="0" w:type="dxa"/>
              <w:left w:w="20" w:type="dxa"/>
              <w:bottom w:w="0" w:type="dxa"/>
              <w:right w:w="20" w:type="dxa"/>
            </w:tcMar>
            <w:vAlign w:val="bottom"/>
          </w:tcPr>
          <w:p w14:paraId="442F850A"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50B" w14:textId="77777777" w:rsidR="00CC25B5" w:rsidRDefault="00900968">
            <w:pPr>
              <w:textAlignment w:val="top"/>
            </w:pPr>
            <w:r>
              <w:rPr>
                <w:rFonts w:ascii="Times New Roman" w:eastAsia="宋体" w:hAnsi="Times New Roman"/>
                <w:color w:val="000000"/>
                <w:sz w:val="20"/>
                <w:szCs w:val="20"/>
              </w:rPr>
              <w:t>Inline XBRL Instance Document</w:t>
            </w:r>
          </w:p>
        </w:tc>
      </w:tr>
      <w:tr w:rsidR="00CC25B5" w14:paraId="442F850F" w14:textId="77777777">
        <w:trPr>
          <w:trHeight w:val="100"/>
        </w:trPr>
        <w:tc>
          <w:tcPr>
            <w:tcW w:w="0" w:type="auto"/>
            <w:gridSpan w:val="3"/>
            <w:shd w:val="clear" w:color="auto" w:fill="auto"/>
            <w:tcMar>
              <w:top w:w="0" w:type="dxa"/>
              <w:left w:w="20" w:type="dxa"/>
              <w:bottom w:w="0" w:type="dxa"/>
              <w:right w:w="20" w:type="dxa"/>
            </w:tcMar>
            <w:vAlign w:val="bottom"/>
          </w:tcPr>
          <w:p w14:paraId="442F850D"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50E" w14:textId="77777777" w:rsidR="00CC25B5" w:rsidRDefault="00CC25B5">
            <w:pPr>
              <w:rPr>
                <w:rFonts w:ascii="宋体"/>
              </w:rPr>
            </w:pPr>
          </w:p>
        </w:tc>
      </w:tr>
      <w:tr w:rsidR="00CC25B5" w14:paraId="442F8513" w14:textId="77777777">
        <w:tc>
          <w:tcPr>
            <w:tcW w:w="0" w:type="auto"/>
            <w:gridSpan w:val="3"/>
            <w:shd w:val="clear" w:color="auto" w:fill="auto"/>
            <w:tcMar>
              <w:top w:w="40" w:type="dxa"/>
              <w:left w:w="20" w:type="dxa"/>
              <w:bottom w:w="40" w:type="dxa"/>
              <w:right w:w="20" w:type="dxa"/>
            </w:tcMar>
          </w:tcPr>
          <w:p w14:paraId="442F8510" w14:textId="77777777" w:rsidR="00CC25B5" w:rsidRDefault="00900968">
            <w:pPr>
              <w:textAlignment w:val="top"/>
            </w:pPr>
            <w:r>
              <w:rPr>
                <w:rFonts w:ascii="Times New Roman" w:eastAsia="宋体" w:hAnsi="Times New Roman"/>
                <w:color w:val="000000"/>
                <w:sz w:val="20"/>
                <w:szCs w:val="20"/>
              </w:rPr>
              <w:t>Exhibit 101.SCH*</w:t>
            </w:r>
          </w:p>
        </w:tc>
        <w:tc>
          <w:tcPr>
            <w:tcW w:w="0" w:type="auto"/>
            <w:gridSpan w:val="3"/>
            <w:shd w:val="clear" w:color="auto" w:fill="auto"/>
            <w:tcMar>
              <w:top w:w="0" w:type="dxa"/>
              <w:left w:w="20" w:type="dxa"/>
              <w:bottom w:w="0" w:type="dxa"/>
              <w:right w:w="20" w:type="dxa"/>
            </w:tcMar>
            <w:vAlign w:val="bottom"/>
          </w:tcPr>
          <w:p w14:paraId="442F8511"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512" w14:textId="77777777" w:rsidR="00CC25B5" w:rsidRDefault="00900968">
            <w:pPr>
              <w:textAlignment w:val="top"/>
            </w:pPr>
            <w:r>
              <w:rPr>
                <w:rFonts w:ascii="Times New Roman" w:eastAsia="宋体" w:hAnsi="Times New Roman"/>
                <w:color w:val="000000"/>
                <w:sz w:val="20"/>
                <w:szCs w:val="20"/>
              </w:rPr>
              <w:t>Inline XBRL Taxonomy Extension Schema Document</w:t>
            </w:r>
          </w:p>
        </w:tc>
      </w:tr>
      <w:tr w:rsidR="00CC25B5" w14:paraId="442F8516" w14:textId="77777777">
        <w:trPr>
          <w:trHeight w:val="100"/>
        </w:trPr>
        <w:tc>
          <w:tcPr>
            <w:tcW w:w="0" w:type="auto"/>
            <w:gridSpan w:val="3"/>
            <w:shd w:val="clear" w:color="auto" w:fill="auto"/>
            <w:tcMar>
              <w:top w:w="0" w:type="dxa"/>
              <w:left w:w="20" w:type="dxa"/>
              <w:bottom w:w="0" w:type="dxa"/>
              <w:right w:w="20" w:type="dxa"/>
            </w:tcMar>
            <w:vAlign w:val="bottom"/>
          </w:tcPr>
          <w:p w14:paraId="442F8514"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515" w14:textId="77777777" w:rsidR="00CC25B5" w:rsidRDefault="00CC25B5">
            <w:pPr>
              <w:rPr>
                <w:rFonts w:ascii="宋体"/>
              </w:rPr>
            </w:pPr>
          </w:p>
        </w:tc>
      </w:tr>
      <w:tr w:rsidR="00CC25B5" w14:paraId="442F851A" w14:textId="77777777">
        <w:tc>
          <w:tcPr>
            <w:tcW w:w="0" w:type="auto"/>
            <w:gridSpan w:val="3"/>
            <w:shd w:val="clear" w:color="auto" w:fill="auto"/>
            <w:tcMar>
              <w:top w:w="40" w:type="dxa"/>
              <w:left w:w="20" w:type="dxa"/>
              <w:bottom w:w="40" w:type="dxa"/>
              <w:right w:w="20" w:type="dxa"/>
            </w:tcMar>
          </w:tcPr>
          <w:p w14:paraId="442F8517" w14:textId="77777777" w:rsidR="00CC25B5" w:rsidRDefault="00900968">
            <w:pPr>
              <w:textAlignment w:val="top"/>
            </w:pPr>
            <w:r>
              <w:rPr>
                <w:rFonts w:ascii="Times New Roman" w:eastAsia="宋体" w:hAnsi="Times New Roman"/>
                <w:color w:val="000000"/>
                <w:sz w:val="20"/>
                <w:szCs w:val="20"/>
              </w:rPr>
              <w:t>Exhibit 101.CAL*</w:t>
            </w:r>
          </w:p>
        </w:tc>
        <w:tc>
          <w:tcPr>
            <w:tcW w:w="0" w:type="auto"/>
            <w:gridSpan w:val="3"/>
            <w:shd w:val="clear" w:color="auto" w:fill="auto"/>
            <w:tcMar>
              <w:top w:w="0" w:type="dxa"/>
              <w:left w:w="20" w:type="dxa"/>
              <w:bottom w:w="0" w:type="dxa"/>
              <w:right w:w="20" w:type="dxa"/>
            </w:tcMar>
            <w:vAlign w:val="bottom"/>
          </w:tcPr>
          <w:p w14:paraId="442F8518"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519" w14:textId="77777777" w:rsidR="00CC25B5" w:rsidRDefault="00900968">
            <w:pPr>
              <w:textAlignment w:val="top"/>
            </w:pPr>
            <w:r>
              <w:rPr>
                <w:rFonts w:ascii="Times New Roman" w:eastAsia="宋体" w:hAnsi="Times New Roman"/>
                <w:color w:val="000000"/>
                <w:sz w:val="20"/>
                <w:szCs w:val="20"/>
              </w:rPr>
              <w:t>Inline XBRL Taxonomy Extension Calculation Linkbase Document</w:t>
            </w:r>
          </w:p>
        </w:tc>
      </w:tr>
      <w:tr w:rsidR="00CC25B5" w14:paraId="442F851D" w14:textId="77777777">
        <w:trPr>
          <w:trHeight w:val="100"/>
        </w:trPr>
        <w:tc>
          <w:tcPr>
            <w:tcW w:w="0" w:type="auto"/>
            <w:gridSpan w:val="3"/>
            <w:shd w:val="clear" w:color="auto" w:fill="auto"/>
            <w:tcMar>
              <w:top w:w="0" w:type="dxa"/>
              <w:left w:w="20" w:type="dxa"/>
              <w:bottom w:w="0" w:type="dxa"/>
              <w:right w:w="20" w:type="dxa"/>
            </w:tcMar>
            <w:vAlign w:val="bottom"/>
          </w:tcPr>
          <w:p w14:paraId="442F851B"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51C" w14:textId="77777777" w:rsidR="00CC25B5" w:rsidRDefault="00CC25B5">
            <w:pPr>
              <w:rPr>
                <w:rFonts w:ascii="宋体"/>
              </w:rPr>
            </w:pPr>
          </w:p>
        </w:tc>
      </w:tr>
      <w:tr w:rsidR="00CC25B5" w14:paraId="442F8521" w14:textId="77777777">
        <w:tc>
          <w:tcPr>
            <w:tcW w:w="0" w:type="auto"/>
            <w:gridSpan w:val="3"/>
            <w:shd w:val="clear" w:color="auto" w:fill="auto"/>
            <w:tcMar>
              <w:top w:w="40" w:type="dxa"/>
              <w:left w:w="20" w:type="dxa"/>
              <w:bottom w:w="40" w:type="dxa"/>
              <w:right w:w="20" w:type="dxa"/>
            </w:tcMar>
          </w:tcPr>
          <w:p w14:paraId="442F851E" w14:textId="77777777" w:rsidR="00CC25B5" w:rsidRDefault="00900968">
            <w:pPr>
              <w:textAlignment w:val="top"/>
            </w:pPr>
            <w:r>
              <w:rPr>
                <w:rFonts w:ascii="Times New Roman" w:eastAsia="宋体" w:hAnsi="Times New Roman"/>
                <w:color w:val="000000"/>
                <w:sz w:val="20"/>
                <w:szCs w:val="20"/>
              </w:rPr>
              <w:t>Exhibit 101.DEF*</w:t>
            </w:r>
          </w:p>
        </w:tc>
        <w:tc>
          <w:tcPr>
            <w:tcW w:w="0" w:type="auto"/>
            <w:gridSpan w:val="3"/>
            <w:shd w:val="clear" w:color="auto" w:fill="auto"/>
            <w:tcMar>
              <w:top w:w="0" w:type="dxa"/>
              <w:left w:w="20" w:type="dxa"/>
              <w:bottom w:w="0" w:type="dxa"/>
              <w:right w:w="20" w:type="dxa"/>
            </w:tcMar>
            <w:vAlign w:val="bottom"/>
          </w:tcPr>
          <w:p w14:paraId="442F851F"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520" w14:textId="77777777" w:rsidR="00CC25B5" w:rsidRDefault="00900968">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Definition Linkbase Document</w:t>
            </w:r>
          </w:p>
        </w:tc>
      </w:tr>
      <w:tr w:rsidR="00CC25B5" w14:paraId="442F8524" w14:textId="77777777">
        <w:trPr>
          <w:trHeight w:val="100"/>
        </w:trPr>
        <w:tc>
          <w:tcPr>
            <w:tcW w:w="0" w:type="auto"/>
            <w:gridSpan w:val="3"/>
            <w:shd w:val="clear" w:color="auto" w:fill="auto"/>
            <w:tcMar>
              <w:top w:w="0" w:type="dxa"/>
              <w:left w:w="20" w:type="dxa"/>
              <w:bottom w:w="0" w:type="dxa"/>
              <w:right w:w="20" w:type="dxa"/>
            </w:tcMar>
            <w:vAlign w:val="bottom"/>
          </w:tcPr>
          <w:p w14:paraId="442F8522"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523" w14:textId="77777777" w:rsidR="00CC25B5" w:rsidRDefault="00CC25B5">
            <w:pPr>
              <w:rPr>
                <w:rFonts w:ascii="宋体"/>
              </w:rPr>
            </w:pPr>
          </w:p>
        </w:tc>
      </w:tr>
      <w:tr w:rsidR="00CC25B5" w14:paraId="442F8528" w14:textId="77777777">
        <w:tc>
          <w:tcPr>
            <w:tcW w:w="0" w:type="auto"/>
            <w:gridSpan w:val="3"/>
            <w:shd w:val="clear" w:color="auto" w:fill="auto"/>
            <w:tcMar>
              <w:top w:w="40" w:type="dxa"/>
              <w:left w:w="20" w:type="dxa"/>
              <w:bottom w:w="40" w:type="dxa"/>
              <w:right w:w="20" w:type="dxa"/>
            </w:tcMar>
          </w:tcPr>
          <w:p w14:paraId="442F8525" w14:textId="77777777" w:rsidR="00CC25B5" w:rsidRDefault="00900968">
            <w:pPr>
              <w:textAlignment w:val="top"/>
            </w:pPr>
            <w:r>
              <w:rPr>
                <w:rFonts w:ascii="Times New Roman" w:eastAsia="宋体" w:hAnsi="Times New Roman"/>
                <w:color w:val="000000"/>
                <w:sz w:val="20"/>
                <w:szCs w:val="20"/>
              </w:rPr>
              <w:t>Exhibit 101.LAB*</w:t>
            </w:r>
          </w:p>
        </w:tc>
        <w:tc>
          <w:tcPr>
            <w:tcW w:w="0" w:type="auto"/>
            <w:gridSpan w:val="3"/>
            <w:shd w:val="clear" w:color="auto" w:fill="auto"/>
            <w:tcMar>
              <w:top w:w="0" w:type="dxa"/>
              <w:left w:w="20" w:type="dxa"/>
              <w:bottom w:w="0" w:type="dxa"/>
              <w:right w:w="20" w:type="dxa"/>
            </w:tcMar>
            <w:vAlign w:val="bottom"/>
          </w:tcPr>
          <w:p w14:paraId="442F8526"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527" w14:textId="77777777" w:rsidR="00CC25B5" w:rsidRDefault="00900968">
            <w:pPr>
              <w:textAlignment w:val="top"/>
            </w:pPr>
            <w:r>
              <w:rPr>
                <w:rFonts w:ascii="Times New Roman" w:eastAsia="宋体" w:hAnsi="Times New Roman"/>
                <w:color w:val="000000"/>
                <w:sz w:val="20"/>
                <w:szCs w:val="20"/>
              </w:rPr>
              <w:t>Inline XBRL Taxonomy Extension Label Linkbase Document</w:t>
            </w:r>
          </w:p>
        </w:tc>
      </w:tr>
      <w:tr w:rsidR="00CC25B5" w14:paraId="442F852B" w14:textId="77777777">
        <w:trPr>
          <w:trHeight w:val="100"/>
        </w:trPr>
        <w:tc>
          <w:tcPr>
            <w:tcW w:w="0" w:type="auto"/>
            <w:gridSpan w:val="3"/>
            <w:shd w:val="clear" w:color="auto" w:fill="auto"/>
            <w:tcMar>
              <w:top w:w="0" w:type="dxa"/>
              <w:left w:w="20" w:type="dxa"/>
              <w:bottom w:w="0" w:type="dxa"/>
              <w:right w:w="20" w:type="dxa"/>
            </w:tcMar>
            <w:vAlign w:val="bottom"/>
          </w:tcPr>
          <w:p w14:paraId="442F8529" w14:textId="77777777" w:rsidR="00CC25B5" w:rsidRDefault="00CC25B5">
            <w:pPr>
              <w:rPr>
                <w:rFonts w:ascii="宋体"/>
              </w:rPr>
            </w:pPr>
          </w:p>
        </w:tc>
        <w:tc>
          <w:tcPr>
            <w:tcW w:w="0" w:type="auto"/>
            <w:gridSpan w:val="6"/>
            <w:shd w:val="clear" w:color="auto" w:fill="auto"/>
            <w:tcMar>
              <w:top w:w="0" w:type="dxa"/>
              <w:left w:w="20" w:type="dxa"/>
              <w:bottom w:w="0" w:type="dxa"/>
              <w:right w:w="20" w:type="dxa"/>
            </w:tcMar>
            <w:vAlign w:val="bottom"/>
          </w:tcPr>
          <w:p w14:paraId="442F852A" w14:textId="77777777" w:rsidR="00CC25B5" w:rsidRDefault="00CC25B5">
            <w:pPr>
              <w:rPr>
                <w:rFonts w:ascii="宋体"/>
              </w:rPr>
            </w:pPr>
          </w:p>
        </w:tc>
      </w:tr>
      <w:tr w:rsidR="00CC25B5" w14:paraId="442F852F" w14:textId="77777777">
        <w:tc>
          <w:tcPr>
            <w:tcW w:w="0" w:type="auto"/>
            <w:gridSpan w:val="3"/>
            <w:shd w:val="clear" w:color="auto" w:fill="auto"/>
            <w:tcMar>
              <w:top w:w="40" w:type="dxa"/>
              <w:left w:w="20" w:type="dxa"/>
              <w:bottom w:w="40" w:type="dxa"/>
              <w:right w:w="20" w:type="dxa"/>
            </w:tcMar>
          </w:tcPr>
          <w:p w14:paraId="442F852C" w14:textId="77777777" w:rsidR="00CC25B5" w:rsidRDefault="00900968">
            <w:pPr>
              <w:textAlignment w:val="top"/>
            </w:pPr>
            <w:r>
              <w:rPr>
                <w:rFonts w:ascii="Times New Roman" w:eastAsia="宋体" w:hAnsi="Times New Roman"/>
                <w:color w:val="000000"/>
                <w:sz w:val="20"/>
                <w:szCs w:val="20"/>
              </w:rPr>
              <w:t>Exhibit 101.PRE*</w:t>
            </w:r>
          </w:p>
        </w:tc>
        <w:tc>
          <w:tcPr>
            <w:tcW w:w="0" w:type="auto"/>
            <w:gridSpan w:val="3"/>
            <w:shd w:val="clear" w:color="auto" w:fill="auto"/>
            <w:tcMar>
              <w:top w:w="0" w:type="dxa"/>
              <w:left w:w="20" w:type="dxa"/>
              <w:bottom w:w="0" w:type="dxa"/>
              <w:right w:w="20" w:type="dxa"/>
            </w:tcMar>
            <w:vAlign w:val="bottom"/>
          </w:tcPr>
          <w:p w14:paraId="442F852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tcPr>
          <w:p w14:paraId="442F852E" w14:textId="77777777" w:rsidR="00CC25B5" w:rsidRDefault="00900968">
            <w:pPr>
              <w:textAlignment w:val="top"/>
            </w:pPr>
            <w:r>
              <w:rPr>
                <w:rFonts w:ascii="Times New Roman" w:eastAsia="宋体" w:hAnsi="Times New Roman"/>
                <w:color w:val="000000"/>
                <w:sz w:val="20"/>
                <w:szCs w:val="20"/>
              </w:rPr>
              <w:t>Inline XBRL Taxonomy Extension Presentation Linkbase Document</w:t>
            </w:r>
          </w:p>
        </w:tc>
      </w:tr>
      <w:tr w:rsidR="00CC25B5" w14:paraId="442F8533" w14:textId="77777777">
        <w:trPr>
          <w:trHeight w:val="60"/>
        </w:trPr>
        <w:tc>
          <w:tcPr>
            <w:tcW w:w="0" w:type="auto"/>
            <w:gridSpan w:val="3"/>
            <w:shd w:val="clear" w:color="auto" w:fill="auto"/>
            <w:tcMar>
              <w:top w:w="0" w:type="dxa"/>
              <w:left w:w="20" w:type="dxa"/>
              <w:bottom w:w="0" w:type="dxa"/>
              <w:right w:w="20" w:type="dxa"/>
            </w:tcMar>
            <w:vAlign w:val="bottom"/>
          </w:tcPr>
          <w:p w14:paraId="442F853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3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32" w14:textId="77777777" w:rsidR="00CC25B5" w:rsidRDefault="00CC25B5">
            <w:pPr>
              <w:rPr>
                <w:rFonts w:ascii="宋体"/>
              </w:rPr>
            </w:pPr>
          </w:p>
        </w:tc>
      </w:tr>
      <w:tr w:rsidR="00CC25B5" w14:paraId="442F8537" w14:textId="77777777">
        <w:tc>
          <w:tcPr>
            <w:tcW w:w="0" w:type="auto"/>
            <w:gridSpan w:val="3"/>
            <w:shd w:val="clear" w:color="auto" w:fill="auto"/>
            <w:tcMar>
              <w:top w:w="40" w:type="dxa"/>
              <w:left w:w="20" w:type="dxa"/>
              <w:bottom w:w="40" w:type="dxa"/>
              <w:right w:w="20" w:type="dxa"/>
            </w:tcMar>
            <w:vAlign w:val="center"/>
          </w:tcPr>
          <w:p w14:paraId="442F8534" w14:textId="77777777" w:rsidR="00CC25B5" w:rsidRDefault="00900968">
            <w:pPr>
              <w:textAlignment w:val="center"/>
            </w:pPr>
            <w:r>
              <w:rPr>
                <w:rFonts w:ascii="Times New Roman" w:eastAsia="宋体" w:hAnsi="Times New Roman"/>
                <w:color w:val="000000"/>
                <w:sz w:val="20"/>
                <w:szCs w:val="20"/>
              </w:rPr>
              <w:t>Exhibit 104</w:t>
            </w:r>
          </w:p>
        </w:tc>
        <w:tc>
          <w:tcPr>
            <w:tcW w:w="0" w:type="auto"/>
            <w:gridSpan w:val="3"/>
            <w:shd w:val="clear" w:color="auto" w:fill="auto"/>
            <w:tcMar>
              <w:top w:w="0" w:type="dxa"/>
              <w:left w:w="20" w:type="dxa"/>
              <w:bottom w:w="0" w:type="dxa"/>
              <w:right w:w="20" w:type="dxa"/>
            </w:tcMar>
            <w:vAlign w:val="bottom"/>
          </w:tcPr>
          <w:p w14:paraId="442F8535"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536" w14:textId="77777777" w:rsidR="00CC25B5" w:rsidRDefault="00900968">
            <w:pPr>
              <w:textAlignment w:val="bottom"/>
            </w:pPr>
            <w:r>
              <w:rPr>
                <w:rFonts w:ascii="Times New Roman" w:eastAsia="宋体" w:hAnsi="Times New Roman"/>
                <w:color w:val="000000"/>
                <w:sz w:val="20"/>
                <w:szCs w:val="20"/>
              </w:rPr>
              <w:t xml:space="preserve">The cover page from the </w:t>
            </w:r>
            <w:r>
              <w:rPr>
                <w:rFonts w:ascii="Times New Roman" w:eastAsia="宋体" w:hAnsi="Times New Roman"/>
                <w:color w:val="000000"/>
                <w:sz w:val="20"/>
                <w:szCs w:val="20"/>
              </w:rPr>
              <w:t>Company’s Quarterly Report on Form 10-Q for the quarter ended July 31, 2021, formatted in Inline XBRL (included in Exhibit 101)</w:t>
            </w:r>
          </w:p>
        </w:tc>
      </w:tr>
    </w:tbl>
    <w:p w14:paraId="442F8538" w14:textId="77777777" w:rsidR="00CC25B5" w:rsidRDefault="00900968">
      <w:r>
        <w:rPr>
          <w:rFonts w:ascii="Times New Roman" w:eastAsia="宋体" w:hAnsi="Times New Roman"/>
          <w:color w:val="000000"/>
          <w:sz w:val="20"/>
          <w:szCs w:val="20"/>
        </w:rPr>
        <w:t> </w:t>
      </w:r>
    </w:p>
    <w:tbl>
      <w:tblPr>
        <w:tblW w:w="3984" w:type="pct"/>
        <w:tblCellMar>
          <w:top w:w="15" w:type="dxa"/>
          <w:left w:w="15" w:type="dxa"/>
          <w:bottom w:w="15" w:type="dxa"/>
          <w:right w:w="15" w:type="dxa"/>
        </w:tblCellMar>
        <w:tblLook w:val="04A0" w:firstRow="1" w:lastRow="0" w:firstColumn="1" w:lastColumn="0" w:noHBand="0" w:noVBand="1"/>
      </w:tblPr>
      <w:tblGrid>
        <w:gridCol w:w="51"/>
        <w:gridCol w:w="398"/>
        <w:gridCol w:w="36"/>
        <w:gridCol w:w="51"/>
        <w:gridCol w:w="6069"/>
        <w:gridCol w:w="37"/>
      </w:tblGrid>
      <w:tr w:rsidR="00CC25B5" w14:paraId="442F853F" w14:textId="77777777">
        <w:tc>
          <w:tcPr>
            <w:tcW w:w="50" w:type="pct"/>
            <w:shd w:val="clear" w:color="auto" w:fill="auto"/>
            <w:vAlign w:val="bottom"/>
          </w:tcPr>
          <w:p w14:paraId="442F8539" w14:textId="77777777" w:rsidR="00CC25B5" w:rsidRDefault="00CC25B5">
            <w:pPr>
              <w:rPr>
                <w:rFonts w:ascii="宋体"/>
              </w:rPr>
            </w:pPr>
          </w:p>
        </w:tc>
        <w:tc>
          <w:tcPr>
            <w:tcW w:w="311" w:type="pct"/>
            <w:shd w:val="clear" w:color="auto" w:fill="auto"/>
            <w:vAlign w:val="bottom"/>
          </w:tcPr>
          <w:p w14:paraId="442F853A" w14:textId="77777777" w:rsidR="00CC25B5" w:rsidRDefault="00CC25B5">
            <w:pPr>
              <w:rPr>
                <w:rFonts w:ascii="宋体"/>
              </w:rPr>
            </w:pPr>
          </w:p>
        </w:tc>
        <w:tc>
          <w:tcPr>
            <w:tcW w:w="5" w:type="pct"/>
            <w:shd w:val="clear" w:color="auto" w:fill="auto"/>
            <w:vAlign w:val="bottom"/>
          </w:tcPr>
          <w:p w14:paraId="442F853B" w14:textId="77777777" w:rsidR="00CC25B5" w:rsidRDefault="00CC25B5">
            <w:pPr>
              <w:rPr>
                <w:rFonts w:ascii="宋体"/>
              </w:rPr>
            </w:pPr>
          </w:p>
        </w:tc>
        <w:tc>
          <w:tcPr>
            <w:tcW w:w="50" w:type="pct"/>
            <w:shd w:val="clear" w:color="auto" w:fill="auto"/>
            <w:vAlign w:val="bottom"/>
          </w:tcPr>
          <w:p w14:paraId="442F853C" w14:textId="77777777" w:rsidR="00CC25B5" w:rsidRDefault="00CC25B5">
            <w:pPr>
              <w:rPr>
                <w:rFonts w:ascii="宋体"/>
              </w:rPr>
            </w:pPr>
          </w:p>
        </w:tc>
        <w:tc>
          <w:tcPr>
            <w:tcW w:w="4578" w:type="pct"/>
            <w:shd w:val="clear" w:color="auto" w:fill="auto"/>
            <w:vAlign w:val="bottom"/>
          </w:tcPr>
          <w:p w14:paraId="442F853D" w14:textId="77777777" w:rsidR="00CC25B5" w:rsidRDefault="00CC25B5">
            <w:pPr>
              <w:rPr>
                <w:rFonts w:ascii="宋体"/>
              </w:rPr>
            </w:pPr>
          </w:p>
        </w:tc>
        <w:tc>
          <w:tcPr>
            <w:tcW w:w="5" w:type="pct"/>
            <w:shd w:val="clear" w:color="auto" w:fill="auto"/>
            <w:vAlign w:val="bottom"/>
          </w:tcPr>
          <w:p w14:paraId="442F853E" w14:textId="77777777" w:rsidR="00CC25B5" w:rsidRDefault="00CC25B5">
            <w:pPr>
              <w:rPr>
                <w:rFonts w:ascii="宋体"/>
              </w:rPr>
            </w:pPr>
          </w:p>
        </w:tc>
      </w:tr>
      <w:tr w:rsidR="00CC25B5" w14:paraId="442F8542" w14:textId="77777777">
        <w:tc>
          <w:tcPr>
            <w:tcW w:w="0" w:type="auto"/>
            <w:gridSpan w:val="3"/>
            <w:shd w:val="clear" w:color="auto" w:fill="auto"/>
            <w:tcMar>
              <w:top w:w="40" w:type="dxa"/>
              <w:left w:w="20" w:type="dxa"/>
              <w:bottom w:w="40" w:type="dxa"/>
              <w:right w:w="20" w:type="dxa"/>
            </w:tcMar>
          </w:tcPr>
          <w:p w14:paraId="442F8540" w14:textId="77777777" w:rsidR="00CC25B5" w:rsidRDefault="00900968">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442F8541" w14:textId="77777777" w:rsidR="00CC25B5" w:rsidRDefault="00900968">
            <w:pPr>
              <w:textAlignment w:val="top"/>
            </w:pPr>
            <w:r>
              <w:rPr>
                <w:rFonts w:ascii="Times New Roman" w:eastAsia="宋体" w:hAnsi="Times New Roman"/>
                <w:color w:val="000000"/>
                <w:sz w:val="20"/>
                <w:szCs w:val="20"/>
              </w:rPr>
              <w:t>Filed herewith as an Exhibit.</w:t>
            </w:r>
          </w:p>
        </w:tc>
      </w:tr>
      <w:tr w:rsidR="00CC25B5" w14:paraId="442F8545" w14:textId="77777777">
        <w:tc>
          <w:tcPr>
            <w:tcW w:w="0" w:type="auto"/>
            <w:gridSpan w:val="3"/>
            <w:shd w:val="clear" w:color="auto" w:fill="auto"/>
            <w:tcMar>
              <w:top w:w="40" w:type="dxa"/>
              <w:left w:w="20" w:type="dxa"/>
              <w:bottom w:w="40" w:type="dxa"/>
              <w:right w:w="20" w:type="dxa"/>
            </w:tcMar>
          </w:tcPr>
          <w:p w14:paraId="442F8543" w14:textId="77777777" w:rsidR="00CC25B5" w:rsidRDefault="00900968">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442F8544" w14:textId="77777777" w:rsidR="00CC25B5" w:rsidRDefault="00900968">
            <w:pPr>
              <w:textAlignment w:val="top"/>
            </w:pPr>
            <w:r>
              <w:rPr>
                <w:rFonts w:ascii="Times New Roman" w:eastAsia="宋体" w:hAnsi="Times New Roman"/>
                <w:color w:val="000000"/>
                <w:sz w:val="20"/>
                <w:szCs w:val="20"/>
              </w:rPr>
              <w:t>Furnished herewith as an Exhibit.</w:t>
            </w:r>
          </w:p>
        </w:tc>
      </w:tr>
    </w:tbl>
    <w:p w14:paraId="442F8546" w14:textId="77777777" w:rsidR="00CC25B5" w:rsidRDefault="00CC25B5"/>
    <w:p w14:paraId="442F8547" w14:textId="77777777" w:rsidR="00CC25B5" w:rsidRDefault="00900968">
      <w:pPr>
        <w:jc w:val="center"/>
      </w:pPr>
      <w:r>
        <w:rPr>
          <w:rFonts w:ascii="Times New Roman" w:eastAsia="宋体" w:hAnsi="Times New Roman"/>
          <w:color w:val="000000"/>
          <w:sz w:val="20"/>
          <w:szCs w:val="20"/>
        </w:rPr>
        <w:t>33</w:t>
      </w:r>
    </w:p>
    <w:p w14:paraId="442F8548" w14:textId="77777777" w:rsidR="00CC25B5" w:rsidRDefault="00900968">
      <w:r>
        <w:pict w14:anchorId="442F85EA">
          <v:rect id="_x0000_i1057" style="width:415.3pt;height:1.5pt" o:hralign="center" o:hrstd="t" o:hr="t" fillcolor="#a0a0a0" stroked="f"/>
        </w:pict>
      </w:r>
    </w:p>
    <w:p w14:paraId="442F8549" w14:textId="77777777" w:rsidR="00CC25B5" w:rsidRDefault="00900968">
      <w:hyperlink r:id="rId122" w:anchor="ie1710166881948a18c44f48eaa2dcf00_7" w:history="1">
        <w:r>
          <w:rPr>
            <w:rStyle w:val="a5"/>
            <w:rFonts w:ascii="Times New Roman" w:eastAsia="宋体" w:hAnsi="Times New Roman"/>
            <w:sz w:val="20"/>
            <w:szCs w:val="20"/>
          </w:rPr>
          <w:t>Table of Contents</w:t>
        </w:r>
      </w:hyperlink>
    </w:p>
    <w:p w14:paraId="442F854A" w14:textId="77777777" w:rsidR="00CC25B5" w:rsidRDefault="00900968">
      <w:pPr>
        <w:spacing w:before="100"/>
        <w:jc w:val="center"/>
      </w:pPr>
      <w:r>
        <w:rPr>
          <w:rFonts w:ascii="Times New Roman" w:eastAsia="宋体" w:hAnsi="Times New Roman"/>
          <w:b/>
          <w:bCs/>
          <w:color w:val="000000"/>
          <w:sz w:val="20"/>
          <w:szCs w:val="20"/>
        </w:rPr>
        <w:t>SIGNATURES</w:t>
      </w:r>
    </w:p>
    <w:p w14:paraId="442F854B" w14:textId="77777777" w:rsidR="00CC25B5" w:rsidRDefault="00900968">
      <w:pPr>
        <w:spacing w:before="180"/>
      </w:pPr>
      <w:r>
        <w:rPr>
          <w:rFonts w:ascii="Times New Roman" w:eastAsia="宋体" w:hAnsi="Times New Roman"/>
          <w:color w:val="000000"/>
          <w:sz w:val="20"/>
          <w:szCs w:val="20"/>
        </w:rPr>
        <w:t xml:space="preserve">Pursuant to the requirements of the Securities Exchange Act of 1934, the </w:t>
      </w:r>
      <w:r>
        <w:rPr>
          <w:rFonts w:ascii="Times New Roman" w:eastAsia="宋体" w:hAnsi="Times New Roman"/>
          <w:color w:val="000000"/>
          <w:sz w:val="20"/>
          <w:szCs w:val="20"/>
        </w:rPr>
        <w:t>registrant has duly caused this report to be signed on its behalf by the undersigned thereunto duly authorized.</w:t>
      </w:r>
    </w:p>
    <w:p w14:paraId="442F854C" w14:textId="77777777" w:rsidR="00CC25B5" w:rsidRDefault="00900968">
      <w:pPr>
        <w:jc w:val="center"/>
      </w:pPr>
      <w:r>
        <w:rPr>
          <w:rFonts w:ascii="Times New Roman" w:eastAsia="宋体" w:hAnsi="Times New Roman"/>
          <w:color w:val="000000"/>
          <w:sz w:val="18"/>
          <w:szCs w:val="18"/>
        </w:rPr>
        <w:t> </w:t>
      </w:r>
    </w:p>
    <w:p w14:paraId="442F854D" w14:textId="77777777" w:rsidR="00CC25B5" w:rsidRDefault="00900968">
      <w:pPr>
        <w:jc w:val="center"/>
      </w:pPr>
      <w:r>
        <w:rPr>
          <w:rFonts w:ascii="Times New Roman" w:eastAsia="宋体" w:hAnsi="Times New Roman"/>
          <w:b/>
          <w:bCs/>
          <w:color w:val="000000"/>
          <w:sz w:val="20"/>
          <w:szCs w:val="20"/>
        </w:rPr>
        <w:t>WALMART INC.</w:t>
      </w:r>
    </w:p>
    <w:tbl>
      <w:tblPr>
        <w:tblW w:w="4912" w:type="pct"/>
        <w:jc w:val="center"/>
        <w:tblCellMar>
          <w:top w:w="15" w:type="dxa"/>
          <w:left w:w="15" w:type="dxa"/>
          <w:bottom w:w="15" w:type="dxa"/>
          <w:right w:w="15" w:type="dxa"/>
        </w:tblCellMar>
        <w:tblLook w:val="04A0" w:firstRow="1" w:lastRow="0" w:firstColumn="1" w:lastColumn="0" w:noHBand="0" w:noVBand="1"/>
      </w:tblPr>
      <w:tblGrid>
        <w:gridCol w:w="62"/>
        <w:gridCol w:w="1937"/>
        <w:gridCol w:w="36"/>
        <w:gridCol w:w="62"/>
        <w:gridCol w:w="475"/>
        <w:gridCol w:w="36"/>
        <w:gridCol w:w="36"/>
        <w:gridCol w:w="36"/>
        <w:gridCol w:w="36"/>
        <w:gridCol w:w="50"/>
        <w:gridCol w:w="5386"/>
        <w:gridCol w:w="37"/>
      </w:tblGrid>
      <w:tr w:rsidR="00CC25B5" w14:paraId="442F855A" w14:textId="77777777">
        <w:trPr>
          <w:jc w:val="center"/>
        </w:trPr>
        <w:tc>
          <w:tcPr>
            <w:tcW w:w="50" w:type="pct"/>
            <w:shd w:val="clear" w:color="auto" w:fill="auto"/>
            <w:vAlign w:val="bottom"/>
          </w:tcPr>
          <w:p w14:paraId="442F854E" w14:textId="77777777" w:rsidR="00CC25B5" w:rsidRDefault="00CC25B5">
            <w:pPr>
              <w:rPr>
                <w:rFonts w:ascii="宋体"/>
              </w:rPr>
            </w:pPr>
          </w:p>
        </w:tc>
        <w:tc>
          <w:tcPr>
            <w:tcW w:w="1195" w:type="pct"/>
            <w:shd w:val="clear" w:color="auto" w:fill="auto"/>
            <w:vAlign w:val="bottom"/>
          </w:tcPr>
          <w:p w14:paraId="442F854F" w14:textId="77777777" w:rsidR="00CC25B5" w:rsidRDefault="00CC25B5">
            <w:pPr>
              <w:rPr>
                <w:rFonts w:ascii="宋体"/>
              </w:rPr>
            </w:pPr>
          </w:p>
        </w:tc>
        <w:tc>
          <w:tcPr>
            <w:tcW w:w="5" w:type="pct"/>
            <w:shd w:val="clear" w:color="auto" w:fill="auto"/>
            <w:vAlign w:val="bottom"/>
          </w:tcPr>
          <w:p w14:paraId="442F8550" w14:textId="77777777" w:rsidR="00CC25B5" w:rsidRDefault="00CC25B5">
            <w:pPr>
              <w:rPr>
                <w:rFonts w:ascii="宋体"/>
              </w:rPr>
            </w:pPr>
          </w:p>
        </w:tc>
        <w:tc>
          <w:tcPr>
            <w:tcW w:w="50" w:type="pct"/>
            <w:shd w:val="clear" w:color="auto" w:fill="auto"/>
            <w:vAlign w:val="bottom"/>
          </w:tcPr>
          <w:p w14:paraId="442F8551" w14:textId="77777777" w:rsidR="00CC25B5" w:rsidRDefault="00CC25B5">
            <w:pPr>
              <w:rPr>
                <w:rFonts w:ascii="宋体"/>
              </w:rPr>
            </w:pPr>
          </w:p>
        </w:tc>
        <w:tc>
          <w:tcPr>
            <w:tcW w:w="302" w:type="pct"/>
            <w:shd w:val="clear" w:color="auto" w:fill="auto"/>
            <w:vAlign w:val="bottom"/>
          </w:tcPr>
          <w:p w14:paraId="442F8552" w14:textId="77777777" w:rsidR="00CC25B5" w:rsidRDefault="00CC25B5">
            <w:pPr>
              <w:rPr>
                <w:rFonts w:ascii="宋体"/>
              </w:rPr>
            </w:pPr>
          </w:p>
        </w:tc>
        <w:tc>
          <w:tcPr>
            <w:tcW w:w="5" w:type="pct"/>
            <w:shd w:val="clear" w:color="auto" w:fill="auto"/>
            <w:vAlign w:val="bottom"/>
          </w:tcPr>
          <w:p w14:paraId="442F8553" w14:textId="77777777" w:rsidR="00CC25B5" w:rsidRDefault="00CC25B5">
            <w:pPr>
              <w:rPr>
                <w:rFonts w:ascii="宋体"/>
              </w:rPr>
            </w:pPr>
          </w:p>
        </w:tc>
        <w:tc>
          <w:tcPr>
            <w:tcW w:w="5" w:type="pct"/>
            <w:shd w:val="clear" w:color="auto" w:fill="auto"/>
            <w:vAlign w:val="bottom"/>
          </w:tcPr>
          <w:p w14:paraId="442F8554" w14:textId="77777777" w:rsidR="00CC25B5" w:rsidRDefault="00CC25B5">
            <w:pPr>
              <w:rPr>
                <w:rFonts w:ascii="宋体"/>
              </w:rPr>
            </w:pPr>
          </w:p>
        </w:tc>
        <w:tc>
          <w:tcPr>
            <w:tcW w:w="27" w:type="pct"/>
            <w:shd w:val="clear" w:color="auto" w:fill="auto"/>
            <w:vAlign w:val="bottom"/>
          </w:tcPr>
          <w:p w14:paraId="442F8555" w14:textId="77777777" w:rsidR="00CC25B5" w:rsidRDefault="00CC25B5">
            <w:pPr>
              <w:rPr>
                <w:rFonts w:ascii="宋体"/>
              </w:rPr>
            </w:pPr>
          </w:p>
        </w:tc>
        <w:tc>
          <w:tcPr>
            <w:tcW w:w="5" w:type="pct"/>
            <w:shd w:val="clear" w:color="auto" w:fill="auto"/>
            <w:vAlign w:val="bottom"/>
          </w:tcPr>
          <w:p w14:paraId="442F8556" w14:textId="77777777" w:rsidR="00CC25B5" w:rsidRDefault="00CC25B5">
            <w:pPr>
              <w:rPr>
                <w:rFonts w:ascii="宋体"/>
              </w:rPr>
            </w:pPr>
          </w:p>
        </w:tc>
        <w:tc>
          <w:tcPr>
            <w:tcW w:w="50" w:type="pct"/>
            <w:shd w:val="clear" w:color="auto" w:fill="auto"/>
            <w:vAlign w:val="bottom"/>
          </w:tcPr>
          <w:p w14:paraId="442F8557" w14:textId="77777777" w:rsidR="00CC25B5" w:rsidRDefault="00CC25B5">
            <w:pPr>
              <w:rPr>
                <w:rFonts w:ascii="宋体"/>
              </w:rPr>
            </w:pPr>
          </w:p>
        </w:tc>
        <w:tc>
          <w:tcPr>
            <w:tcW w:w="3300" w:type="pct"/>
            <w:shd w:val="clear" w:color="auto" w:fill="auto"/>
            <w:vAlign w:val="bottom"/>
          </w:tcPr>
          <w:p w14:paraId="442F8558" w14:textId="77777777" w:rsidR="00CC25B5" w:rsidRDefault="00CC25B5">
            <w:pPr>
              <w:rPr>
                <w:rFonts w:ascii="宋体"/>
              </w:rPr>
            </w:pPr>
          </w:p>
        </w:tc>
        <w:tc>
          <w:tcPr>
            <w:tcW w:w="5" w:type="pct"/>
            <w:shd w:val="clear" w:color="auto" w:fill="auto"/>
            <w:vAlign w:val="bottom"/>
          </w:tcPr>
          <w:p w14:paraId="442F8559" w14:textId="77777777" w:rsidR="00CC25B5" w:rsidRDefault="00CC25B5">
            <w:pPr>
              <w:rPr>
                <w:rFonts w:ascii="宋体"/>
              </w:rPr>
            </w:pPr>
          </w:p>
        </w:tc>
      </w:tr>
      <w:tr w:rsidR="00CC25B5" w14:paraId="442F855F" w14:textId="77777777">
        <w:trPr>
          <w:jc w:val="center"/>
        </w:trPr>
        <w:tc>
          <w:tcPr>
            <w:tcW w:w="0" w:type="auto"/>
            <w:gridSpan w:val="3"/>
            <w:shd w:val="clear" w:color="auto" w:fill="auto"/>
            <w:tcMar>
              <w:top w:w="40" w:type="dxa"/>
              <w:left w:w="20" w:type="dxa"/>
              <w:bottom w:w="40" w:type="dxa"/>
              <w:right w:w="20" w:type="dxa"/>
            </w:tcMar>
            <w:vAlign w:val="bottom"/>
          </w:tcPr>
          <w:p w14:paraId="442F855B" w14:textId="77777777" w:rsidR="00CC25B5" w:rsidRDefault="00900968">
            <w:pPr>
              <w:textAlignment w:val="bottom"/>
            </w:pPr>
            <w:r>
              <w:rPr>
                <w:rFonts w:ascii="Times New Roman" w:eastAsia="宋体" w:hAnsi="Times New Roman"/>
                <w:color w:val="000000"/>
                <w:sz w:val="18"/>
                <w:szCs w:val="18"/>
              </w:rPr>
              <w:t>Date: September 2, 2021</w:t>
            </w:r>
          </w:p>
        </w:tc>
        <w:tc>
          <w:tcPr>
            <w:tcW w:w="0" w:type="auto"/>
            <w:gridSpan w:val="3"/>
            <w:shd w:val="clear" w:color="auto" w:fill="auto"/>
            <w:tcMar>
              <w:top w:w="40" w:type="dxa"/>
              <w:left w:w="20" w:type="dxa"/>
              <w:bottom w:w="40" w:type="dxa"/>
              <w:right w:w="20" w:type="dxa"/>
            </w:tcMar>
            <w:vAlign w:val="bottom"/>
          </w:tcPr>
          <w:p w14:paraId="442F855C" w14:textId="77777777" w:rsidR="00CC25B5" w:rsidRDefault="00900968">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442F855D"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55E" w14:textId="77777777" w:rsidR="00CC25B5" w:rsidRDefault="00900968">
            <w:pPr>
              <w:jc w:val="center"/>
              <w:textAlignment w:val="bottom"/>
            </w:pPr>
            <w:r>
              <w:rPr>
                <w:rFonts w:ascii="Times New Roman" w:eastAsia="宋体" w:hAnsi="Times New Roman"/>
                <w:color w:val="000000"/>
                <w:sz w:val="18"/>
                <w:szCs w:val="18"/>
              </w:rPr>
              <w:t>/s/ C. Douglas McMillon</w:t>
            </w:r>
          </w:p>
        </w:tc>
      </w:tr>
      <w:tr w:rsidR="00CC25B5" w14:paraId="442F8564" w14:textId="77777777">
        <w:trPr>
          <w:jc w:val="center"/>
        </w:trPr>
        <w:tc>
          <w:tcPr>
            <w:tcW w:w="0" w:type="auto"/>
            <w:gridSpan w:val="3"/>
            <w:shd w:val="clear" w:color="auto" w:fill="auto"/>
            <w:tcMar>
              <w:top w:w="0" w:type="dxa"/>
              <w:left w:w="20" w:type="dxa"/>
              <w:bottom w:w="0" w:type="dxa"/>
              <w:right w:w="20" w:type="dxa"/>
            </w:tcMar>
            <w:vAlign w:val="bottom"/>
          </w:tcPr>
          <w:p w14:paraId="442F856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61"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62"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563" w14:textId="77777777" w:rsidR="00CC25B5" w:rsidRDefault="00900968">
            <w:pPr>
              <w:jc w:val="center"/>
              <w:textAlignment w:val="bottom"/>
            </w:pPr>
            <w:r>
              <w:rPr>
                <w:rFonts w:ascii="Times New Roman" w:eastAsia="宋体" w:hAnsi="Times New Roman"/>
                <w:b/>
                <w:bCs/>
                <w:color w:val="000000"/>
                <w:sz w:val="16"/>
                <w:szCs w:val="16"/>
              </w:rPr>
              <w:t>C. Douglas McMillon</w:t>
            </w:r>
            <w:r>
              <w:rPr>
                <w:rFonts w:ascii="Times New Roman" w:eastAsia="宋体" w:hAnsi="Times New Roman"/>
                <w:b/>
                <w:bCs/>
                <w:color w:val="000000"/>
                <w:sz w:val="16"/>
                <w:szCs w:val="16"/>
              </w:rPr>
              <w:br/>
              <w:t xml:space="preserve">President and Chief Executive </w:t>
            </w:r>
            <w:r>
              <w:rPr>
                <w:rFonts w:ascii="Times New Roman" w:eastAsia="宋体" w:hAnsi="Times New Roman"/>
                <w:b/>
                <w:bCs/>
                <w:color w:val="000000"/>
                <w:sz w:val="16"/>
                <w:szCs w:val="16"/>
              </w:rPr>
              <w:t>Officer</w:t>
            </w:r>
            <w:r>
              <w:rPr>
                <w:rFonts w:ascii="Times New Roman" w:eastAsia="宋体" w:hAnsi="Times New Roman"/>
                <w:b/>
                <w:bCs/>
                <w:color w:val="000000"/>
                <w:sz w:val="16"/>
                <w:szCs w:val="16"/>
              </w:rPr>
              <w:br/>
              <w:t>(Principal Executive Officer)</w:t>
            </w:r>
          </w:p>
        </w:tc>
      </w:tr>
      <w:tr w:rsidR="00CC25B5" w14:paraId="442F8569" w14:textId="77777777">
        <w:trPr>
          <w:trHeight w:val="640"/>
          <w:jc w:val="center"/>
        </w:trPr>
        <w:tc>
          <w:tcPr>
            <w:tcW w:w="0" w:type="auto"/>
            <w:gridSpan w:val="3"/>
            <w:shd w:val="clear" w:color="auto" w:fill="auto"/>
            <w:tcMar>
              <w:top w:w="0" w:type="dxa"/>
              <w:left w:w="20" w:type="dxa"/>
              <w:bottom w:w="0" w:type="dxa"/>
              <w:right w:w="20" w:type="dxa"/>
            </w:tcMar>
            <w:vAlign w:val="bottom"/>
          </w:tcPr>
          <w:p w14:paraId="442F856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6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67"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68" w14:textId="77777777" w:rsidR="00CC25B5" w:rsidRDefault="00CC25B5">
            <w:pPr>
              <w:rPr>
                <w:rFonts w:ascii="宋体"/>
              </w:rPr>
            </w:pPr>
          </w:p>
        </w:tc>
      </w:tr>
      <w:tr w:rsidR="00CC25B5" w14:paraId="442F856E" w14:textId="77777777">
        <w:trPr>
          <w:jc w:val="center"/>
        </w:trPr>
        <w:tc>
          <w:tcPr>
            <w:tcW w:w="0" w:type="auto"/>
            <w:gridSpan w:val="3"/>
            <w:shd w:val="clear" w:color="auto" w:fill="auto"/>
            <w:tcMar>
              <w:top w:w="40" w:type="dxa"/>
              <w:left w:w="20" w:type="dxa"/>
              <w:bottom w:w="40" w:type="dxa"/>
              <w:right w:w="20" w:type="dxa"/>
            </w:tcMar>
            <w:vAlign w:val="bottom"/>
          </w:tcPr>
          <w:p w14:paraId="442F856A" w14:textId="77777777" w:rsidR="00CC25B5" w:rsidRDefault="00900968">
            <w:pPr>
              <w:textAlignment w:val="bottom"/>
            </w:pPr>
            <w:r>
              <w:rPr>
                <w:rFonts w:ascii="Times New Roman" w:eastAsia="宋体" w:hAnsi="Times New Roman"/>
                <w:color w:val="000000"/>
                <w:sz w:val="18"/>
                <w:szCs w:val="18"/>
              </w:rPr>
              <w:t>Date: September 2, 2021</w:t>
            </w:r>
          </w:p>
        </w:tc>
        <w:tc>
          <w:tcPr>
            <w:tcW w:w="0" w:type="auto"/>
            <w:gridSpan w:val="3"/>
            <w:shd w:val="clear" w:color="auto" w:fill="auto"/>
            <w:tcMar>
              <w:top w:w="40" w:type="dxa"/>
              <w:left w:w="20" w:type="dxa"/>
              <w:bottom w:w="40" w:type="dxa"/>
              <w:right w:w="20" w:type="dxa"/>
            </w:tcMar>
            <w:vAlign w:val="bottom"/>
          </w:tcPr>
          <w:p w14:paraId="442F856B" w14:textId="77777777" w:rsidR="00CC25B5" w:rsidRDefault="00900968">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442F856C"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56D" w14:textId="77777777" w:rsidR="00CC25B5" w:rsidRDefault="00900968">
            <w:pPr>
              <w:jc w:val="center"/>
              <w:textAlignment w:val="bottom"/>
            </w:pPr>
            <w:r>
              <w:rPr>
                <w:rFonts w:ascii="Times New Roman" w:eastAsia="宋体" w:hAnsi="Times New Roman"/>
                <w:color w:val="000000"/>
                <w:sz w:val="18"/>
                <w:szCs w:val="18"/>
              </w:rPr>
              <w:t>/s/ M. Brett Biggs</w:t>
            </w:r>
          </w:p>
        </w:tc>
      </w:tr>
      <w:tr w:rsidR="00CC25B5" w14:paraId="442F8573" w14:textId="77777777">
        <w:trPr>
          <w:jc w:val="center"/>
        </w:trPr>
        <w:tc>
          <w:tcPr>
            <w:tcW w:w="0" w:type="auto"/>
            <w:gridSpan w:val="3"/>
            <w:shd w:val="clear" w:color="auto" w:fill="auto"/>
            <w:tcMar>
              <w:top w:w="0" w:type="dxa"/>
              <w:left w:w="20" w:type="dxa"/>
              <w:bottom w:w="0" w:type="dxa"/>
              <w:right w:w="20" w:type="dxa"/>
            </w:tcMar>
            <w:vAlign w:val="bottom"/>
          </w:tcPr>
          <w:p w14:paraId="442F856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70"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71"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572" w14:textId="77777777" w:rsidR="00CC25B5" w:rsidRDefault="00900968">
            <w:pPr>
              <w:jc w:val="center"/>
              <w:textAlignment w:val="bottom"/>
            </w:pPr>
            <w:r>
              <w:rPr>
                <w:rFonts w:ascii="Times New Roman" w:eastAsia="宋体" w:hAnsi="Times New Roman"/>
                <w:b/>
                <w:bCs/>
                <w:color w:val="000000"/>
                <w:sz w:val="16"/>
                <w:szCs w:val="16"/>
              </w:rPr>
              <w:t>M. Brett Biggs</w:t>
            </w:r>
            <w:r>
              <w:rPr>
                <w:rFonts w:ascii="Times New Roman" w:eastAsia="宋体" w:hAnsi="Times New Roman"/>
                <w:b/>
                <w:bCs/>
                <w:color w:val="000000"/>
                <w:sz w:val="16"/>
                <w:szCs w:val="16"/>
              </w:rPr>
              <w:br/>
              <w:t>Executive Vice President and Chief Financial Officer</w:t>
            </w:r>
            <w:r>
              <w:rPr>
                <w:rFonts w:ascii="Times New Roman" w:eastAsia="宋体" w:hAnsi="Times New Roman"/>
                <w:b/>
                <w:bCs/>
                <w:color w:val="000000"/>
                <w:sz w:val="16"/>
                <w:szCs w:val="16"/>
              </w:rPr>
              <w:br/>
              <w:t>(Principal Financial Officer)</w:t>
            </w:r>
          </w:p>
        </w:tc>
      </w:tr>
      <w:tr w:rsidR="00CC25B5" w14:paraId="442F8578" w14:textId="77777777">
        <w:trPr>
          <w:trHeight w:val="640"/>
          <w:jc w:val="center"/>
        </w:trPr>
        <w:tc>
          <w:tcPr>
            <w:tcW w:w="0" w:type="auto"/>
            <w:gridSpan w:val="3"/>
            <w:shd w:val="clear" w:color="auto" w:fill="auto"/>
            <w:tcMar>
              <w:top w:w="0" w:type="dxa"/>
              <w:left w:w="20" w:type="dxa"/>
              <w:bottom w:w="0" w:type="dxa"/>
              <w:right w:w="20" w:type="dxa"/>
            </w:tcMar>
            <w:vAlign w:val="bottom"/>
          </w:tcPr>
          <w:p w14:paraId="442F8574"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75"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76"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77" w14:textId="77777777" w:rsidR="00CC25B5" w:rsidRDefault="00CC25B5">
            <w:pPr>
              <w:rPr>
                <w:rFonts w:ascii="宋体"/>
              </w:rPr>
            </w:pPr>
          </w:p>
        </w:tc>
      </w:tr>
      <w:tr w:rsidR="00CC25B5" w14:paraId="442F857D" w14:textId="77777777">
        <w:trPr>
          <w:jc w:val="center"/>
        </w:trPr>
        <w:tc>
          <w:tcPr>
            <w:tcW w:w="0" w:type="auto"/>
            <w:gridSpan w:val="3"/>
            <w:shd w:val="clear" w:color="auto" w:fill="auto"/>
            <w:tcMar>
              <w:top w:w="40" w:type="dxa"/>
              <w:left w:w="20" w:type="dxa"/>
              <w:bottom w:w="40" w:type="dxa"/>
              <w:right w:w="20" w:type="dxa"/>
            </w:tcMar>
            <w:vAlign w:val="bottom"/>
          </w:tcPr>
          <w:p w14:paraId="442F8579" w14:textId="77777777" w:rsidR="00CC25B5" w:rsidRDefault="00900968">
            <w:pPr>
              <w:textAlignment w:val="bottom"/>
            </w:pPr>
            <w:r>
              <w:rPr>
                <w:rFonts w:ascii="Times New Roman" w:eastAsia="宋体" w:hAnsi="Times New Roman"/>
                <w:color w:val="000000"/>
                <w:sz w:val="18"/>
                <w:szCs w:val="18"/>
              </w:rPr>
              <w:t>Date: September 2, 2021</w:t>
            </w:r>
          </w:p>
        </w:tc>
        <w:tc>
          <w:tcPr>
            <w:tcW w:w="0" w:type="auto"/>
            <w:gridSpan w:val="3"/>
            <w:shd w:val="clear" w:color="auto" w:fill="auto"/>
            <w:tcMar>
              <w:top w:w="40" w:type="dxa"/>
              <w:left w:w="20" w:type="dxa"/>
              <w:bottom w:w="40" w:type="dxa"/>
              <w:right w:w="20" w:type="dxa"/>
            </w:tcMar>
            <w:vAlign w:val="bottom"/>
          </w:tcPr>
          <w:p w14:paraId="442F857A" w14:textId="77777777" w:rsidR="00CC25B5" w:rsidRDefault="00900968">
            <w:pPr>
              <w:textAlignment w:val="bottom"/>
            </w:pPr>
            <w:r>
              <w:rPr>
                <w:rFonts w:ascii="Times New Roman" w:eastAsia="宋体" w:hAnsi="Times New Roman"/>
                <w:color w:val="000000"/>
                <w:sz w:val="18"/>
                <w:szCs w:val="18"/>
              </w:rPr>
              <w:t>By:</w:t>
            </w:r>
          </w:p>
        </w:tc>
        <w:tc>
          <w:tcPr>
            <w:tcW w:w="0" w:type="auto"/>
            <w:gridSpan w:val="3"/>
            <w:shd w:val="clear" w:color="auto" w:fill="auto"/>
            <w:tcMar>
              <w:top w:w="0" w:type="dxa"/>
              <w:left w:w="20" w:type="dxa"/>
              <w:bottom w:w="0" w:type="dxa"/>
              <w:right w:w="20" w:type="dxa"/>
            </w:tcMar>
            <w:vAlign w:val="bottom"/>
          </w:tcPr>
          <w:p w14:paraId="442F857B" w14:textId="77777777" w:rsidR="00CC25B5" w:rsidRDefault="00CC25B5">
            <w:pPr>
              <w:rPr>
                <w:rFonts w:ascii="宋体"/>
              </w:rPr>
            </w:pPr>
          </w:p>
        </w:tc>
        <w:tc>
          <w:tcPr>
            <w:tcW w:w="0" w:type="auto"/>
            <w:gridSpan w:val="3"/>
            <w:shd w:val="clear" w:color="auto" w:fill="auto"/>
            <w:tcMar>
              <w:top w:w="40" w:type="dxa"/>
              <w:left w:w="20" w:type="dxa"/>
              <w:bottom w:w="40" w:type="dxa"/>
              <w:right w:w="20" w:type="dxa"/>
            </w:tcMar>
            <w:vAlign w:val="bottom"/>
          </w:tcPr>
          <w:p w14:paraId="442F857C" w14:textId="77777777" w:rsidR="00CC25B5" w:rsidRDefault="00900968">
            <w:pPr>
              <w:jc w:val="center"/>
              <w:textAlignment w:val="bottom"/>
            </w:pPr>
            <w:r>
              <w:rPr>
                <w:rFonts w:ascii="Times New Roman" w:eastAsia="宋体" w:hAnsi="Times New Roman"/>
                <w:color w:val="000000"/>
                <w:sz w:val="18"/>
                <w:szCs w:val="18"/>
              </w:rPr>
              <w:t xml:space="preserve">/s/ David M. </w:t>
            </w:r>
            <w:r>
              <w:rPr>
                <w:rFonts w:ascii="Times New Roman" w:eastAsia="宋体" w:hAnsi="Times New Roman"/>
                <w:color w:val="000000"/>
                <w:sz w:val="18"/>
                <w:szCs w:val="18"/>
              </w:rPr>
              <w:t>Chojnowski</w:t>
            </w:r>
          </w:p>
        </w:tc>
      </w:tr>
      <w:tr w:rsidR="00CC25B5" w14:paraId="442F8582" w14:textId="77777777">
        <w:trPr>
          <w:jc w:val="center"/>
        </w:trPr>
        <w:tc>
          <w:tcPr>
            <w:tcW w:w="0" w:type="auto"/>
            <w:gridSpan w:val="3"/>
            <w:shd w:val="clear" w:color="auto" w:fill="auto"/>
            <w:tcMar>
              <w:top w:w="0" w:type="dxa"/>
              <w:left w:w="20" w:type="dxa"/>
              <w:bottom w:w="0" w:type="dxa"/>
              <w:right w:w="20" w:type="dxa"/>
            </w:tcMar>
            <w:vAlign w:val="bottom"/>
          </w:tcPr>
          <w:p w14:paraId="442F857E"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7F" w14:textId="77777777" w:rsidR="00CC25B5" w:rsidRDefault="00CC25B5">
            <w:pPr>
              <w:rPr>
                <w:rFonts w:ascii="宋体"/>
              </w:rPr>
            </w:pPr>
          </w:p>
        </w:tc>
        <w:tc>
          <w:tcPr>
            <w:tcW w:w="0" w:type="auto"/>
            <w:gridSpan w:val="3"/>
            <w:shd w:val="clear" w:color="auto" w:fill="auto"/>
            <w:tcMar>
              <w:top w:w="0" w:type="dxa"/>
              <w:left w:w="20" w:type="dxa"/>
              <w:bottom w:w="0" w:type="dxa"/>
              <w:right w:w="20" w:type="dxa"/>
            </w:tcMar>
            <w:vAlign w:val="bottom"/>
          </w:tcPr>
          <w:p w14:paraId="442F8580" w14:textId="77777777" w:rsidR="00CC25B5" w:rsidRDefault="00CC25B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F8581" w14:textId="77777777" w:rsidR="00CC25B5" w:rsidRDefault="00900968">
            <w:pPr>
              <w:jc w:val="center"/>
              <w:textAlignment w:val="bottom"/>
            </w:pPr>
            <w:r>
              <w:rPr>
                <w:rFonts w:ascii="Times New Roman" w:eastAsia="宋体" w:hAnsi="Times New Roman"/>
                <w:b/>
                <w:bCs/>
                <w:color w:val="000000"/>
                <w:sz w:val="16"/>
                <w:szCs w:val="16"/>
              </w:rPr>
              <w:t>David M. Chojnowski</w:t>
            </w:r>
            <w:r>
              <w:rPr>
                <w:rFonts w:ascii="Times New Roman" w:eastAsia="宋体" w:hAnsi="Times New Roman"/>
                <w:b/>
                <w:bCs/>
                <w:color w:val="000000"/>
                <w:sz w:val="16"/>
                <w:szCs w:val="16"/>
              </w:rPr>
              <w:br/>
              <w:t>Senior Vice President and Controller</w:t>
            </w:r>
            <w:r>
              <w:rPr>
                <w:rFonts w:ascii="Times New Roman" w:eastAsia="宋体" w:hAnsi="Times New Roman"/>
                <w:b/>
                <w:bCs/>
                <w:color w:val="000000"/>
                <w:sz w:val="16"/>
                <w:szCs w:val="16"/>
              </w:rPr>
              <w:br/>
              <w:t>(Principal Accounting Officer)</w:t>
            </w:r>
          </w:p>
        </w:tc>
      </w:tr>
    </w:tbl>
    <w:p w14:paraId="442F8583" w14:textId="77777777" w:rsidR="00CC25B5" w:rsidRDefault="00CC25B5"/>
    <w:p w14:paraId="442F8584" w14:textId="77777777" w:rsidR="00CC25B5" w:rsidRDefault="00900968">
      <w:pPr>
        <w:jc w:val="center"/>
      </w:pPr>
      <w:r>
        <w:rPr>
          <w:rFonts w:ascii="Times New Roman" w:eastAsia="宋体" w:hAnsi="Times New Roman"/>
          <w:color w:val="000000"/>
          <w:sz w:val="20"/>
          <w:szCs w:val="20"/>
        </w:rPr>
        <w:t>34</w:t>
      </w:r>
    </w:p>
    <w:p w14:paraId="442F8585" w14:textId="77777777" w:rsidR="00CC25B5" w:rsidRDefault="0090096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2F85EB" wp14:editId="442F85EC">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87" w14:textId="77777777">
        <w:trPr>
          <w:tblCellSpacing w:w="15" w:type="dxa"/>
        </w:trPr>
        <w:tc>
          <w:tcPr>
            <w:tcW w:w="0" w:type="auto"/>
            <w:shd w:val="clear" w:color="auto" w:fill="auto"/>
            <w:vAlign w:val="center"/>
          </w:tcPr>
          <w:p w14:paraId="442F8586" w14:textId="77777777" w:rsidR="00CC25B5" w:rsidRDefault="00CC25B5">
            <w:pPr>
              <w:rPr>
                <w:rFonts w:ascii="宋体"/>
              </w:rPr>
            </w:pPr>
          </w:p>
        </w:tc>
      </w:tr>
    </w:tbl>
    <w:p w14:paraId="442F8588"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8A" w14:textId="77777777">
        <w:trPr>
          <w:tblCellSpacing w:w="15" w:type="dxa"/>
        </w:trPr>
        <w:tc>
          <w:tcPr>
            <w:tcW w:w="0" w:type="auto"/>
            <w:shd w:val="clear" w:color="auto" w:fill="auto"/>
            <w:vAlign w:val="center"/>
          </w:tcPr>
          <w:p w14:paraId="442F8589" w14:textId="77777777" w:rsidR="00CC25B5" w:rsidRDefault="00CC25B5">
            <w:pPr>
              <w:rPr>
                <w:rFonts w:ascii="宋体"/>
              </w:rPr>
            </w:pPr>
          </w:p>
        </w:tc>
      </w:tr>
    </w:tbl>
    <w:p w14:paraId="442F858B"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8D" w14:textId="77777777">
        <w:trPr>
          <w:tblCellSpacing w:w="15" w:type="dxa"/>
        </w:trPr>
        <w:tc>
          <w:tcPr>
            <w:tcW w:w="0" w:type="auto"/>
            <w:shd w:val="clear" w:color="auto" w:fill="auto"/>
            <w:vAlign w:val="center"/>
          </w:tcPr>
          <w:p w14:paraId="442F858C" w14:textId="77777777" w:rsidR="00CC25B5" w:rsidRDefault="00CC25B5">
            <w:pPr>
              <w:rPr>
                <w:rFonts w:ascii="宋体"/>
              </w:rPr>
            </w:pPr>
          </w:p>
        </w:tc>
      </w:tr>
    </w:tbl>
    <w:p w14:paraId="442F858E"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90" w14:textId="77777777">
        <w:trPr>
          <w:tblCellSpacing w:w="15" w:type="dxa"/>
        </w:trPr>
        <w:tc>
          <w:tcPr>
            <w:tcW w:w="0" w:type="auto"/>
            <w:shd w:val="clear" w:color="auto" w:fill="auto"/>
            <w:vAlign w:val="center"/>
          </w:tcPr>
          <w:p w14:paraId="442F858F" w14:textId="77777777" w:rsidR="00CC25B5" w:rsidRDefault="00CC25B5">
            <w:pPr>
              <w:rPr>
                <w:rFonts w:ascii="宋体"/>
              </w:rPr>
            </w:pPr>
          </w:p>
        </w:tc>
      </w:tr>
    </w:tbl>
    <w:p w14:paraId="442F8591" w14:textId="77777777" w:rsidR="00CC25B5" w:rsidRDefault="00900968">
      <w:r>
        <w:rPr>
          <w:rFonts w:ascii="宋体" w:eastAsia="宋体" w:hAnsi="宋体" w:cs="宋体"/>
        </w:rPr>
        <w:t xml:space="preserve">Previous Next </w:t>
      </w:r>
    </w:p>
    <w:p w14:paraId="442F8592" w14:textId="77777777" w:rsidR="00CC25B5" w:rsidRDefault="00900968">
      <w:pPr>
        <w:pStyle w:val="a3"/>
      </w:pPr>
      <w:r>
        <w:t>Settings</w:t>
      </w:r>
    </w:p>
    <w:p w14:paraId="442F8593" w14:textId="77777777" w:rsidR="00CC25B5" w:rsidRDefault="00900968">
      <w:pPr>
        <w:pStyle w:val="Style4"/>
      </w:pPr>
      <w:r>
        <w:t>窗体顶端</w:t>
      </w:r>
    </w:p>
    <w:p w14:paraId="442F8594" w14:textId="77777777" w:rsidR="00CC25B5" w:rsidRDefault="0090096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42F85ED" wp14:editId="442F85EE">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42F8595" w14:textId="77777777" w:rsidR="00CC25B5" w:rsidRDefault="0090096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42F85EF" wp14:editId="442F85F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42F8596" w14:textId="77777777" w:rsidR="00CC25B5" w:rsidRDefault="00900968">
      <w:r>
        <w:pict w14:anchorId="442F85F1">
          <v:rect id="_x0000_i1058" style="width:415.3pt;height:1.5pt" o:hralign="center" o:hrstd="t" o:hr="t" fillcolor="#a0a0a0" stroked="f"/>
        </w:pict>
      </w:r>
    </w:p>
    <w:p w14:paraId="442F8597" w14:textId="77777777" w:rsidR="00CC25B5" w:rsidRDefault="00900968">
      <w:r>
        <w:rPr>
          <w:rFonts w:ascii="宋体" w:eastAsia="宋体" w:hAnsi="宋体" w:cs="宋体"/>
        </w:rPr>
        <w:t xml:space="preserve">Tagged Data </w:t>
      </w:r>
    </w:p>
    <w:p w14:paraId="442F8598" w14:textId="77777777" w:rsidR="00CC25B5" w:rsidRDefault="00900968">
      <w:r>
        <w:rPr>
          <w:rFonts w:ascii="monospace" w:eastAsia="monospace" w:hAnsi="monospace" w:cs="monospace"/>
          <w:noProof/>
        </w:rPr>
        <mc:AlternateContent>
          <mc:Choice Requires="wps">
            <w:drawing>
              <wp:inline distT="0" distB="0" distL="114300" distR="114300" wp14:anchorId="442F85F2" wp14:editId="442F85F3">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442F8599" w14:textId="77777777" w:rsidR="00CC25B5" w:rsidRDefault="00900968">
      <w:r>
        <w:rPr>
          <w:rFonts w:ascii="宋体" w:eastAsia="宋体" w:hAnsi="宋体" w:cs="宋体"/>
        </w:rPr>
        <w:t>Save</w:t>
      </w:r>
    </w:p>
    <w:p w14:paraId="442F859A" w14:textId="77777777" w:rsidR="00CC25B5" w:rsidRDefault="00900968">
      <w:r>
        <w:rPr>
          <w:rFonts w:ascii="宋体" w:eastAsia="宋体" w:hAnsi="宋体" w:cs="宋体"/>
        </w:rPr>
        <w:t>Reset</w:t>
      </w:r>
    </w:p>
    <w:p w14:paraId="442F859B" w14:textId="77777777" w:rsidR="00CC25B5" w:rsidRDefault="00900968">
      <w:r>
        <w:pict w14:anchorId="442F85F4">
          <v:rect id="_x0000_i1059" style="width:415.3pt;height:1.5pt" o:hralign="center" o:hrstd="t" o:hr="t" fillcolor="#a0a0a0" stroked="f"/>
        </w:pict>
      </w:r>
    </w:p>
    <w:p w14:paraId="442F859C" w14:textId="77777777" w:rsidR="00CC25B5" w:rsidRDefault="00900968">
      <w:r>
        <w:rPr>
          <w:rFonts w:ascii="宋体" w:eastAsia="宋体" w:hAnsi="宋体" w:cs="宋体"/>
        </w:rPr>
        <w:t xml:space="preserve">Search Results </w:t>
      </w:r>
    </w:p>
    <w:p w14:paraId="442F859D" w14:textId="77777777" w:rsidR="00CC25B5" w:rsidRDefault="00900968">
      <w:r>
        <w:rPr>
          <w:rFonts w:ascii="monospace" w:eastAsia="monospace" w:hAnsi="monospace" w:cs="monospace"/>
          <w:noProof/>
        </w:rPr>
        <mc:AlternateContent>
          <mc:Choice Requires="wps">
            <w:drawing>
              <wp:inline distT="0" distB="0" distL="114300" distR="114300" wp14:anchorId="442F85F5" wp14:editId="442F85F6">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442F859E" w14:textId="77777777" w:rsidR="00CC25B5" w:rsidRDefault="00900968">
      <w:r>
        <w:rPr>
          <w:rFonts w:ascii="宋体" w:eastAsia="宋体" w:hAnsi="宋体" w:cs="宋体"/>
        </w:rPr>
        <w:t>Save</w:t>
      </w:r>
    </w:p>
    <w:p w14:paraId="442F859F" w14:textId="77777777" w:rsidR="00CC25B5" w:rsidRDefault="00900968">
      <w:r>
        <w:rPr>
          <w:rFonts w:ascii="宋体" w:eastAsia="宋体" w:hAnsi="宋体" w:cs="宋体"/>
        </w:rPr>
        <w:t>Reset</w:t>
      </w:r>
    </w:p>
    <w:p w14:paraId="442F85A0" w14:textId="77777777" w:rsidR="00CC25B5" w:rsidRDefault="00900968">
      <w:r>
        <w:pict w14:anchorId="442F85F7">
          <v:rect id="_x0000_i1060" style="width:415.3pt;height:1.5pt" o:hralign="center" o:hrstd="t" o:hr="t" fillcolor="#a0a0a0" stroked="f"/>
        </w:pict>
      </w:r>
    </w:p>
    <w:p w14:paraId="442F85A1" w14:textId="77777777" w:rsidR="00CC25B5" w:rsidRDefault="00900968">
      <w:r>
        <w:rPr>
          <w:rFonts w:ascii="宋体" w:eastAsia="宋体" w:hAnsi="宋体" w:cs="宋体"/>
        </w:rPr>
        <w:t xml:space="preserve">Selected Fact </w:t>
      </w:r>
    </w:p>
    <w:p w14:paraId="442F85A2" w14:textId="77777777" w:rsidR="00CC25B5" w:rsidRDefault="00900968">
      <w:r>
        <w:rPr>
          <w:rFonts w:ascii="monospace" w:eastAsia="monospace" w:hAnsi="monospace" w:cs="monospace"/>
          <w:noProof/>
        </w:rPr>
        <mc:AlternateContent>
          <mc:Choice Requires="wps">
            <w:drawing>
              <wp:inline distT="0" distB="0" distL="114300" distR="114300" wp14:anchorId="442F85F8" wp14:editId="442F85F9">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42F85A3" w14:textId="77777777" w:rsidR="00CC25B5" w:rsidRDefault="00900968">
      <w:r>
        <w:rPr>
          <w:rFonts w:ascii="宋体" w:eastAsia="宋体" w:hAnsi="宋体" w:cs="宋体"/>
        </w:rPr>
        <w:t>Save</w:t>
      </w:r>
    </w:p>
    <w:p w14:paraId="442F85A4" w14:textId="77777777" w:rsidR="00CC25B5" w:rsidRDefault="00900968">
      <w:r>
        <w:rPr>
          <w:rFonts w:ascii="宋体" w:eastAsia="宋体" w:hAnsi="宋体" w:cs="宋体"/>
        </w:rPr>
        <w:t>Reset</w:t>
      </w:r>
    </w:p>
    <w:p w14:paraId="442F85A5" w14:textId="77777777" w:rsidR="00CC25B5" w:rsidRDefault="00900968">
      <w:r>
        <w:pict w14:anchorId="442F85FA">
          <v:rect id="_x0000_i1061" style="width:415.3pt;height:1.5pt" o:hralign="center" o:hrstd="t" o:hr="t" fillcolor="#a0a0a0" stroked="f"/>
        </w:pict>
      </w:r>
    </w:p>
    <w:p w14:paraId="442F85A6" w14:textId="77777777" w:rsidR="00CC25B5" w:rsidRDefault="00900968">
      <w:r>
        <w:rPr>
          <w:rFonts w:ascii="宋体" w:eastAsia="宋体" w:hAnsi="宋体" w:cs="宋体"/>
        </w:rPr>
        <w:t xml:space="preserve">Tag Shading (hover) </w:t>
      </w:r>
    </w:p>
    <w:p w14:paraId="442F85A7" w14:textId="77777777" w:rsidR="00CC25B5" w:rsidRDefault="00900968">
      <w:r>
        <w:rPr>
          <w:rFonts w:ascii="monospace" w:eastAsia="monospace" w:hAnsi="monospace" w:cs="monospace"/>
          <w:noProof/>
        </w:rPr>
        <mc:AlternateContent>
          <mc:Choice Requires="wps">
            <w:drawing>
              <wp:inline distT="0" distB="0" distL="114300" distR="114300" wp14:anchorId="442F85FB" wp14:editId="442F85FC">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42F85A8" w14:textId="77777777" w:rsidR="00CC25B5" w:rsidRDefault="00900968">
      <w:r>
        <w:rPr>
          <w:rFonts w:ascii="宋体" w:eastAsia="宋体" w:hAnsi="宋体" w:cs="宋体"/>
        </w:rPr>
        <w:t>Save</w:t>
      </w:r>
    </w:p>
    <w:p w14:paraId="442F85A9" w14:textId="77777777" w:rsidR="00CC25B5" w:rsidRDefault="00900968">
      <w:r>
        <w:rPr>
          <w:rFonts w:ascii="宋体" w:eastAsia="宋体" w:hAnsi="宋体" w:cs="宋体"/>
        </w:rPr>
        <w:t>Reset</w:t>
      </w:r>
    </w:p>
    <w:p w14:paraId="442F85AA" w14:textId="77777777" w:rsidR="00CC25B5" w:rsidRDefault="00900968">
      <w:pPr>
        <w:pStyle w:val="Style5"/>
      </w:pPr>
      <w:r>
        <w:t>窗体底端</w:t>
      </w:r>
    </w:p>
    <w:p w14:paraId="442F85AB" w14:textId="77777777" w:rsidR="00CC25B5" w:rsidRDefault="0090096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2F85FD" wp14:editId="442F85FE">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AD" w14:textId="77777777">
        <w:trPr>
          <w:tblCellSpacing w:w="15" w:type="dxa"/>
        </w:trPr>
        <w:tc>
          <w:tcPr>
            <w:tcW w:w="0" w:type="auto"/>
            <w:shd w:val="clear" w:color="auto" w:fill="auto"/>
            <w:vAlign w:val="center"/>
          </w:tcPr>
          <w:p w14:paraId="442F85AC" w14:textId="77777777" w:rsidR="00CC25B5" w:rsidRDefault="00CC25B5">
            <w:pPr>
              <w:rPr>
                <w:rFonts w:ascii="宋体"/>
              </w:rPr>
            </w:pPr>
          </w:p>
        </w:tc>
      </w:tr>
    </w:tbl>
    <w:p w14:paraId="442F85AE"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B0" w14:textId="77777777">
        <w:trPr>
          <w:tblCellSpacing w:w="15" w:type="dxa"/>
        </w:trPr>
        <w:tc>
          <w:tcPr>
            <w:tcW w:w="0" w:type="auto"/>
            <w:shd w:val="clear" w:color="auto" w:fill="auto"/>
            <w:vAlign w:val="center"/>
          </w:tcPr>
          <w:p w14:paraId="442F85AF" w14:textId="77777777" w:rsidR="00CC25B5" w:rsidRDefault="00CC25B5">
            <w:pPr>
              <w:rPr>
                <w:rFonts w:ascii="宋体"/>
              </w:rPr>
            </w:pPr>
          </w:p>
        </w:tc>
      </w:tr>
    </w:tbl>
    <w:p w14:paraId="442F85B1"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B3" w14:textId="77777777">
        <w:trPr>
          <w:tblCellSpacing w:w="15" w:type="dxa"/>
        </w:trPr>
        <w:tc>
          <w:tcPr>
            <w:tcW w:w="0" w:type="auto"/>
            <w:shd w:val="clear" w:color="auto" w:fill="auto"/>
            <w:vAlign w:val="center"/>
          </w:tcPr>
          <w:p w14:paraId="442F85B2" w14:textId="77777777" w:rsidR="00CC25B5" w:rsidRDefault="00CC25B5">
            <w:pPr>
              <w:rPr>
                <w:rFonts w:ascii="宋体"/>
              </w:rPr>
            </w:pPr>
          </w:p>
        </w:tc>
      </w:tr>
    </w:tbl>
    <w:p w14:paraId="442F85B4"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B6" w14:textId="77777777">
        <w:trPr>
          <w:tblCellSpacing w:w="15" w:type="dxa"/>
        </w:trPr>
        <w:tc>
          <w:tcPr>
            <w:tcW w:w="0" w:type="auto"/>
            <w:shd w:val="clear" w:color="auto" w:fill="auto"/>
            <w:vAlign w:val="center"/>
          </w:tcPr>
          <w:p w14:paraId="442F85B5" w14:textId="77777777" w:rsidR="00CC25B5" w:rsidRDefault="00CC25B5">
            <w:pPr>
              <w:rPr>
                <w:rFonts w:ascii="宋体"/>
              </w:rPr>
            </w:pPr>
          </w:p>
        </w:tc>
      </w:tr>
    </w:tbl>
    <w:p w14:paraId="442F85B7" w14:textId="77777777" w:rsidR="00CC25B5" w:rsidRDefault="00900968">
      <w:r>
        <w:rPr>
          <w:rFonts w:ascii="宋体" w:eastAsia="宋体" w:hAnsi="宋体" w:cs="宋体"/>
        </w:rPr>
        <w:t xml:space="preserve">Previous Next </w:t>
      </w:r>
    </w:p>
    <w:p w14:paraId="442F85B8" w14:textId="77777777" w:rsidR="00CC25B5" w:rsidRDefault="00900968">
      <w:pPr>
        <w:pStyle w:val="a3"/>
      </w:pPr>
      <w:r>
        <w:t xml:space="preserve">Nested Facts / </w:t>
      </w:r>
    </w:p>
    <w:p w14:paraId="442F85B9" w14:textId="77777777" w:rsidR="00CC25B5" w:rsidRDefault="00900968">
      <w:r>
        <w:rPr>
          <w:rFonts w:ascii="宋体" w:eastAsia="宋体" w:hAnsi="宋体" w:cs="宋体"/>
        </w:rPr>
        <w:t xml:space="preserve">Previous Next </w:t>
      </w:r>
    </w:p>
    <w:p w14:paraId="442F85BA" w14:textId="77777777" w:rsidR="00CC25B5" w:rsidRDefault="0090096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2F85FF" wp14:editId="442F86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tNrt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xacObA08d/ffvz6+Z2Rg9QZAtYU9BDuY+aH4c6Lr8icv+nBdeodBtKY9ijHVk+C8wGntH0b&#10;bU4nwmxf1D+c1Ff7xAQ5r15fciaO/grqY1KImD4ob1k2Gh6pYNEadneYclmojyG5hvO32pgyWOPY&#10;0PC3l4uMDLSsLS0JmTYQYXRdgUFvtMwphV/sNjcmsh3khSlfYUbMH4flemvAfowrV+MqWZ1ULLV7&#10;BfK9kywdAmnq6C3x3IxVkjOj6Ollq0Qm0OacSOJp3KTyKGyWeOPlgUa4DVF3/ZNJ0MoUcab1zjv5&#10;+FyQ/j7p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dtNrt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BC" w14:textId="77777777">
        <w:trPr>
          <w:tblCellSpacing w:w="15" w:type="dxa"/>
        </w:trPr>
        <w:tc>
          <w:tcPr>
            <w:tcW w:w="0" w:type="auto"/>
            <w:shd w:val="clear" w:color="auto" w:fill="auto"/>
            <w:vAlign w:val="center"/>
          </w:tcPr>
          <w:p w14:paraId="442F85BB" w14:textId="77777777" w:rsidR="00CC25B5" w:rsidRDefault="00CC25B5">
            <w:pPr>
              <w:rPr>
                <w:rFonts w:ascii="宋体"/>
              </w:rPr>
            </w:pPr>
          </w:p>
        </w:tc>
      </w:tr>
    </w:tbl>
    <w:p w14:paraId="442F85BD"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BF" w14:textId="77777777">
        <w:trPr>
          <w:tblCellSpacing w:w="15" w:type="dxa"/>
        </w:trPr>
        <w:tc>
          <w:tcPr>
            <w:tcW w:w="0" w:type="auto"/>
            <w:shd w:val="clear" w:color="auto" w:fill="auto"/>
            <w:vAlign w:val="center"/>
          </w:tcPr>
          <w:p w14:paraId="442F85BE" w14:textId="77777777" w:rsidR="00CC25B5" w:rsidRDefault="00CC25B5">
            <w:pPr>
              <w:rPr>
                <w:rFonts w:ascii="宋体"/>
              </w:rPr>
            </w:pPr>
          </w:p>
        </w:tc>
      </w:tr>
    </w:tbl>
    <w:p w14:paraId="442F85C0"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C2" w14:textId="77777777">
        <w:trPr>
          <w:tblCellSpacing w:w="15" w:type="dxa"/>
        </w:trPr>
        <w:tc>
          <w:tcPr>
            <w:tcW w:w="0" w:type="auto"/>
            <w:shd w:val="clear" w:color="auto" w:fill="auto"/>
            <w:vAlign w:val="center"/>
          </w:tcPr>
          <w:p w14:paraId="442F85C1" w14:textId="77777777" w:rsidR="00CC25B5" w:rsidRDefault="00CC25B5">
            <w:pPr>
              <w:rPr>
                <w:rFonts w:ascii="宋体"/>
              </w:rPr>
            </w:pPr>
          </w:p>
        </w:tc>
      </w:tr>
    </w:tbl>
    <w:p w14:paraId="442F85C3" w14:textId="77777777" w:rsidR="00CC25B5" w:rsidRDefault="00CC25B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5B5" w14:paraId="442F85C5" w14:textId="77777777">
        <w:trPr>
          <w:tblCellSpacing w:w="15" w:type="dxa"/>
        </w:trPr>
        <w:tc>
          <w:tcPr>
            <w:tcW w:w="0" w:type="auto"/>
            <w:shd w:val="clear" w:color="auto" w:fill="auto"/>
            <w:vAlign w:val="center"/>
          </w:tcPr>
          <w:p w14:paraId="442F85C4" w14:textId="77777777" w:rsidR="00CC25B5" w:rsidRDefault="00CC25B5">
            <w:pPr>
              <w:rPr>
                <w:rFonts w:ascii="宋体"/>
              </w:rPr>
            </w:pPr>
          </w:p>
        </w:tc>
      </w:tr>
    </w:tbl>
    <w:p w14:paraId="442F85C6" w14:textId="77777777" w:rsidR="00CC25B5" w:rsidRDefault="00900968">
      <w:r>
        <w:rPr>
          <w:rFonts w:ascii="宋体" w:eastAsia="宋体" w:hAnsi="宋体" w:cs="宋体"/>
        </w:rPr>
        <w:t xml:space="preserve">Previous Next </w:t>
      </w:r>
    </w:p>
    <w:p w14:paraId="442F85C7" w14:textId="77777777" w:rsidR="00CC25B5" w:rsidRDefault="00CC25B5"/>
    <w:sectPr w:rsidR="00CC25B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6799" w14:textId="77777777" w:rsidR="00900968" w:rsidRDefault="00900968" w:rsidP="00900968">
      <w:r>
        <w:separator/>
      </w:r>
    </w:p>
  </w:endnote>
  <w:endnote w:type="continuationSeparator" w:id="0">
    <w:p w14:paraId="4A92DF7D" w14:textId="77777777" w:rsidR="00900968" w:rsidRDefault="00900968" w:rsidP="0090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045D4" w14:textId="77777777" w:rsidR="00900968" w:rsidRDefault="00900968" w:rsidP="00900968">
      <w:r>
        <w:separator/>
      </w:r>
    </w:p>
  </w:footnote>
  <w:footnote w:type="continuationSeparator" w:id="0">
    <w:p w14:paraId="4CDAC94B" w14:textId="77777777" w:rsidR="00900968" w:rsidRDefault="00900968" w:rsidP="00900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FFEA77"/>
    <w:rsid w:val="00900968"/>
    <w:rsid w:val="00CC25B5"/>
    <w:rsid w:val="6EFFE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F61F1"/>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009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00968"/>
    <w:rPr>
      <w:rFonts w:asciiTheme="minorEastAsia" w:hAnsiTheme="minorEastAsia" w:cs="Times New Roman"/>
      <w:sz w:val="18"/>
      <w:szCs w:val="18"/>
    </w:rPr>
  </w:style>
  <w:style w:type="paragraph" w:styleId="a8">
    <w:name w:val="footer"/>
    <w:basedOn w:val="a"/>
    <w:link w:val="a9"/>
    <w:rsid w:val="00900968"/>
    <w:pPr>
      <w:tabs>
        <w:tab w:val="center" w:pos="4153"/>
        <w:tab w:val="right" w:pos="8306"/>
      </w:tabs>
      <w:snapToGrid w:val="0"/>
    </w:pPr>
    <w:rPr>
      <w:sz w:val="18"/>
      <w:szCs w:val="18"/>
    </w:rPr>
  </w:style>
  <w:style w:type="character" w:customStyle="1" w:styleId="a9">
    <w:name w:val="页脚 字符"/>
    <w:basedOn w:val="a0"/>
    <w:link w:val="a8"/>
    <w:rsid w:val="0090096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104169/000010416921000058/wmt-20210731.htm" TargetMode="External"/><Relationship Id="rId117" Type="http://schemas.openxmlformats.org/officeDocument/2006/relationships/hyperlink" Target="https://www.sec.gov/Archives/edgar/data/0000104169/000010416921000058/wmtexhibit311fy22q2.htm" TargetMode="External"/><Relationship Id="rId21" Type="http://schemas.openxmlformats.org/officeDocument/2006/relationships/hyperlink" Target="https://www.sec.gov/ix?doc=/Archives/edgar/data/0000104169/000010416921000058/wmt-20210731.htm" TargetMode="External"/><Relationship Id="rId42" Type="http://schemas.openxmlformats.org/officeDocument/2006/relationships/hyperlink" Target="https://www.sec.gov/ix?doc=/Archives/edgar/data/0000104169/000010416921000058/wmt-20210731.htm" TargetMode="External"/><Relationship Id="rId47" Type="http://schemas.openxmlformats.org/officeDocument/2006/relationships/hyperlink" Target="https://www.sec.gov/ix?doc=/Archives/edgar/data/0000104169/000010416921000058/wmt-20210731.htm" TargetMode="External"/><Relationship Id="rId63" Type="http://schemas.openxmlformats.org/officeDocument/2006/relationships/hyperlink" Target="https://www.sec.gov/ix?doc=/Archives/edgar/data/0000104169/000010416921000058/wmt-20210731.htm" TargetMode="External"/><Relationship Id="rId68" Type="http://schemas.openxmlformats.org/officeDocument/2006/relationships/hyperlink" Target="https://www.sec.gov/ix?doc=/Archives/edgar/data/0000104169/000010416921000058/wmt-20210731.htm" TargetMode="External"/><Relationship Id="rId84" Type="http://schemas.openxmlformats.org/officeDocument/2006/relationships/hyperlink" Target="https://www.sec.gov/ix?doc=/Archives/edgar/data/0000104169/000010416921000058/wmt-20210731.htm" TargetMode="External"/><Relationship Id="rId89" Type="http://schemas.openxmlformats.org/officeDocument/2006/relationships/hyperlink" Target="https://www.sec.gov/ix?doc=/Archives/edgar/data/0000104169/000010416921000058/wmt-20210731.htm" TargetMode="External"/><Relationship Id="rId112" Type="http://schemas.openxmlformats.org/officeDocument/2006/relationships/hyperlink" Target="http://www.sec.gov/Archives/edgar/data/104169/000010416919000054/exhibit31dated7262019.htm" TargetMode="External"/><Relationship Id="rId16" Type="http://schemas.openxmlformats.org/officeDocument/2006/relationships/hyperlink" Target="https://www.sec.gov/ix?doc=/Archives/edgar/data/0000104169/000010416921000058/wmt-20210731.htm" TargetMode="External"/><Relationship Id="rId107" Type="http://schemas.openxmlformats.org/officeDocument/2006/relationships/hyperlink" Target="https://www.sec.gov/ix?doc=/Archives/edgar/data/0000104169/000010416921000058/wmt-20210731.htm" TargetMode="External"/><Relationship Id="rId11" Type="http://schemas.openxmlformats.org/officeDocument/2006/relationships/hyperlink" Target="https://www.sec.gov/ix?doc=/Archives/edgar/data/0000104169/000010416921000058/wmt-20210731.htm" TargetMode="External"/><Relationship Id="rId32" Type="http://schemas.openxmlformats.org/officeDocument/2006/relationships/hyperlink" Target="https://www.sec.gov/ix?doc=/Archives/edgar/data/0000104169/000010416921000058/wmt-20210731.htm" TargetMode="External"/><Relationship Id="rId37" Type="http://schemas.openxmlformats.org/officeDocument/2006/relationships/hyperlink" Target="https://www.sec.gov/ix?doc=/Archives/edgar/data/0000104169/000010416921000058/wmt-20210731.htm" TargetMode="External"/><Relationship Id="rId53" Type="http://schemas.openxmlformats.org/officeDocument/2006/relationships/hyperlink" Target="https://www.sec.gov/ix?doc=/Archives/edgar/data/0000104169/000010416921000058/wmt-20210731.htm" TargetMode="External"/><Relationship Id="rId58" Type="http://schemas.openxmlformats.org/officeDocument/2006/relationships/hyperlink" Target="https://www.sec.gov/ix?doc=/Archives/edgar/data/0000104169/000010416921000058/wmt-20210731.htm" TargetMode="External"/><Relationship Id="rId74" Type="http://schemas.openxmlformats.org/officeDocument/2006/relationships/hyperlink" Target="https://www.sec.gov/ix?doc=/Archives/edgar/data/0000104169/000010416921000058/wmt-20210731.htm" TargetMode="External"/><Relationship Id="rId79" Type="http://schemas.openxmlformats.org/officeDocument/2006/relationships/hyperlink" Target="https://www.sec.gov/ix?doc=/Archives/edgar/data/0000104169/000010416921000058/wmt-20210731.htm" TargetMode="External"/><Relationship Id="rId102" Type="http://schemas.openxmlformats.org/officeDocument/2006/relationships/hyperlink" Target="https://www.sec.gov/ix?doc=/Archives/edgar/data/0000104169/000010416921000058/wmt-20210731.htm"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s://www.sec.gov/ix?doc=/Archives/edgar/data/0000104169/000010416921000058/wmt-20210731.htm" TargetMode="External"/><Relationship Id="rId95" Type="http://schemas.openxmlformats.org/officeDocument/2006/relationships/hyperlink" Target="https://www.sec.gov/ix?doc=/Archives/edgar/data/0000104169/000010416921000058/wmt-20210731.htm" TargetMode="External"/><Relationship Id="rId22" Type="http://schemas.openxmlformats.org/officeDocument/2006/relationships/hyperlink" Target="https://www.sec.gov/ix?doc=/Archives/edgar/data/0000104169/000010416921000058/wmt-20210731.htm" TargetMode="External"/><Relationship Id="rId27" Type="http://schemas.openxmlformats.org/officeDocument/2006/relationships/hyperlink" Target="https://www.sec.gov/ix?doc=/Archives/edgar/data/0000104169/000010416921000058/wmt-20210731.htm" TargetMode="External"/><Relationship Id="rId43" Type="http://schemas.openxmlformats.org/officeDocument/2006/relationships/hyperlink" Target="https://www.sec.gov/ix?doc=/Archives/edgar/data/0000104169/000010416921000058/wmt-20210731.htm" TargetMode="External"/><Relationship Id="rId48" Type="http://schemas.openxmlformats.org/officeDocument/2006/relationships/hyperlink" Target="https://www.sec.gov/ix?doc=/Archives/edgar/data/0000104169/000010416921000058/wmt-20210731.htm" TargetMode="External"/><Relationship Id="rId64" Type="http://schemas.openxmlformats.org/officeDocument/2006/relationships/hyperlink" Target="https://www.sec.gov/ix?doc=/Archives/edgar/data/0000104169/000010416921000058/wmt-20210731.htm" TargetMode="External"/><Relationship Id="rId69" Type="http://schemas.openxmlformats.org/officeDocument/2006/relationships/hyperlink" Target="https://www.sec.gov/ix?doc=/Archives/edgar/data/0000104169/000010416921000058/wmt-20210731.htm" TargetMode="External"/><Relationship Id="rId113" Type="http://schemas.openxmlformats.org/officeDocument/2006/relationships/hyperlink" Target="https://www.sec.gov/Archives/edgar/data/0000104169/000010416921000058/wmtexhibit101fy22q2.htm" TargetMode="External"/><Relationship Id="rId118" Type="http://schemas.openxmlformats.org/officeDocument/2006/relationships/hyperlink" Target="https://www.sec.gov/Archives/edgar/data/0000104169/000010416921000058/wmtexhibit312fy22q2.htm" TargetMode="External"/><Relationship Id="rId80" Type="http://schemas.openxmlformats.org/officeDocument/2006/relationships/hyperlink" Target="https://www.sec.gov/ix?doc=/Archives/edgar/data/104169/000010416921000033/wmt-20210131.htm" TargetMode="External"/><Relationship Id="rId85" Type="http://schemas.openxmlformats.org/officeDocument/2006/relationships/hyperlink" Target="https://www.sec.gov/ix?doc=/Archives/edgar/data/0000104169/000010416921000058/wmt-20210731.htm" TargetMode="External"/><Relationship Id="rId12" Type="http://schemas.openxmlformats.org/officeDocument/2006/relationships/hyperlink" Target="https://www.sec.gov/ix?doc=/Archives/edgar/data/0000104169/000010416921000058/wmt-20210731.htm" TargetMode="External"/><Relationship Id="rId17" Type="http://schemas.openxmlformats.org/officeDocument/2006/relationships/hyperlink" Target="https://www.sec.gov/ix?doc=/Archives/edgar/data/0000104169/000010416921000058/wmt-20210731.htm" TargetMode="External"/><Relationship Id="rId33" Type="http://schemas.openxmlformats.org/officeDocument/2006/relationships/hyperlink" Target="https://www.sec.gov/ix?doc=/Archives/edgar/data/0000104169/000010416921000058/wmt-20210731.htm" TargetMode="External"/><Relationship Id="rId38" Type="http://schemas.openxmlformats.org/officeDocument/2006/relationships/hyperlink" Target="https://www.sec.gov/ix?doc=/Archives/edgar/data/0000104169/000010416921000058/wmt-20210731.htm" TargetMode="External"/><Relationship Id="rId59" Type="http://schemas.openxmlformats.org/officeDocument/2006/relationships/hyperlink" Target="https://www.sec.gov/ix?doc=/Archives/edgar/data/0000104169/000010416921000058/wmt-20210731.htm" TargetMode="External"/><Relationship Id="rId103" Type="http://schemas.openxmlformats.org/officeDocument/2006/relationships/hyperlink" Target="https://www.sec.gov/ix?doc=/Archives/edgar/data/0000104169/000010416921000058/wmt-20210731.htm" TargetMode="External"/><Relationship Id="rId108" Type="http://schemas.openxmlformats.org/officeDocument/2006/relationships/hyperlink" Target="https://www.sec.gov/ix?doc=/Archives/edgar/data/0000104169/000010416921000058/wmt-20210731.htm" TargetMode="External"/><Relationship Id="rId124" Type="http://schemas.openxmlformats.org/officeDocument/2006/relationships/theme" Target="theme/theme1.xml"/><Relationship Id="rId54" Type="http://schemas.openxmlformats.org/officeDocument/2006/relationships/hyperlink" Target="https://www.sec.gov/ix?doc=/Archives/edgar/data/0000104169/000010416921000058/wmt-20210731.htm" TargetMode="External"/><Relationship Id="rId70" Type="http://schemas.openxmlformats.org/officeDocument/2006/relationships/hyperlink" Target="https://www.sec.gov/ix?doc=/Archives/edgar/data/0000104169/000010416921000058/wmt-20210731.htm" TargetMode="External"/><Relationship Id="rId75" Type="http://schemas.openxmlformats.org/officeDocument/2006/relationships/hyperlink" Target="https://www.sec.gov/ix?doc=/Archives/edgar/data/0000104169/000010416921000058/wmt-20210731.htm" TargetMode="External"/><Relationship Id="rId91" Type="http://schemas.openxmlformats.org/officeDocument/2006/relationships/hyperlink" Target="https://www.sec.gov/ix?doc=/Archives/edgar/data/0000104169/000010416921000058/wmt-20210731.htm" TargetMode="External"/><Relationship Id="rId96" Type="http://schemas.openxmlformats.org/officeDocument/2006/relationships/hyperlink" Target="https://www.sec.gov/ix?doc=/Archives/edgar/data/0000104169/000010416921000058/wmt-20210731.htm" TargetMode="External"/><Relationship Id="rId1" Type="http://schemas.openxmlformats.org/officeDocument/2006/relationships/styles" Target="styles.xml"/><Relationship Id="rId23" Type="http://schemas.openxmlformats.org/officeDocument/2006/relationships/hyperlink" Target="https://www.sec.gov/ix?doc=/Archives/edgar/data/0000104169/000010416921000058/wmt-20210731.htm" TargetMode="External"/><Relationship Id="rId28" Type="http://schemas.openxmlformats.org/officeDocument/2006/relationships/hyperlink" Target="https://www.sec.gov/ix?doc=/Archives/edgar/data/0000104169/000010416921000058/wmt-20210731.htm" TargetMode="External"/><Relationship Id="rId49" Type="http://schemas.openxmlformats.org/officeDocument/2006/relationships/hyperlink" Target="https://www.sec.gov/ix?doc=/Archives/edgar/data/0000104169/000010416921000058/wmt-20210731.htm" TargetMode="External"/><Relationship Id="rId114" Type="http://schemas.openxmlformats.org/officeDocument/2006/relationships/hyperlink" Target="https://www.sec.gov/Archives/edgar/data/0000104169/000010416921000058/wmtexhibit101fy22q2.htm" TargetMode="External"/><Relationship Id="rId119" Type="http://schemas.openxmlformats.org/officeDocument/2006/relationships/hyperlink" Target="https://www.sec.gov/Archives/edgar/data/0000104169/000010416921000058/wmtexhibit321fy22q2.htm" TargetMode="External"/><Relationship Id="rId44" Type="http://schemas.openxmlformats.org/officeDocument/2006/relationships/hyperlink" Target="https://www.sec.gov/ix?doc=/Archives/edgar/data/0000104169/000010416921000058/wmt-20210731.htm" TargetMode="External"/><Relationship Id="rId60" Type="http://schemas.openxmlformats.org/officeDocument/2006/relationships/hyperlink" Target="https://www.sec.gov/ix?doc=/Archives/edgar/data/0000104169/000010416921000058/wmt-20210731.htm" TargetMode="External"/><Relationship Id="rId65" Type="http://schemas.openxmlformats.org/officeDocument/2006/relationships/hyperlink" Target="https://www.sec.gov/ix?doc=/Archives/edgar/data/0000104169/000010416921000058/wmt-20210731.htm" TargetMode="External"/><Relationship Id="rId81" Type="http://schemas.openxmlformats.org/officeDocument/2006/relationships/hyperlink" Target="https://www.sec.gov/ix?doc=/Archives/edgar/data/0000104169/000010416921000058/wmt-20210731.htm" TargetMode="External"/><Relationship Id="rId86" Type="http://schemas.openxmlformats.org/officeDocument/2006/relationships/hyperlink" Target="https://www.sec.gov/ix?doc=/Archives/edgar/data/0000104169/000010416921000058/wmt-20210731.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1000058/wmt-20210731.htm" TargetMode="External"/><Relationship Id="rId13" Type="http://schemas.openxmlformats.org/officeDocument/2006/relationships/hyperlink" Target="https://www.sec.gov/ix?doc=/Archives/edgar/data/0000104169/000010416921000058/wmt-20210731.htm" TargetMode="External"/><Relationship Id="rId18" Type="http://schemas.openxmlformats.org/officeDocument/2006/relationships/hyperlink" Target="https://www.sec.gov/ix?doc=/Archives/edgar/data/0000104169/000010416921000058/wmt-20210731.htm" TargetMode="External"/><Relationship Id="rId39" Type="http://schemas.openxmlformats.org/officeDocument/2006/relationships/hyperlink" Target="https://www.sec.gov/ix?doc=/Archives/edgar/data/0000104169/000010416921000058/wmt-20210731.htm" TargetMode="External"/><Relationship Id="rId109" Type="http://schemas.openxmlformats.org/officeDocument/2006/relationships/hyperlink" Target="https://www.sec.gov/ix?doc=/Archives/edgar/data/0000104169/000010416921000058/wmt-20210731.htm" TargetMode="External"/><Relationship Id="rId34" Type="http://schemas.openxmlformats.org/officeDocument/2006/relationships/hyperlink" Target="https://www.sec.gov/ix?doc=/Archives/edgar/data/0000104169/000010416921000058/wmt-20210731.htm" TargetMode="External"/><Relationship Id="rId50" Type="http://schemas.openxmlformats.org/officeDocument/2006/relationships/hyperlink" Target="https://www.sec.gov/ix?doc=/Archives/edgar/data/0000104169/000010416921000058/wmt-20210731.htm" TargetMode="External"/><Relationship Id="rId55" Type="http://schemas.openxmlformats.org/officeDocument/2006/relationships/hyperlink" Target="https://www.sec.gov/ix?doc=/Archives/edgar/data/0000104169/000010416921000058/wmt-20210731.htm" TargetMode="External"/><Relationship Id="rId76" Type="http://schemas.openxmlformats.org/officeDocument/2006/relationships/hyperlink" Target="https://www.sec.gov/ix?doc=/Archives/edgar/data/0000104169/000010416921000058/wmt-20210731.htm" TargetMode="External"/><Relationship Id="rId97" Type="http://schemas.openxmlformats.org/officeDocument/2006/relationships/hyperlink" Target="https://www.sec.gov/ix?doc=/Archives/edgar/data/0000104169/000010416921000058/wmt-20210731.htm" TargetMode="External"/><Relationship Id="rId104" Type="http://schemas.openxmlformats.org/officeDocument/2006/relationships/hyperlink" Target="https://www.sec.gov/ix?doc=/Archives/edgar/data/0000104169/000010416921000058/wmt-20210731.htm" TargetMode="External"/><Relationship Id="rId120" Type="http://schemas.openxmlformats.org/officeDocument/2006/relationships/hyperlink" Target="https://www.sec.gov/Archives/edgar/data/0000104169/000010416921000058/wmtexhibit322fy22q2.htm" TargetMode="External"/><Relationship Id="rId7" Type="http://schemas.openxmlformats.org/officeDocument/2006/relationships/hyperlink" Target="https://www.sec.gov/ix?doc=/Archives/edgar/data/0000104169/000010416921000058/wmt-20210731.htm" TargetMode="External"/><Relationship Id="rId71" Type="http://schemas.openxmlformats.org/officeDocument/2006/relationships/hyperlink" Target="https://www.sec.gov/ix?doc=/Archives/edgar/data/0000104169/000010416921000058/wmt-20210731.htm" TargetMode="External"/><Relationship Id="rId92" Type="http://schemas.openxmlformats.org/officeDocument/2006/relationships/hyperlink" Target="https://www.sec.gov/ix?doc=/Archives/edgar/data/0000104169/000010416921000058/wmt-20210731.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1000058/wmt-20210731.htm" TargetMode="External"/><Relationship Id="rId24" Type="http://schemas.openxmlformats.org/officeDocument/2006/relationships/hyperlink" Target="https://www.sec.gov/ix?doc=/Archives/edgar/data/0000104169/000010416921000058/wmt-20210731.htm" TargetMode="External"/><Relationship Id="rId40" Type="http://schemas.openxmlformats.org/officeDocument/2006/relationships/hyperlink" Target="https://www.sec.gov/ix?doc=/Archives/edgar/data/0000104169/000010416921000058/wmt-20210731.htm" TargetMode="External"/><Relationship Id="rId45" Type="http://schemas.openxmlformats.org/officeDocument/2006/relationships/hyperlink" Target="https://www.sec.gov/ix?doc=/Archives/edgar/data/0000104169/000010416921000058/wmt-20210731.htm" TargetMode="External"/><Relationship Id="rId66" Type="http://schemas.openxmlformats.org/officeDocument/2006/relationships/hyperlink" Target="https://www.sec.gov/ix?doc=/Archives/edgar/data/0000104169/000010416921000058/wmt-20210731.htm" TargetMode="External"/><Relationship Id="rId87" Type="http://schemas.openxmlformats.org/officeDocument/2006/relationships/hyperlink" Target="https://www.sec.gov/ix?doc=/Archives/edgar/data/0000104169/000010416921000058/wmt-20210731.htm" TargetMode="External"/><Relationship Id="rId110" Type="http://schemas.openxmlformats.org/officeDocument/2006/relationships/hyperlink" Target="https://www.sec.gov/ix?doc=/Archives/edgar/data/0000104169/000010416921000058/wmt-20210731.htm" TargetMode="External"/><Relationship Id="rId115" Type="http://schemas.openxmlformats.org/officeDocument/2006/relationships/hyperlink" Target="https://www.sec.gov/Archives/edgar/data/0000104169/000010416921000058/wmtexhibit101fy22q2.htm" TargetMode="External"/><Relationship Id="rId61" Type="http://schemas.openxmlformats.org/officeDocument/2006/relationships/hyperlink" Target="https://www.sec.gov/ix?doc=/Archives/edgar/data/0000104169/000010416921000058/wmt-20210731.htm" TargetMode="External"/><Relationship Id="rId82" Type="http://schemas.openxmlformats.org/officeDocument/2006/relationships/hyperlink" Target="https://www.sec.gov/ix?doc=/Archives/edgar/data/0000104169/000010416921000058/wmt-20210731.htm" TargetMode="External"/><Relationship Id="rId19" Type="http://schemas.openxmlformats.org/officeDocument/2006/relationships/hyperlink" Target="https://www.sec.gov/ix?doc=/Archives/edgar/data/0000104169/000010416921000058/wmt-20210731.htm" TargetMode="External"/><Relationship Id="rId14" Type="http://schemas.openxmlformats.org/officeDocument/2006/relationships/hyperlink" Target="https://www.sec.gov/ix?doc=/Archives/edgar/data/0000104169/000010416921000058/wmt-20210731.htm" TargetMode="External"/><Relationship Id="rId30" Type="http://schemas.openxmlformats.org/officeDocument/2006/relationships/hyperlink" Target="https://www.sec.gov/ix?doc=/Archives/edgar/data/0000104169/000010416921000058/wmt-20210731.htm" TargetMode="External"/><Relationship Id="rId35" Type="http://schemas.openxmlformats.org/officeDocument/2006/relationships/hyperlink" Target="https://www.sec.gov/ix?doc=/Archives/edgar/data/0000104169/000010416921000058/wmt-20210731.htm" TargetMode="External"/><Relationship Id="rId56" Type="http://schemas.openxmlformats.org/officeDocument/2006/relationships/hyperlink" Target="https://www.sec.gov/ix?doc=/Archives/edgar/data/0000104169/000010416921000058/wmt-20210731.htm" TargetMode="External"/><Relationship Id="rId77" Type="http://schemas.openxmlformats.org/officeDocument/2006/relationships/hyperlink" Target="https://www.sec.gov/ix?doc=/Archives/edgar/data/0000104169/000010416921000058/wmt-20210731.htm" TargetMode="External"/><Relationship Id="rId100" Type="http://schemas.openxmlformats.org/officeDocument/2006/relationships/hyperlink" Target="https://www.sec.gov/ix?doc=/Archives/edgar/data/0000104169/000010416921000058/wmt-20210731.htm" TargetMode="External"/><Relationship Id="rId105" Type="http://schemas.openxmlformats.org/officeDocument/2006/relationships/hyperlink" Target="https://www.sec.gov/ix?doc=/Archives/edgar/data/0000104169/000010416921000058/wmt-20210731.htm" TargetMode="External"/><Relationship Id="rId8" Type="http://schemas.openxmlformats.org/officeDocument/2006/relationships/hyperlink" Target="https://www.sec.gov/ix?doc=/Archives/edgar/data/0000104169/000010416921000058/wmt-20210731.htm" TargetMode="External"/><Relationship Id="rId51" Type="http://schemas.openxmlformats.org/officeDocument/2006/relationships/hyperlink" Target="https://www.sec.gov/ix?doc=/Archives/edgar/data/0000104169/000010416921000058/wmt-20210731.htm" TargetMode="External"/><Relationship Id="rId72" Type="http://schemas.openxmlformats.org/officeDocument/2006/relationships/hyperlink" Target="https://www.sec.gov/ix?doc=/Archives/edgar/data/0000104169/000010416921000058/wmt-20210731.htm" TargetMode="External"/><Relationship Id="rId93" Type="http://schemas.openxmlformats.org/officeDocument/2006/relationships/hyperlink" Target="https://www.sec.gov/ix?doc=/Archives/edgar/data/0000104169/000010416921000058/wmt-20210731.htm" TargetMode="External"/><Relationship Id="rId98" Type="http://schemas.openxmlformats.org/officeDocument/2006/relationships/hyperlink" Target="https://www.sec.gov/ix?doc=/Archives/edgar/data/0000104169/000010416921000058/wmt-20210731.htm" TargetMode="External"/><Relationship Id="rId121" Type="http://schemas.openxmlformats.org/officeDocument/2006/relationships/hyperlink" Target="https://www.sec.gov/Archives/edgar/data/0000104169/000010416921000058/wmtexhibit991fy22q2.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1000058/wmt-20210731.htm" TargetMode="External"/><Relationship Id="rId46" Type="http://schemas.openxmlformats.org/officeDocument/2006/relationships/hyperlink" Target="https://www.sec.gov/ix?doc=/Archives/edgar/data/0000104169/000010416921000058/wmt-20210731.htm" TargetMode="External"/><Relationship Id="rId67" Type="http://schemas.openxmlformats.org/officeDocument/2006/relationships/hyperlink" Target="https://www.sec.gov/ix?doc=/Archives/edgar/data/0000104169/000010416921000058/wmt-20210731.htm" TargetMode="External"/><Relationship Id="rId116" Type="http://schemas.openxmlformats.org/officeDocument/2006/relationships/hyperlink" Target="https://www.sec.gov/Archives/edgar/data/0000104169/000010416921000058/wmtexhibit101fy22q2.htm" TargetMode="External"/><Relationship Id="rId20" Type="http://schemas.openxmlformats.org/officeDocument/2006/relationships/hyperlink" Target="https://www.sec.gov/ix?doc=/Archives/edgar/data/0000104169/000010416921000058/wmt-20210731.htm" TargetMode="External"/><Relationship Id="rId41" Type="http://schemas.openxmlformats.org/officeDocument/2006/relationships/hyperlink" Target="https://www.sec.gov/ix?doc=/Archives/edgar/data/0000104169/000010416921000058/wmt-20210731.htm" TargetMode="External"/><Relationship Id="rId62" Type="http://schemas.openxmlformats.org/officeDocument/2006/relationships/hyperlink" Target="https://www.sec.gov/ix?doc=/Archives/edgar/data/0000104169/000010416921000058/wmt-20210731.htm" TargetMode="External"/><Relationship Id="rId83" Type="http://schemas.openxmlformats.org/officeDocument/2006/relationships/hyperlink" Target="https://www.sec.gov/ix?doc=/Archives/edgar/data/0000104169/000010416921000058/wmt-20210731.htm" TargetMode="External"/><Relationship Id="rId88" Type="http://schemas.openxmlformats.org/officeDocument/2006/relationships/hyperlink" Target="https://www.sec.gov/ix?doc=/Archives/edgar/data/0000104169/000010416921000058/wmt-20210731.htm" TargetMode="External"/><Relationship Id="rId111" Type="http://schemas.openxmlformats.org/officeDocument/2006/relationships/hyperlink" Target="http://www.sec.gov/Archives/edgar/data/104169/000010416918000013/exhibit31-212018.htm" TargetMode="External"/><Relationship Id="rId15" Type="http://schemas.openxmlformats.org/officeDocument/2006/relationships/hyperlink" Target="https://www.sec.gov/ix?doc=/Archives/edgar/data/0000104169/000010416921000058/wmt-20210731.htm" TargetMode="External"/><Relationship Id="rId36" Type="http://schemas.openxmlformats.org/officeDocument/2006/relationships/hyperlink" Target="https://www.sec.gov/ix?doc=/Archives/edgar/data/0000104169/000010416921000058/wmt-20210731.htm" TargetMode="External"/><Relationship Id="rId57" Type="http://schemas.openxmlformats.org/officeDocument/2006/relationships/hyperlink" Target="https://www.sec.gov/ix?doc=/Archives/edgar/data/0000104169/000010416921000058/wmt-20210731.htm" TargetMode="External"/><Relationship Id="rId106" Type="http://schemas.openxmlformats.org/officeDocument/2006/relationships/hyperlink" Target="https://www.sec.gov/ix?doc=/Archives/edgar/data/0000104169/000010416921000058/wmt-20210731.htm" TargetMode="External"/><Relationship Id="rId10" Type="http://schemas.openxmlformats.org/officeDocument/2006/relationships/hyperlink" Target="https://www.sec.gov/ix?doc=/Archives/edgar/data/0000104169/000010416921000058/wmt-20210731.htm" TargetMode="External"/><Relationship Id="rId31" Type="http://schemas.openxmlformats.org/officeDocument/2006/relationships/hyperlink" Target="https://www.sec.gov/ix?doc=/Archives/edgar/data/0000104169/000010416921000058/wmt-20210731.htm" TargetMode="External"/><Relationship Id="rId52" Type="http://schemas.openxmlformats.org/officeDocument/2006/relationships/hyperlink" Target="https://www.sec.gov/ix?doc=/Archives/edgar/data/0000104169/000010416921000058/wmt-20210731.htm" TargetMode="External"/><Relationship Id="rId73" Type="http://schemas.openxmlformats.org/officeDocument/2006/relationships/hyperlink" Target="https://www.sec.gov/ix?doc=/Archives/edgar/data/0000104169/000010416921000058/wmt-20210731.htm" TargetMode="External"/><Relationship Id="rId78" Type="http://schemas.openxmlformats.org/officeDocument/2006/relationships/hyperlink" Target="https://www.sec.gov/ix?doc=/Archives/edgar/data/0000104169/000010416921000058/wmt-20210731.htm" TargetMode="External"/><Relationship Id="rId94" Type="http://schemas.openxmlformats.org/officeDocument/2006/relationships/hyperlink" Target="https://www.sec.gov/ix?doc=/Archives/edgar/data/0000104169/000010416921000058/wmt-20210731.htm" TargetMode="External"/><Relationship Id="rId99" Type="http://schemas.openxmlformats.org/officeDocument/2006/relationships/hyperlink" Target="https://www.sec.gov/ix?doc=/Archives/edgar/data/0000104169/000010416921000058/wmt-20210731.htm" TargetMode="External"/><Relationship Id="rId101" Type="http://schemas.openxmlformats.org/officeDocument/2006/relationships/hyperlink" Target="https://www.sec.gov/ix?doc=/Archives/edgar/data/0000104169/000010416921000058/wmt-20210731.htm" TargetMode="External"/><Relationship Id="rId122" Type="http://schemas.openxmlformats.org/officeDocument/2006/relationships/hyperlink" Target="https://www.sec.gov/ix?doc=/Archives/edgar/data/0000104169/000010416921000058/wmt-202107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24125</Words>
  <Characters>137518</Characters>
  <Application>Microsoft Office Word</Application>
  <DocSecurity>0</DocSecurity>
  <Lines>1145</Lines>
  <Paragraphs>322</Paragraphs>
  <ScaleCrop>false</ScaleCrop>
  <Company/>
  <LinksUpToDate>false</LinksUpToDate>
  <CharactersWithSpaces>161321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9B66AF60397E289D5BBBE763AB03051A</vt:lpwstr>
  </property>
</Properties>
</file>